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14065518"/>
    <w:bookmarkStart w:id="1" w:name="_Toc176264493"/>
    <w:p w14:paraId="179E656A" w14:textId="1C845440" w:rsidR="00893D2C" w:rsidRDefault="00000000" w:rsidP="00893D2C">
      <w:pPr>
        <w:pStyle w:val="Overskrift1"/>
      </w:pPr>
      <w:sdt>
        <w:sdtPr>
          <w:alias w:val="Overskrift"/>
          <w:id w:val="-663927157"/>
          <w:placeholder>
            <w:docPart w:val="9485302323CC4E2FA956B082C5B2A714"/>
          </w:placeholder>
          <w:text/>
        </w:sdtPr>
        <w:sdtContent>
          <w:r w:rsidR="00851A50">
            <w:t>Styrets beretning 20</w:t>
          </w:r>
          <w:r w:rsidR="007D1236">
            <w:t>2</w:t>
          </w:r>
          <w:r w:rsidR="00C34431">
            <w:t>2</w:t>
          </w:r>
          <w:r w:rsidR="00851A50">
            <w:t>-202</w:t>
          </w:r>
          <w:r w:rsidR="004D2856">
            <w:t>4</w:t>
          </w:r>
          <w:r w:rsidR="00851A50">
            <w:t xml:space="preserve"> </w:t>
          </w:r>
        </w:sdtContent>
      </w:sdt>
      <w:bookmarkEnd w:id="0"/>
      <w:bookmarkEnd w:id="1"/>
    </w:p>
    <w:p w14:paraId="6341BE5D" w14:textId="3DC26C34" w:rsidR="0034674D" w:rsidRDefault="0034674D">
      <w:pPr>
        <w:tabs>
          <w:tab w:val="clear" w:pos="2155"/>
        </w:tabs>
        <w:spacing w:after="160" w:line="259" w:lineRule="auto"/>
        <w:rPr>
          <w:rFonts w:asciiTheme="majorHAnsi" w:eastAsiaTheme="majorEastAsia" w:hAnsiTheme="majorHAnsi" w:cstheme="majorBidi"/>
          <w:b/>
          <w:color w:val="262682" w:themeColor="accent1"/>
          <w:sz w:val="26"/>
          <w:szCs w:val="26"/>
        </w:rPr>
      </w:pPr>
      <w:r>
        <w:br w:type="page"/>
      </w:r>
    </w:p>
    <w:p w14:paraId="32A5573E" w14:textId="556F6175" w:rsidR="00FC3919" w:rsidRDefault="002F126F" w:rsidP="009A62AF">
      <w:pPr>
        <w:pStyle w:val="Overskrift2"/>
      </w:pPr>
      <w:bookmarkStart w:id="2" w:name="_Toc114065519"/>
      <w:bookmarkStart w:id="3" w:name="_Toc176264494"/>
      <w:r>
        <w:lastRenderedPageBreak/>
        <w:t>F</w:t>
      </w:r>
      <w:r w:rsidR="009861FE">
        <w:t>orord</w:t>
      </w:r>
      <w:bookmarkEnd w:id="2"/>
      <w:bookmarkEnd w:id="3"/>
      <w:r w:rsidR="00470A91">
        <w:t xml:space="preserve"> </w:t>
      </w:r>
    </w:p>
    <w:p w14:paraId="51063B15" w14:textId="58514971" w:rsidR="00F36E36" w:rsidRPr="00E33E57" w:rsidRDefault="00F36E36" w:rsidP="00E33E57">
      <w:pPr>
        <w:rPr>
          <w:b/>
          <w:bCs/>
          <w:sz w:val="24"/>
          <w:szCs w:val="24"/>
        </w:rPr>
      </w:pPr>
      <w:r>
        <w:t xml:space="preserve"> </w:t>
      </w:r>
    </w:p>
    <w:p w14:paraId="4D4A3CC7" w14:textId="754CAC89" w:rsidR="00A33ADB" w:rsidRPr="00A33ADB" w:rsidRDefault="00A33ADB" w:rsidP="00A33ADB">
      <w:pPr>
        <w:rPr>
          <w:sz w:val="44"/>
          <w:szCs w:val="44"/>
        </w:rPr>
      </w:pPr>
      <w:r w:rsidRPr="002112EE">
        <w:rPr>
          <w:sz w:val="44"/>
          <w:szCs w:val="44"/>
        </w:rPr>
        <w:t>Forord</w:t>
      </w:r>
    </w:p>
    <w:p w14:paraId="10FFFE68" w14:textId="52F4EA52" w:rsidR="00A33ADB" w:rsidRDefault="00A33ADB" w:rsidP="00A33ADB">
      <w:r>
        <w:t xml:space="preserve">Høye renter, sterk prisstigning og global uro preger samfunnet og den politiske debatten i etterdønningene av pandemien. I urolige tider blir trygge rammer og god beredskap viktigere, og et trygt og fleksibelt arbeidsliv har vært og er en av Akademikernes hovedprioriteringer. </w:t>
      </w:r>
    </w:p>
    <w:p w14:paraId="009AE9F2" w14:textId="3D967879" w:rsidR="00A33ADB" w:rsidRDefault="00A33ADB" w:rsidP="00A33ADB">
      <w:r>
        <w:t>Vi har i denne styreperioden utviklet oss til å bli et enda tydeligere førstevalg for høyt utdannede i norsk arbeidsliv. Vi vokser raskest blant hovedorganisasjonene. Ved årsskiftet 2023-24 hadde vi ca</w:t>
      </w:r>
      <w:r w:rsidR="00AA0659">
        <w:t>.</w:t>
      </w:r>
      <w:r>
        <w:t xml:space="preserve"> 265 000 medlemmer og er nå også største hovedsammenslutning i staten. Medlemsveksten er et resultat av godt arbeid for å rekruttere og beholde medlemmer i medlemsforeningene, men viser også at vi treffer godt politisk på det høyt utdannede er opptatte av og trenger.</w:t>
      </w:r>
    </w:p>
    <w:p w14:paraId="6F9175DC" w14:textId="0E83C64D" w:rsidR="00A33ADB" w:rsidRDefault="00A33ADB" w:rsidP="00A33ADB">
      <w:r>
        <w:t>Styrets plan for perioden hadde som mål å sørge for synlighet og gjennomslag, og vi forsterket bildet av oss som forsvarere av kunnskapssamfunnet, både politisk og gjennom vår lønnspolitikk. Denne styreperioden har vært preget av flere store eksterne politiske prosesser med langsiktige konsekvenser både for enkeltmennesker, foreningene i akademikerfelleskapet og Akademikerne, samtidig som vi også har gjennomført en strategigjennomgang og revisjon av all etablert politikk.</w:t>
      </w:r>
    </w:p>
    <w:p w14:paraId="144D3C42" w14:textId="433200DB" w:rsidR="00A33ADB" w:rsidRDefault="00A33ADB" w:rsidP="00A33ADB">
      <w:r>
        <w:t>Den kanskje største saken i perioden har vært streiken i staten våren 2024. Vi streiket for retten til å beholde vår egen tariffavtale. Streiken hadde bred støtte hos medlemsforeningene og de streikende og viste tydelige forskjellene i lønnspolitikk mellom Akademikerne ene siden og LO på den andre siden. Streiken og viktigheten av vår egen avtale for å sikre lønnsutviklingen til høyt utdannede i staten er direkte relatert til utfordringene staten har med å tiltrekke seg høyt utdannet arbeidskraft og dermed også en bekymring for kvaliteten på offentlige tjenester.</w:t>
      </w:r>
    </w:p>
    <w:p w14:paraId="082B799E" w14:textId="7D77E93F" w:rsidR="00A33ADB" w:rsidRDefault="00A33ADB" w:rsidP="00A33ADB">
      <w:r>
        <w:t xml:space="preserve">Lønnspolitikk har vært en kjernesak, og før streiken ble frontfagsmodellen diskutert og gjennomgått i Frontfagmodellutvalget. Vi konkluderte med at vi støtter modellen for lønnsdannelse, men etterlyser mer fleksibilitet i praktiseringen. Akademikerne valgte å ta dissens på deler av rapporten. Dette ble støttet av et samlet styre med observatører, og var en sak som skapte ekstra samhold internt. </w:t>
      </w:r>
    </w:p>
    <w:p w14:paraId="256757B5" w14:textId="7E48E51F" w:rsidR="00A33ADB" w:rsidRDefault="00A33ADB" w:rsidP="00A33ADB">
      <w:r>
        <w:t xml:space="preserve">Velferdspolitikk er et viktig område for oss og vi har brukt mye tid på politisk dialog i forbindelse med Pensjonsmeldingen. Vi har aktivt frontet betydningen av å ha en sosialt og økonomisk bærekraftig offentlig pensjonsordning gjennom folketrygden. Vi er opptatt av at ordningen må være inkluderende og rettferdig for hele befolkningen, og at den må gi uttelling for å stå lenge i arbeid. </w:t>
      </w:r>
    </w:p>
    <w:p w14:paraId="089C7A5F" w14:textId="77777777" w:rsidR="00A33ADB" w:rsidRDefault="00A33ADB" w:rsidP="00A33ADB">
      <w:r>
        <w:lastRenderedPageBreak/>
        <w:t xml:space="preserve">Næringspolitikk, forskning og utdanning er sentralt i Akademikernes idegrunnlag og viktige politikkområder for oss. Regjeringens innføring av ekstra arbeidsgiveravgift for de med lønn over 750 000 skapte stort engasjement blant våre medlemsorganisasjoner. Heldigvis blir ordningen nå avviklet etter stort press fra blant annet oss. Dette har vært bare en av flere områder hvor vi har sagt tydelig fra om at kunnskapssamfunnet er under press. </w:t>
      </w:r>
    </w:p>
    <w:sdt>
      <w:sdtPr>
        <w:rPr>
          <w:rFonts w:asciiTheme="minorHAnsi" w:eastAsiaTheme="minorEastAsia" w:hAnsiTheme="minorHAnsi" w:cstheme="minorBidi"/>
          <w:b w:val="0"/>
          <w:color w:val="auto"/>
          <w:sz w:val="22"/>
          <w:szCs w:val="22"/>
        </w:rPr>
        <w:id w:val="295343519"/>
        <w:docPartObj>
          <w:docPartGallery w:val="Table of Contents"/>
          <w:docPartUnique/>
        </w:docPartObj>
      </w:sdtPr>
      <w:sdtContent>
        <w:p w14:paraId="7D3BF219" w14:textId="05C59AB9" w:rsidR="00E0713E" w:rsidRDefault="00E0713E">
          <w:pPr>
            <w:pStyle w:val="Overskriftforinnholdsfortegnelse"/>
          </w:pPr>
          <w:r>
            <w:t>Innhold</w:t>
          </w:r>
        </w:p>
        <w:p w14:paraId="504C29EA" w14:textId="05159BF6" w:rsidR="00E0713E" w:rsidRDefault="00E0713E">
          <w:pPr>
            <w:pStyle w:val="INNH1"/>
            <w:rPr>
              <w:rFonts w:eastAsiaTheme="minorEastAsia"/>
              <w:b w:val="0"/>
              <w:bCs w:val="0"/>
              <w:noProof/>
              <w:kern w:val="2"/>
              <w:sz w:val="24"/>
              <w:szCs w:val="24"/>
              <w:lang w:eastAsia="nb-NO"/>
              <w14:ligatures w14:val="standardContextual"/>
            </w:rPr>
          </w:pPr>
          <w:r>
            <w:fldChar w:fldCharType="begin"/>
          </w:r>
          <w:r>
            <w:instrText xml:space="preserve"> TOC \o "1-3" \h \z \u </w:instrText>
          </w:r>
          <w:r>
            <w:fldChar w:fldCharType="separate"/>
          </w:r>
          <w:hyperlink w:anchor="_Toc176264495" w:history="1">
            <w:r w:rsidRPr="00C5184C">
              <w:rPr>
                <w:rStyle w:val="Hyperkobling"/>
                <w:noProof/>
              </w:rPr>
              <w:t>1. Styret og styrets arbeid</w:t>
            </w:r>
            <w:r>
              <w:rPr>
                <w:noProof/>
                <w:webHidden/>
              </w:rPr>
              <w:tab/>
            </w:r>
            <w:r w:rsidR="007C08B4">
              <w:rPr>
                <w:noProof/>
                <w:webHidden/>
              </w:rPr>
              <w:tab/>
            </w:r>
            <w:r w:rsidR="007C08B4">
              <w:rPr>
                <w:noProof/>
                <w:webHidden/>
              </w:rPr>
              <w:tab/>
            </w:r>
            <w:r w:rsidR="007C08B4">
              <w:rPr>
                <w:noProof/>
                <w:webHidden/>
              </w:rPr>
              <w:tab/>
            </w:r>
            <w:r w:rsidR="007C08B4">
              <w:rPr>
                <w:noProof/>
                <w:webHidden/>
              </w:rPr>
              <w:tab/>
            </w:r>
            <w:r>
              <w:rPr>
                <w:noProof/>
                <w:webHidden/>
              </w:rPr>
              <w:fldChar w:fldCharType="begin"/>
            </w:r>
            <w:r>
              <w:rPr>
                <w:noProof/>
                <w:webHidden/>
              </w:rPr>
              <w:instrText xml:space="preserve"> PAGEREF _Toc176264495 \h </w:instrText>
            </w:r>
            <w:r>
              <w:rPr>
                <w:noProof/>
                <w:webHidden/>
              </w:rPr>
            </w:r>
            <w:r>
              <w:rPr>
                <w:noProof/>
                <w:webHidden/>
              </w:rPr>
              <w:fldChar w:fldCharType="separate"/>
            </w:r>
            <w:r>
              <w:rPr>
                <w:noProof/>
                <w:webHidden/>
              </w:rPr>
              <w:t>5</w:t>
            </w:r>
            <w:r>
              <w:rPr>
                <w:noProof/>
                <w:webHidden/>
              </w:rPr>
              <w:fldChar w:fldCharType="end"/>
            </w:r>
          </w:hyperlink>
        </w:p>
        <w:p w14:paraId="14F0DDDD" w14:textId="7AFE33C9" w:rsidR="00E0713E" w:rsidRDefault="00E0713E">
          <w:pPr>
            <w:pStyle w:val="INNH2"/>
            <w:rPr>
              <w:rFonts w:eastAsiaTheme="minorEastAsia"/>
              <w:noProof/>
              <w:kern w:val="2"/>
              <w:sz w:val="24"/>
              <w:szCs w:val="24"/>
              <w:lang w:eastAsia="nb-NO"/>
              <w14:ligatures w14:val="standardContextual"/>
            </w:rPr>
          </w:pPr>
          <w:hyperlink w:anchor="_Toc176264496" w:history="1">
            <w:r w:rsidRPr="00C5184C">
              <w:rPr>
                <w:rStyle w:val="Hyperkobling"/>
                <w:noProof/>
              </w:rPr>
              <w:t>1.1 Styrets sammensetting</w:t>
            </w:r>
            <w:r>
              <w:rPr>
                <w:noProof/>
                <w:webHidden/>
              </w:rPr>
              <w:tab/>
            </w:r>
            <w:r w:rsidR="007C08B4">
              <w:rPr>
                <w:noProof/>
                <w:webHidden/>
              </w:rPr>
              <w:tab/>
            </w:r>
            <w:r w:rsidR="007C08B4">
              <w:rPr>
                <w:noProof/>
                <w:webHidden/>
              </w:rPr>
              <w:tab/>
            </w:r>
            <w:r w:rsidR="007C08B4">
              <w:rPr>
                <w:noProof/>
                <w:webHidden/>
              </w:rPr>
              <w:tab/>
            </w:r>
            <w:r w:rsidR="007C08B4">
              <w:rPr>
                <w:noProof/>
                <w:webHidden/>
              </w:rPr>
              <w:tab/>
            </w:r>
            <w:r>
              <w:rPr>
                <w:noProof/>
                <w:webHidden/>
              </w:rPr>
              <w:fldChar w:fldCharType="begin"/>
            </w:r>
            <w:r>
              <w:rPr>
                <w:noProof/>
                <w:webHidden/>
              </w:rPr>
              <w:instrText xml:space="preserve"> PAGEREF _Toc176264496 \h </w:instrText>
            </w:r>
            <w:r>
              <w:rPr>
                <w:noProof/>
                <w:webHidden/>
              </w:rPr>
            </w:r>
            <w:r>
              <w:rPr>
                <w:noProof/>
                <w:webHidden/>
              </w:rPr>
              <w:fldChar w:fldCharType="separate"/>
            </w:r>
            <w:r>
              <w:rPr>
                <w:noProof/>
                <w:webHidden/>
              </w:rPr>
              <w:t>5</w:t>
            </w:r>
            <w:r>
              <w:rPr>
                <w:noProof/>
                <w:webHidden/>
              </w:rPr>
              <w:fldChar w:fldCharType="end"/>
            </w:r>
          </w:hyperlink>
        </w:p>
        <w:p w14:paraId="777C1151" w14:textId="2B9E826C" w:rsidR="00E0713E" w:rsidRDefault="00E0713E">
          <w:pPr>
            <w:pStyle w:val="INNH2"/>
            <w:rPr>
              <w:rFonts w:eastAsiaTheme="minorEastAsia"/>
              <w:noProof/>
              <w:kern w:val="2"/>
              <w:sz w:val="24"/>
              <w:szCs w:val="24"/>
              <w:lang w:eastAsia="nb-NO"/>
              <w14:ligatures w14:val="standardContextual"/>
            </w:rPr>
          </w:pPr>
          <w:hyperlink w:anchor="_Toc176264497" w:history="1">
            <w:r w:rsidRPr="00C5184C">
              <w:rPr>
                <w:rStyle w:val="Hyperkobling"/>
                <w:noProof/>
              </w:rPr>
              <w:t>1.2 Styrets arbeid</w:t>
            </w:r>
            <w:r>
              <w:rPr>
                <w:noProof/>
                <w:webHidden/>
              </w:rPr>
              <w:tab/>
            </w:r>
            <w:r w:rsidR="007C08B4">
              <w:rPr>
                <w:noProof/>
                <w:webHidden/>
              </w:rPr>
              <w:tab/>
            </w:r>
            <w:r w:rsidR="007C08B4">
              <w:rPr>
                <w:noProof/>
                <w:webHidden/>
              </w:rPr>
              <w:tab/>
            </w:r>
            <w:r w:rsidR="007C08B4">
              <w:rPr>
                <w:noProof/>
                <w:webHidden/>
              </w:rPr>
              <w:tab/>
            </w:r>
            <w:r w:rsidR="007C08B4">
              <w:rPr>
                <w:noProof/>
                <w:webHidden/>
              </w:rPr>
              <w:tab/>
            </w:r>
            <w:r w:rsidR="007C08B4">
              <w:rPr>
                <w:noProof/>
                <w:webHidden/>
              </w:rPr>
              <w:tab/>
            </w:r>
            <w:r>
              <w:rPr>
                <w:noProof/>
                <w:webHidden/>
              </w:rPr>
              <w:fldChar w:fldCharType="begin"/>
            </w:r>
            <w:r>
              <w:rPr>
                <w:noProof/>
                <w:webHidden/>
              </w:rPr>
              <w:instrText xml:space="preserve"> PAGEREF _Toc176264497 \h </w:instrText>
            </w:r>
            <w:r>
              <w:rPr>
                <w:noProof/>
                <w:webHidden/>
              </w:rPr>
            </w:r>
            <w:r>
              <w:rPr>
                <w:noProof/>
                <w:webHidden/>
              </w:rPr>
              <w:fldChar w:fldCharType="separate"/>
            </w:r>
            <w:r>
              <w:rPr>
                <w:noProof/>
                <w:webHidden/>
              </w:rPr>
              <w:t>5</w:t>
            </w:r>
            <w:r>
              <w:rPr>
                <w:noProof/>
                <w:webHidden/>
              </w:rPr>
              <w:fldChar w:fldCharType="end"/>
            </w:r>
          </w:hyperlink>
        </w:p>
        <w:p w14:paraId="6DB14CCE" w14:textId="07538EEB" w:rsidR="00E0713E" w:rsidRDefault="00E0713E">
          <w:pPr>
            <w:pStyle w:val="INNH2"/>
            <w:rPr>
              <w:rFonts w:eastAsiaTheme="minorEastAsia"/>
              <w:noProof/>
              <w:kern w:val="2"/>
              <w:sz w:val="24"/>
              <w:szCs w:val="24"/>
              <w:lang w:eastAsia="nb-NO"/>
              <w14:ligatures w14:val="standardContextual"/>
            </w:rPr>
          </w:pPr>
          <w:hyperlink w:anchor="_Toc176264498" w:history="1">
            <w:r w:rsidRPr="00C5184C">
              <w:rPr>
                <w:rStyle w:val="Hyperkobling"/>
                <w:noProof/>
              </w:rPr>
              <w:t>1.3 Strategiprosess 2023 – 2024</w:t>
            </w:r>
            <w:r>
              <w:rPr>
                <w:noProof/>
                <w:webHidden/>
              </w:rPr>
              <w:tab/>
            </w:r>
            <w:r w:rsidR="007C08B4">
              <w:rPr>
                <w:noProof/>
                <w:webHidden/>
              </w:rPr>
              <w:tab/>
            </w:r>
            <w:r w:rsidR="007C08B4">
              <w:rPr>
                <w:noProof/>
                <w:webHidden/>
              </w:rPr>
              <w:tab/>
            </w:r>
            <w:r w:rsidR="007C08B4">
              <w:rPr>
                <w:noProof/>
                <w:webHidden/>
              </w:rPr>
              <w:tab/>
            </w:r>
            <w:r>
              <w:rPr>
                <w:noProof/>
                <w:webHidden/>
              </w:rPr>
              <w:fldChar w:fldCharType="begin"/>
            </w:r>
            <w:r>
              <w:rPr>
                <w:noProof/>
                <w:webHidden/>
              </w:rPr>
              <w:instrText xml:space="preserve"> PAGEREF _Toc176264498 \h </w:instrText>
            </w:r>
            <w:r>
              <w:rPr>
                <w:noProof/>
                <w:webHidden/>
              </w:rPr>
            </w:r>
            <w:r>
              <w:rPr>
                <w:noProof/>
                <w:webHidden/>
              </w:rPr>
              <w:fldChar w:fldCharType="separate"/>
            </w:r>
            <w:r>
              <w:rPr>
                <w:noProof/>
                <w:webHidden/>
              </w:rPr>
              <w:t>6</w:t>
            </w:r>
            <w:r>
              <w:rPr>
                <w:noProof/>
                <w:webHidden/>
              </w:rPr>
              <w:fldChar w:fldCharType="end"/>
            </w:r>
          </w:hyperlink>
        </w:p>
        <w:p w14:paraId="45DC68C1" w14:textId="53FC0B8A" w:rsidR="00E0713E" w:rsidRDefault="00E0713E">
          <w:pPr>
            <w:pStyle w:val="INNH2"/>
            <w:rPr>
              <w:rFonts w:eastAsiaTheme="minorEastAsia"/>
              <w:noProof/>
              <w:kern w:val="2"/>
              <w:sz w:val="24"/>
              <w:szCs w:val="24"/>
              <w:lang w:eastAsia="nb-NO"/>
              <w14:ligatures w14:val="standardContextual"/>
            </w:rPr>
          </w:pPr>
          <w:hyperlink w:anchor="_Toc176264499" w:history="1">
            <w:r w:rsidRPr="00C5184C">
              <w:rPr>
                <w:rStyle w:val="Hyperkobling"/>
                <w:noProof/>
              </w:rPr>
              <w:t>1.4 Prioriterte områder 2023 og 2024</w:t>
            </w:r>
            <w:r>
              <w:rPr>
                <w:noProof/>
                <w:webHidden/>
              </w:rPr>
              <w:tab/>
            </w:r>
            <w:r w:rsidR="007C08B4">
              <w:rPr>
                <w:noProof/>
                <w:webHidden/>
              </w:rPr>
              <w:tab/>
            </w:r>
            <w:r w:rsidR="007C08B4">
              <w:rPr>
                <w:noProof/>
                <w:webHidden/>
              </w:rPr>
              <w:tab/>
            </w:r>
            <w:r w:rsidR="007C08B4">
              <w:rPr>
                <w:noProof/>
                <w:webHidden/>
              </w:rPr>
              <w:tab/>
            </w:r>
            <w:r>
              <w:rPr>
                <w:noProof/>
                <w:webHidden/>
              </w:rPr>
              <w:fldChar w:fldCharType="begin"/>
            </w:r>
            <w:r>
              <w:rPr>
                <w:noProof/>
                <w:webHidden/>
              </w:rPr>
              <w:instrText xml:space="preserve"> PAGEREF _Toc176264499 \h </w:instrText>
            </w:r>
            <w:r>
              <w:rPr>
                <w:noProof/>
                <w:webHidden/>
              </w:rPr>
            </w:r>
            <w:r>
              <w:rPr>
                <w:noProof/>
                <w:webHidden/>
              </w:rPr>
              <w:fldChar w:fldCharType="separate"/>
            </w:r>
            <w:r>
              <w:rPr>
                <w:noProof/>
                <w:webHidden/>
              </w:rPr>
              <w:t>7</w:t>
            </w:r>
            <w:r>
              <w:rPr>
                <w:noProof/>
                <w:webHidden/>
              </w:rPr>
              <w:fldChar w:fldCharType="end"/>
            </w:r>
          </w:hyperlink>
        </w:p>
        <w:p w14:paraId="33AB9FF0" w14:textId="3A5E7004" w:rsidR="00E0713E" w:rsidRDefault="00E0713E">
          <w:pPr>
            <w:pStyle w:val="INNH2"/>
            <w:rPr>
              <w:rFonts w:eastAsiaTheme="minorEastAsia"/>
              <w:noProof/>
              <w:kern w:val="2"/>
              <w:sz w:val="24"/>
              <w:szCs w:val="24"/>
              <w:lang w:eastAsia="nb-NO"/>
              <w14:ligatures w14:val="standardContextual"/>
            </w:rPr>
          </w:pPr>
          <w:hyperlink w:anchor="_Toc176264500" w:history="1">
            <w:r w:rsidRPr="00C5184C">
              <w:rPr>
                <w:rStyle w:val="Hyperkobling"/>
                <w:noProof/>
              </w:rPr>
              <w:t>1.4.1 Gode lønns- og arbeidsvilkår</w:t>
            </w:r>
            <w:r>
              <w:rPr>
                <w:noProof/>
                <w:webHidden/>
              </w:rPr>
              <w:tab/>
            </w:r>
            <w:r w:rsidR="007C08B4">
              <w:rPr>
                <w:noProof/>
                <w:webHidden/>
              </w:rPr>
              <w:tab/>
            </w:r>
            <w:r w:rsidR="007C08B4">
              <w:rPr>
                <w:noProof/>
                <w:webHidden/>
              </w:rPr>
              <w:tab/>
            </w:r>
            <w:r w:rsidR="007C08B4">
              <w:rPr>
                <w:noProof/>
                <w:webHidden/>
              </w:rPr>
              <w:tab/>
            </w:r>
            <w:r>
              <w:rPr>
                <w:noProof/>
                <w:webHidden/>
              </w:rPr>
              <w:fldChar w:fldCharType="begin"/>
            </w:r>
            <w:r>
              <w:rPr>
                <w:noProof/>
                <w:webHidden/>
              </w:rPr>
              <w:instrText xml:space="preserve"> PAGEREF _Toc176264500 \h </w:instrText>
            </w:r>
            <w:r>
              <w:rPr>
                <w:noProof/>
                <w:webHidden/>
              </w:rPr>
            </w:r>
            <w:r>
              <w:rPr>
                <w:noProof/>
                <w:webHidden/>
              </w:rPr>
              <w:fldChar w:fldCharType="separate"/>
            </w:r>
            <w:r>
              <w:rPr>
                <w:noProof/>
                <w:webHidden/>
              </w:rPr>
              <w:t>8</w:t>
            </w:r>
            <w:r>
              <w:rPr>
                <w:noProof/>
                <w:webHidden/>
              </w:rPr>
              <w:fldChar w:fldCharType="end"/>
            </w:r>
          </w:hyperlink>
        </w:p>
        <w:p w14:paraId="5A237C46" w14:textId="6A32CFE5" w:rsidR="00E0713E" w:rsidRDefault="00E0713E">
          <w:pPr>
            <w:pStyle w:val="INNH2"/>
            <w:rPr>
              <w:rFonts w:eastAsiaTheme="minorEastAsia"/>
              <w:noProof/>
              <w:kern w:val="2"/>
              <w:sz w:val="24"/>
              <w:szCs w:val="24"/>
              <w:lang w:eastAsia="nb-NO"/>
              <w14:ligatures w14:val="standardContextual"/>
            </w:rPr>
          </w:pPr>
          <w:hyperlink w:anchor="_Toc176264501" w:history="1">
            <w:r w:rsidRPr="00C5184C">
              <w:rPr>
                <w:rStyle w:val="Hyperkobling"/>
                <w:noProof/>
              </w:rPr>
              <w:t>1.4.2 Fleksibilitet og trygghet i arbeidslivet.</w:t>
            </w:r>
            <w:r>
              <w:rPr>
                <w:noProof/>
                <w:webHidden/>
              </w:rPr>
              <w:tab/>
            </w:r>
            <w:r w:rsidR="007C08B4">
              <w:rPr>
                <w:noProof/>
                <w:webHidden/>
              </w:rPr>
              <w:tab/>
            </w:r>
            <w:r w:rsidR="007C08B4">
              <w:rPr>
                <w:noProof/>
                <w:webHidden/>
              </w:rPr>
              <w:tab/>
            </w:r>
            <w:r>
              <w:rPr>
                <w:noProof/>
                <w:webHidden/>
              </w:rPr>
              <w:fldChar w:fldCharType="begin"/>
            </w:r>
            <w:r>
              <w:rPr>
                <w:noProof/>
                <w:webHidden/>
              </w:rPr>
              <w:instrText xml:space="preserve"> PAGEREF _Toc176264501 \h </w:instrText>
            </w:r>
            <w:r>
              <w:rPr>
                <w:noProof/>
                <w:webHidden/>
              </w:rPr>
            </w:r>
            <w:r>
              <w:rPr>
                <w:noProof/>
                <w:webHidden/>
              </w:rPr>
              <w:fldChar w:fldCharType="separate"/>
            </w:r>
            <w:r>
              <w:rPr>
                <w:noProof/>
                <w:webHidden/>
              </w:rPr>
              <w:t>9</w:t>
            </w:r>
            <w:r>
              <w:rPr>
                <w:noProof/>
                <w:webHidden/>
              </w:rPr>
              <w:fldChar w:fldCharType="end"/>
            </w:r>
          </w:hyperlink>
        </w:p>
        <w:p w14:paraId="1E636B37" w14:textId="290CDC40" w:rsidR="00E0713E" w:rsidRDefault="00E0713E">
          <w:pPr>
            <w:pStyle w:val="INNH2"/>
            <w:rPr>
              <w:rFonts w:eastAsiaTheme="minorEastAsia"/>
              <w:noProof/>
              <w:kern w:val="2"/>
              <w:sz w:val="24"/>
              <w:szCs w:val="24"/>
              <w:lang w:eastAsia="nb-NO"/>
              <w14:ligatures w14:val="standardContextual"/>
            </w:rPr>
          </w:pPr>
          <w:hyperlink w:anchor="_Toc176264502" w:history="1">
            <w:r w:rsidRPr="00C5184C">
              <w:rPr>
                <w:rStyle w:val="Hyperkobling"/>
                <w:noProof/>
              </w:rPr>
              <w:t>1.4 3 Kunnskap og kompetanse for økt verdiskaping</w:t>
            </w:r>
            <w:r>
              <w:rPr>
                <w:noProof/>
                <w:webHidden/>
              </w:rPr>
              <w:tab/>
            </w:r>
            <w:r w:rsidR="007C08B4">
              <w:rPr>
                <w:noProof/>
                <w:webHidden/>
              </w:rPr>
              <w:tab/>
            </w:r>
            <w:r>
              <w:rPr>
                <w:noProof/>
                <w:webHidden/>
              </w:rPr>
              <w:fldChar w:fldCharType="begin"/>
            </w:r>
            <w:r>
              <w:rPr>
                <w:noProof/>
                <w:webHidden/>
              </w:rPr>
              <w:instrText xml:space="preserve"> PAGEREF _Toc176264502 \h </w:instrText>
            </w:r>
            <w:r>
              <w:rPr>
                <w:noProof/>
                <w:webHidden/>
              </w:rPr>
            </w:r>
            <w:r>
              <w:rPr>
                <w:noProof/>
                <w:webHidden/>
              </w:rPr>
              <w:fldChar w:fldCharType="separate"/>
            </w:r>
            <w:r>
              <w:rPr>
                <w:noProof/>
                <w:webHidden/>
              </w:rPr>
              <w:t>11</w:t>
            </w:r>
            <w:r>
              <w:rPr>
                <w:noProof/>
                <w:webHidden/>
              </w:rPr>
              <w:fldChar w:fldCharType="end"/>
            </w:r>
          </w:hyperlink>
        </w:p>
        <w:p w14:paraId="6714D207" w14:textId="1F26EAB8" w:rsidR="00E0713E" w:rsidRDefault="00E0713E">
          <w:pPr>
            <w:pStyle w:val="INNH2"/>
            <w:rPr>
              <w:rFonts w:eastAsiaTheme="minorEastAsia"/>
              <w:noProof/>
              <w:kern w:val="2"/>
              <w:sz w:val="24"/>
              <w:szCs w:val="24"/>
              <w:lang w:eastAsia="nb-NO"/>
              <w14:ligatures w14:val="standardContextual"/>
            </w:rPr>
          </w:pPr>
          <w:hyperlink w:anchor="_Toc176264503" w:history="1">
            <w:r w:rsidRPr="00C5184C">
              <w:rPr>
                <w:rStyle w:val="Hyperkobling"/>
                <w:noProof/>
              </w:rPr>
              <w:t>1.4.4 Høyere utdanning tilgjengelig for alle</w:t>
            </w:r>
            <w:r>
              <w:rPr>
                <w:noProof/>
                <w:webHidden/>
              </w:rPr>
              <w:tab/>
            </w:r>
            <w:r w:rsidR="007C08B4">
              <w:rPr>
                <w:noProof/>
                <w:webHidden/>
              </w:rPr>
              <w:tab/>
            </w:r>
            <w:r w:rsidR="007C08B4">
              <w:rPr>
                <w:noProof/>
                <w:webHidden/>
              </w:rPr>
              <w:tab/>
            </w:r>
            <w:r>
              <w:rPr>
                <w:noProof/>
                <w:webHidden/>
              </w:rPr>
              <w:fldChar w:fldCharType="begin"/>
            </w:r>
            <w:r>
              <w:rPr>
                <w:noProof/>
                <w:webHidden/>
              </w:rPr>
              <w:instrText xml:space="preserve"> PAGEREF _Toc176264503 \h </w:instrText>
            </w:r>
            <w:r>
              <w:rPr>
                <w:noProof/>
                <w:webHidden/>
              </w:rPr>
            </w:r>
            <w:r>
              <w:rPr>
                <w:noProof/>
                <w:webHidden/>
              </w:rPr>
              <w:fldChar w:fldCharType="separate"/>
            </w:r>
            <w:r>
              <w:rPr>
                <w:noProof/>
                <w:webHidden/>
              </w:rPr>
              <w:t>13</w:t>
            </w:r>
            <w:r>
              <w:rPr>
                <w:noProof/>
                <w:webHidden/>
              </w:rPr>
              <w:fldChar w:fldCharType="end"/>
            </w:r>
          </w:hyperlink>
        </w:p>
        <w:p w14:paraId="24CA4776" w14:textId="05851301" w:rsidR="00E0713E" w:rsidRDefault="00E0713E">
          <w:pPr>
            <w:pStyle w:val="INNH2"/>
            <w:rPr>
              <w:rFonts w:eastAsiaTheme="minorEastAsia"/>
              <w:noProof/>
              <w:kern w:val="2"/>
              <w:sz w:val="24"/>
              <w:szCs w:val="24"/>
              <w:lang w:eastAsia="nb-NO"/>
              <w14:ligatures w14:val="standardContextual"/>
            </w:rPr>
          </w:pPr>
          <w:hyperlink w:anchor="_Toc176264504" w:history="1">
            <w:r w:rsidRPr="00C5184C">
              <w:rPr>
                <w:rStyle w:val="Hyperkobling"/>
                <w:noProof/>
              </w:rPr>
              <w:t>1.4.5 Gode vilkår for ytringsfrihet – gode kår for kunnskap</w:t>
            </w:r>
            <w:r>
              <w:rPr>
                <w:noProof/>
                <w:webHidden/>
              </w:rPr>
              <w:tab/>
            </w:r>
            <w:r>
              <w:rPr>
                <w:noProof/>
                <w:webHidden/>
              </w:rPr>
              <w:fldChar w:fldCharType="begin"/>
            </w:r>
            <w:r>
              <w:rPr>
                <w:noProof/>
                <w:webHidden/>
              </w:rPr>
              <w:instrText xml:space="preserve"> PAGEREF _Toc176264504 \h </w:instrText>
            </w:r>
            <w:r>
              <w:rPr>
                <w:noProof/>
                <w:webHidden/>
              </w:rPr>
            </w:r>
            <w:r>
              <w:rPr>
                <w:noProof/>
                <w:webHidden/>
              </w:rPr>
              <w:fldChar w:fldCharType="separate"/>
            </w:r>
            <w:r>
              <w:rPr>
                <w:noProof/>
                <w:webHidden/>
              </w:rPr>
              <w:t>13</w:t>
            </w:r>
            <w:r>
              <w:rPr>
                <w:noProof/>
                <w:webHidden/>
              </w:rPr>
              <w:fldChar w:fldCharType="end"/>
            </w:r>
          </w:hyperlink>
        </w:p>
        <w:p w14:paraId="7F244970" w14:textId="2A93AE5B" w:rsidR="00E0713E" w:rsidRDefault="00E0713E">
          <w:pPr>
            <w:pStyle w:val="INNH2"/>
            <w:rPr>
              <w:rFonts w:eastAsiaTheme="minorEastAsia"/>
              <w:noProof/>
              <w:kern w:val="2"/>
              <w:sz w:val="24"/>
              <w:szCs w:val="24"/>
              <w:lang w:eastAsia="nb-NO"/>
              <w14:ligatures w14:val="standardContextual"/>
            </w:rPr>
          </w:pPr>
          <w:hyperlink w:anchor="_Toc176264505" w:history="1">
            <w:r w:rsidRPr="00C5184C">
              <w:rPr>
                <w:rStyle w:val="Hyperkobling"/>
                <w:noProof/>
              </w:rPr>
              <w:t>1.5 Rapporter og undersøkelser</w:t>
            </w:r>
            <w:r>
              <w:rPr>
                <w:noProof/>
                <w:webHidden/>
              </w:rPr>
              <w:tab/>
            </w:r>
            <w:r w:rsidR="007C08B4">
              <w:rPr>
                <w:noProof/>
                <w:webHidden/>
              </w:rPr>
              <w:tab/>
            </w:r>
            <w:r w:rsidR="007C08B4">
              <w:rPr>
                <w:noProof/>
                <w:webHidden/>
              </w:rPr>
              <w:tab/>
            </w:r>
            <w:r w:rsidR="007C08B4">
              <w:rPr>
                <w:noProof/>
                <w:webHidden/>
              </w:rPr>
              <w:tab/>
            </w:r>
            <w:r>
              <w:rPr>
                <w:noProof/>
                <w:webHidden/>
              </w:rPr>
              <w:fldChar w:fldCharType="begin"/>
            </w:r>
            <w:r>
              <w:rPr>
                <w:noProof/>
                <w:webHidden/>
              </w:rPr>
              <w:instrText xml:space="preserve"> PAGEREF _Toc176264505 \h </w:instrText>
            </w:r>
            <w:r>
              <w:rPr>
                <w:noProof/>
                <w:webHidden/>
              </w:rPr>
            </w:r>
            <w:r>
              <w:rPr>
                <w:noProof/>
                <w:webHidden/>
              </w:rPr>
              <w:fldChar w:fldCharType="separate"/>
            </w:r>
            <w:r>
              <w:rPr>
                <w:noProof/>
                <w:webHidden/>
              </w:rPr>
              <w:t>14</w:t>
            </w:r>
            <w:r>
              <w:rPr>
                <w:noProof/>
                <w:webHidden/>
              </w:rPr>
              <w:fldChar w:fldCharType="end"/>
            </w:r>
          </w:hyperlink>
        </w:p>
        <w:p w14:paraId="2E224A25" w14:textId="38792A5A" w:rsidR="00E0713E" w:rsidRDefault="00E0713E">
          <w:pPr>
            <w:pStyle w:val="INNH2"/>
            <w:rPr>
              <w:rStyle w:val="Hyperkobling"/>
              <w:noProof/>
            </w:rPr>
          </w:pPr>
          <w:hyperlink w:anchor="_Toc176264506" w:history="1">
            <w:r w:rsidRPr="00C5184C">
              <w:rPr>
                <w:rStyle w:val="Hyperkobling"/>
                <w:noProof/>
              </w:rPr>
              <w:t>1.6 Akademikerprisen</w:t>
            </w:r>
            <w:r>
              <w:rPr>
                <w:noProof/>
                <w:webHidden/>
              </w:rPr>
              <w:tab/>
            </w:r>
            <w:r w:rsidR="007C08B4">
              <w:rPr>
                <w:noProof/>
                <w:webHidden/>
              </w:rPr>
              <w:tab/>
            </w:r>
            <w:r w:rsidR="007C08B4">
              <w:rPr>
                <w:noProof/>
                <w:webHidden/>
              </w:rPr>
              <w:tab/>
            </w:r>
            <w:r w:rsidR="007C08B4">
              <w:rPr>
                <w:noProof/>
                <w:webHidden/>
              </w:rPr>
              <w:tab/>
            </w:r>
            <w:r w:rsidR="007C08B4">
              <w:rPr>
                <w:noProof/>
                <w:webHidden/>
              </w:rPr>
              <w:tab/>
            </w:r>
            <w:r>
              <w:rPr>
                <w:noProof/>
                <w:webHidden/>
              </w:rPr>
              <w:fldChar w:fldCharType="begin"/>
            </w:r>
            <w:r>
              <w:rPr>
                <w:noProof/>
                <w:webHidden/>
              </w:rPr>
              <w:instrText xml:space="preserve"> PAGEREF _Toc176264506 \h </w:instrText>
            </w:r>
            <w:r>
              <w:rPr>
                <w:noProof/>
                <w:webHidden/>
              </w:rPr>
            </w:r>
            <w:r>
              <w:rPr>
                <w:noProof/>
                <w:webHidden/>
              </w:rPr>
              <w:fldChar w:fldCharType="separate"/>
            </w:r>
            <w:r>
              <w:rPr>
                <w:noProof/>
                <w:webHidden/>
              </w:rPr>
              <w:t>15</w:t>
            </w:r>
            <w:r>
              <w:rPr>
                <w:noProof/>
                <w:webHidden/>
              </w:rPr>
              <w:fldChar w:fldCharType="end"/>
            </w:r>
          </w:hyperlink>
        </w:p>
        <w:p w14:paraId="7B44AC56" w14:textId="77777777" w:rsidR="007C08B4" w:rsidRPr="007C08B4" w:rsidRDefault="007C08B4" w:rsidP="007C08B4"/>
        <w:p w14:paraId="74833C0A" w14:textId="61386DB3" w:rsidR="00E0713E" w:rsidRDefault="00E0713E">
          <w:pPr>
            <w:pStyle w:val="INNH1"/>
            <w:rPr>
              <w:rFonts w:eastAsiaTheme="minorEastAsia"/>
              <w:b w:val="0"/>
              <w:bCs w:val="0"/>
              <w:noProof/>
              <w:kern w:val="2"/>
              <w:sz w:val="24"/>
              <w:szCs w:val="24"/>
              <w:lang w:eastAsia="nb-NO"/>
              <w14:ligatures w14:val="standardContextual"/>
            </w:rPr>
          </w:pPr>
          <w:hyperlink w:anchor="_Toc176264507" w:history="1">
            <w:r w:rsidRPr="00C5184C">
              <w:rPr>
                <w:rStyle w:val="Hyperkobling"/>
                <w:noProof/>
              </w:rPr>
              <w:t>2. Lønn og tariff</w:t>
            </w:r>
            <w:r>
              <w:rPr>
                <w:noProof/>
                <w:webHidden/>
              </w:rPr>
              <w:tab/>
            </w:r>
            <w:r w:rsidR="007C08B4">
              <w:rPr>
                <w:noProof/>
                <w:webHidden/>
              </w:rPr>
              <w:tab/>
            </w:r>
            <w:r w:rsidR="007C08B4">
              <w:rPr>
                <w:noProof/>
                <w:webHidden/>
              </w:rPr>
              <w:tab/>
            </w:r>
            <w:r w:rsidR="007C08B4">
              <w:rPr>
                <w:noProof/>
                <w:webHidden/>
              </w:rPr>
              <w:tab/>
            </w:r>
            <w:r w:rsidR="007C08B4">
              <w:rPr>
                <w:noProof/>
                <w:webHidden/>
              </w:rPr>
              <w:tab/>
            </w:r>
            <w:r w:rsidR="007C08B4">
              <w:rPr>
                <w:noProof/>
                <w:webHidden/>
              </w:rPr>
              <w:tab/>
            </w:r>
            <w:r>
              <w:rPr>
                <w:noProof/>
                <w:webHidden/>
              </w:rPr>
              <w:fldChar w:fldCharType="begin"/>
            </w:r>
            <w:r>
              <w:rPr>
                <w:noProof/>
                <w:webHidden/>
              </w:rPr>
              <w:instrText xml:space="preserve"> PAGEREF _Toc176264507 \h </w:instrText>
            </w:r>
            <w:r>
              <w:rPr>
                <w:noProof/>
                <w:webHidden/>
              </w:rPr>
            </w:r>
            <w:r>
              <w:rPr>
                <w:noProof/>
                <w:webHidden/>
              </w:rPr>
              <w:fldChar w:fldCharType="separate"/>
            </w:r>
            <w:r>
              <w:rPr>
                <w:noProof/>
                <w:webHidden/>
              </w:rPr>
              <w:t>15</w:t>
            </w:r>
            <w:r>
              <w:rPr>
                <w:noProof/>
                <w:webHidden/>
              </w:rPr>
              <w:fldChar w:fldCharType="end"/>
            </w:r>
          </w:hyperlink>
        </w:p>
        <w:p w14:paraId="69A33A3A" w14:textId="5E102C36" w:rsidR="00E0713E" w:rsidRDefault="00E0713E">
          <w:pPr>
            <w:pStyle w:val="INNH2"/>
            <w:rPr>
              <w:rFonts w:eastAsiaTheme="minorEastAsia"/>
              <w:noProof/>
              <w:kern w:val="2"/>
              <w:sz w:val="24"/>
              <w:szCs w:val="24"/>
              <w:lang w:eastAsia="nb-NO"/>
              <w14:ligatures w14:val="standardContextual"/>
            </w:rPr>
          </w:pPr>
          <w:hyperlink w:anchor="_Toc176264508" w:history="1">
            <w:r w:rsidRPr="00C5184C">
              <w:rPr>
                <w:rStyle w:val="Hyperkobling"/>
                <w:noProof/>
              </w:rPr>
              <w:t>2.1 Saker som særlig har preget tariffpolitikken i perioden</w:t>
            </w:r>
            <w:r>
              <w:rPr>
                <w:noProof/>
                <w:webHidden/>
              </w:rPr>
              <w:tab/>
            </w:r>
            <w:r>
              <w:rPr>
                <w:noProof/>
                <w:webHidden/>
              </w:rPr>
              <w:fldChar w:fldCharType="begin"/>
            </w:r>
            <w:r>
              <w:rPr>
                <w:noProof/>
                <w:webHidden/>
              </w:rPr>
              <w:instrText xml:space="preserve"> PAGEREF _Toc176264508 \h </w:instrText>
            </w:r>
            <w:r>
              <w:rPr>
                <w:noProof/>
                <w:webHidden/>
              </w:rPr>
            </w:r>
            <w:r>
              <w:rPr>
                <w:noProof/>
                <w:webHidden/>
              </w:rPr>
              <w:fldChar w:fldCharType="separate"/>
            </w:r>
            <w:r>
              <w:rPr>
                <w:noProof/>
                <w:webHidden/>
              </w:rPr>
              <w:t>15</w:t>
            </w:r>
            <w:r>
              <w:rPr>
                <w:noProof/>
                <w:webHidden/>
              </w:rPr>
              <w:fldChar w:fldCharType="end"/>
            </w:r>
          </w:hyperlink>
        </w:p>
        <w:p w14:paraId="35FDA0CE" w14:textId="054541AD" w:rsidR="00E0713E" w:rsidRDefault="00E0713E">
          <w:pPr>
            <w:pStyle w:val="INNH2"/>
            <w:rPr>
              <w:rFonts w:eastAsiaTheme="minorEastAsia"/>
              <w:noProof/>
              <w:kern w:val="2"/>
              <w:sz w:val="24"/>
              <w:szCs w:val="24"/>
              <w:lang w:eastAsia="nb-NO"/>
              <w14:ligatures w14:val="standardContextual"/>
            </w:rPr>
          </w:pPr>
          <w:hyperlink w:anchor="_Toc176264509" w:history="1">
            <w:r w:rsidRPr="00C5184C">
              <w:rPr>
                <w:rStyle w:val="Hyperkobling"/>
                <w:noProof/>
              </w:rPr>
              <w:t>2.2 Akademikernes utvalg</w:t>
            </w:r>
            <w:r>
              <w:rPr>
                <w:noProof/>
                <w:webHidden/>
              </w:rPr>
              <w:tab/>
            </w:r>
            <w:r w:rsidR="007C08B4">
              <w:rPr>
                <w:noProof/>
                <w:webHidden/>
              </w:rPr>
              <w:tab/>
            </w:r>
            <w:r w:rsidR="007C08B4">
              <w:rPr>
                <w:noProof/>
                <w:webHidden/>
              </w:rPr>
              <w:tab/>
            </w:r>
            <w:r w:rsidR="007C08B4">
              <w:rPr>
                <w:noProof/>
                <w:webHidden/>
              </w:rPr>
              <w:tab/>
            </w:r>
            <w:r w:rsidR="007C08B4">
              <w:rPr>
                <w:noProof/>
                <w:webHidden/>
              </w:rPr>
              <w:tab/>
            </w:r>
            <w:r>
              <w:rPr>
                <w:noProof/>
                <w:webHidden/>
              </w:rPr>
              <w:fldChar w:fldCharType="begin"/>
            </w:r>
            <w:r>
              <w:rPr>
                <w:noProof/>
                <w:webHidden/>
              </w:rPr>
              <w:instrText xml:space="preserve"> PAGEREF _Toc176264509 \h </w:instrText>
            </w:r>
            <w:r>
              <w:rPr>
                <w:noProof/>
                <w:webHidden/>
              </w:rPr>
            </w:r>
            <w:r>
              <w:rPr>
                <w:noProof/>
                <w:webHidden/>
              </w:rPr>
              <w:fldChar w:fldCharType="separate"/>
            </w:r>
            <w:r>
              <w:rPr>
                <w:noProof/>
                <w:webHidden/>
              </w:rPr>
              <w:t>17</w:t>
            </w:r>
            <w:r>
              <w:rPr>
                <w:noProof/>
                <w:webHidden/>
              </w:rPr>
              <w:fldChar w:fldCharType="end"/>
            </w:r>
          </w:hyperlink>
        </w:p>
        <w:p w14:paraId="5E0EE197" w14:textId="3A76D350" w:rsidR="00E0713E" w:rsidRDefault="00E0713E">
          <w:pPr>
            <w:pStyle w:val="INNH2"/>
            <w:rPr>
              <w:rFonts w:eastAsiaTheme="minorEastAsia"/>
              <w:noProof/>
              <w:kern w:val="2"/>
              <w:sz w:val="24"/>
              <w:szCs w:val="24"/>
              <w:lang w:eastAsia="nb-NO"/>
              <w14:ligatures w14:val="standardContextual"/>
            </w:rPr>
          </w:pPr>
          <w:hyperlink w:anchor="_Toc176264510" w:history="1">
            <w:r w:rsidRPr="00C5184C">
              <w:rPr>
                <w:rStyle w:val="Hyperkobling"/>
                <w:noProof/>
              </w:rPr>
              <w:t>2.2.1 Akademikerne stat</w:t>
            </w:r>
            <w:r>
              <w:rPr>
                <w:noProof/>
                <w:webHidden/>
              </w:rPr>
              <w:tab/>
            </w:r>
            <w:r w:rsidR="007C08B4">
              <w:rPr>
                <w:noProof/>
                <w:webHidden/>
              </w:rPr>
              <w:tab/>
            </w:r>
            <w:r w:rsidR="007C08B4">
              <w:rPr>
                <w:noProof/>
                <w:webHidden/>
              </w:rPr>
              <w:tab/>
            </w:r>
            <w:r w:rsidR="007C08B4">
              <w:rPr>
                <w:noProof/>
                <w:webHidden/>
              </w:rPr>
              <w:tab/>
            </w:r>
            <w:r w:rsidR="007C08B4">
              <w:rPr>
                <w:noProof/>
                <w:webHidden/>
              </w:rPr>
              <w:tab/>
            </w:r>
            <w:r>
              <w:rPr>
                <w:noProof/>
                <w:webHidden/>
              </w:rPr>
              <w:fldChar w:fldCharType="begin"/>
            </w:r>
            <w:r>
              <w:rPr>
                <w:noProof/>
                <w:webHidden/>
              </w:rPr>
              <w:instrText xml:space="preserve"> PAGEREF _Toc176264510 \h </w:instrText>
            </w:r>
            <w:r>
              <w:rPr>
                <w:noProof/>
                <w:webHidden/>
              </w:rPr>
            </w:r>
            <w:r>
              <w:rPr>
                <w:noProof/>
                <w:webHidden/>
              </w:rPr>
              <w:fldChar w:fldCharType="separate"/>
            </w:r>
            <w:r>
              <w:rPr>
                <w:noProof/>
                <w:webHidden/>
              </w:rPr>
              <w:t>17</w:t>
            </w:r>
            <w:r>
              <w:rPr>
                <w:noProof/>
                <w:webHidden/>
              </w:rPr>
              <w:fldChar w:fldCharType="end"/>
            </w:r>
          </w:hyperlink>
        </w:p>
        <w:p w14:paraId="7BF14720" w14:textId="310367EB" w:rsidR="00E0713E" w:rsidRDefault="00E0713E">
          <w:pPr>
            <w:pStyle w:val="INNH2"/>
            <w:rPr>
              <w:rFonts w:eastAsiaTheme="minorEastAsia"/>
              <w:noProof/>
              <w:kern w:val="2"/>
              <w:sz w:val="24"/>
              <w:szCs w:val="24"/>
              <w:lang w:eastAsia="nb-NO"/>
              <w14:ligatures w14:val="standardContextual"/>
            </w:rPr>
          </w:pPr>
          <w:hyperlink w:anchor="_Toc176264511" w:history="1">
            <w:r w:rsidRPr="00C5184C">
              <w:rPr>
                <w:rStyle w:val="Hyperkobling"/>
                <w:noProof/>
              </w:rPr>
              <w:t>2.2.2 Akademikerne kommune - KS</w:t>
            </w:r>
            <w:r>
              <w:rPr>
                <w:noProof/>
                <w:webHidden/>
              </w:rPr>
              <w:tab/>
            </w:r>
            <w:r w:rsidR="007C08B4">
              <w:rPr>
                <w:noProof/>
                <w:webHidden/>
              </w:rPr>
              <w:tab/>
            </w:r>
            <w:r w:rsidR="007C08B4">
              <w:rPr>
                <w:noProof/>
                <w:webHidden/>
              </w:rPr>
              <w:tab/>
            </w:r>
            <w:r w:rsidR="007C08B4">
              <w:rPr>
                <w:noProof/>
                <w:webHidden/>
              </w:rPr>
              <w:tab/>
            </w:r>
            <w:r>
              <w:rPr>
                <w:noProof/>
                <w:webHidden/>
              </w:rPr>
              <w:fldChar w:fldCharType="begin"/>
            </w:r>
            <w:r>
              <w:rPr>
                <w:noProof/>
                <w:webHidden/>
              </w:rPr>
              <w:instrText xml:space="preserve"> PAGEREF _Toc176264511 \h </w:instrText>
            </w:r>
            <w:r>
              <w:rPr>
                <w:noProof/>
                <w:webHidden/>
              </w:rPr>
            </w:r>
            <w:r>
              <w:rPr>
                <w:noProof/>
                <w:webHidden/>
              </w:rPr>
              <w:fldChar w:fldCharType="separate"/>
            </w:r>
            <w:r>
              <w:rPr>
                <w:noProof/>
                <w:webHidden/>
              </w:rPr>
              <w:t>18</w:t>
            </w:r>
            <w:r>
              <w:rPr>
                <w:noProof/>
                <w:webHidden/>
              </w:rPr>
              <w:fldChar w:fldCharType="end"/>
            </w:r>
          </w:hyperlink>
        </w:p>
        <w:p w14:paraId="00CEE71D" w14:textId="50292C5C" w:rsidR="00E0713E" w:rsidRDefault="00E0713E">
          <w:pPr>
            <w:pStyle w:val="INNH2"/>
            <w:rPr>
              <w:rFonts w:eastAsiaTheme="minorEastAsia"/>
              <w:noProof/>
              <w:kern w:val="2"/>
              <w:sz w:val="24"/>
              <w:szCs w:val="24"/>
              <w:lang w:eastAsia="nb-NO"/>
              <w14:ligatures w14:val="standardContextual"/>
            </w:rPr>
          </w:pPr>
          <w:hyperlink w:anchor="_Toc176264513" w:history="1">
            <w:r w:rsidRPr="00C5184C">
              <w:rPr>
                <w:rStyle w:val="Hyperkobling"/>
                <w:bCs/>
                <w:noProof/>
              </w:rPr>
              <w:t>2.2.3 Akademikerne kommune – Samfunnsbedriftene</w:t>
            </w:r>
            <w:r>
              <w:rPr>
                <w:noProof/>
                <w:webHidden/>
              </w:rPr>
              <w:tab/>
            </w:r>
            <w:r w:rsidR="00BA0DDA">
              <w:rPr>
                <w:noProof/>
                <w:webHidden/>
              </w:rPr>
              <w:tab/>
            </w:r>
            <w:r>
              <w:rPr>
                <w:noProof/>
                <w:webHidden/>
              </w:rPr>
              <w:fldChar w:fldCharType="begin"/>
            </w:r>
            <w:r>
              <w:rPr>
                <w:noProof/>
                <w:webHidden/>
              </w:rPr>
              <w:instrText xml:space="preserve"> PAGEREF _Toc176264513 \h </w:instrText>
            </w:r>
            <w:r>
              <w:rPr>
                <w:noProof/>
                <w:webHidden/>
              </w:rPr>
            </w:r>
            <w:r>
              <w:rPr>
                <w:noProof/>
                <w:webHidden/>
              </w:rPr>
              <w:fldChar w:fldCharType="separate"/>
            </w:r>
            <w:r>
              <w:rPr>
                <w:noProof/>
                <w:webHidden/>
              </w:rPr>
              <w:t>19</w:t>
            </w:r>
            <w:r>
              <w:rPr>
                <w:noProof/>
                <w:webHidden/>
              </w:rPr>
              <w:fldChar w:fldCharType="end"/>
            </w:r>
          </w:hyperlink>
        </w:p>
        <w:p w14:paraId="1C84EBED" w14:textId="56979F56" w:rsidR="00E0713E" w:rsidRDefault="00E0713E">
          <w:pPr>
            <w:pStyle w:val="INNH2"/>
            <w:rPr>
              <w:rFonts w:eastAsiaTheme="minorEastAsia"/>
              <w:noProof/>
              <w:kern w:val="2"/>
              <w:sz w:val="24"/>
              <w:szCs w:val="24"/>
              <w:lang w:eastAsia="nb-NO"/>
              <w14:ligatures w14:val="standardContextual"/>
            </w:rPr>
          </w:pPr>
          <w:hyperlink w:anchor="_Toc176264514" w:history="1">
            <w:r w:rsidRPr="00C5184C">
              <w:rPr>
                <w:rStyle w:val="Hyperkobling"/>
                <w:noProof/>
              </w:rPr>
              <w:t>2.2.4 Akademikerne kommune - Oslo kommune</w:t>
            </w:r>
            <w:r>
              <w:rPr>
                <w:noProof/>
                <w:webHidden/>
              </w:rPr>
              <w:tab/>
            </w:r>
            <w:r w:rsidR="00BA0DDA">
              <w:rPr>
                <w:noProof/>
                <w:webHidden/>
              </w:rPr>
              <w:tab/>
            </w:r>
            <w:r>
              <w:rPr>
                <w:noProof/>
                <w:webHidden/>
              </w:rPr>
              <w:fldChar w:fldCharType="begin"/>
            </w:r>
            <w:r>
              <w:rPr>
                <w:noProof/>
                <w:webHidden/>
              </w:rPr>
              <w:instrText xml:space="preserve"> PAGEREF _Toc176264514 \h </w:instrText>
            </w:r>
            <w:r>
              <w:rPr>
                <w:noProof/>
                <w:webHidden/>
              </w:rPr>
            </w:r>
            <w:r>
              <w:rPr>
                <w:noProof/>
                <w:webHidden/>
              </w:rPr>
              <w:fldChar w:fldCharType="separate"/>
            </w:r>
            <w:r>
              <w:rPr>
                <w:noProof/>
                <w:webHidden/>
              </w:rPr>
              <w:t>20</w:t>
            </w:r>
            <w:r>
              <w:rPr>
                <w:noProof/>
                <w:webHidden/>
              </w:rPr>
              <w:fldChar w:fldCharType="end"/>
            </w:r>
          </w:hyperlink>
        </w:p>
        <w:p w14:paraId="7E1F88E9" w14:textId="154BB0E4" w:rsidR="00E0713E" w:rsidRDefault="00E0713E">
          <w:pPr>
            <w:pStyle w:val="INNH2"/>
            <w:rPr>
              <w:rFonts w:eastAsiaTheme="minorEastAsia"/>
              <w:noProof/>
              <w:kern w:val="2"/>
              <w:sz w:val="24"/>
              <w:szCs w:val="24"/>
              <w:lang w:eastAsia="nb-NO"/>
              <w14:ligatures w14:val="standardContextual"/>
            </w:rPr>
          </w:pPr>
          <w:hyperlink w:anchor="_Toc176264516" w:history="1">
            <w:r w:rsidRPr="00C5184C">
              <w:rPr>
                <w:rStyle w:val="Hyperkobling"/>
                <w:noProof/>
              </w:rPr>
              <w:t>2.2.5 Akademikerne helse</w:t>
            </w:r>
            <w:r>
              <w:rPr>
                <w:noProof/>
                <w:webHidden/>
              </w:rPr>
              <w:tab/>
            </w:r>
            <w:r w:rsidR="009573A0">
              <w:rPr>
                <w:noProof/>
                <w:webHidden/>
              </w:rPr>
              <w:tab/>
            </w:r>
            <w:r w:rsidR="009573A0">
              <w:rPr>
                <w:noProof/>
                <w:webHidden/>
              </w:rPr>
              <w:tab/>
            </w:r>
            <w:r w:rsidR="009573A0">
              <w:rPr>
                <w:noProof/>
                <w:webHidden/>
              </w:rPr>
              <w:tab/>
            </w:r>
            <w:r w:rsidR="009573A0">
              <w:rPr>
                <w:noProof/>
                <w:webHidden/>
              </w:rPr>
              <w:tab/>
            </w:r>
            <w:r>
              <w:rPr>
                <w:noProof/>
                <w:webHidden/>
              </w:rPr>
              <w:fldChar w:fldCharType="begin"/>
            </w:r>
            <w:r>
              <w:rPr>
                <w:noProof/>
                <w:webHidden/>
              </w:rPr>
              <w:instrText xml:space="preserve"> PAGEREF _Toc176264516 \h </w:instrText>
            </w:r>
            <w:r>
              <w:rPr>
                <w:noProof/>
                <w:webHidden/>
              </w:rPr>
            </w:r>
            <w:r>
              <w:rPr>
                <w:noProof/>
                <w:webHidden/>
              </w:rPr>
              <w:fldChar w:fldCharType="separate"/>
            </w:r>
            <w:r>
              <w:rPr>
                <w:noProof/>
                <w:webHidden/>
              </w:rPr>
              <w:t>20</w:t>
            </w:r>
            <w:r>
              <w:rPr>
                <w:noProof/>
                <w:webHidden/>
              </w:rPr>
              <w:fldChar w:fldCharType="end"/>
            </w:r>
          </w:hyperlink>
        </w:p>
        <w:p w14:paraId="1AD444CD" w14:textId="0E2AA7D9" w:rsidR="00E0713E" w:rsidRDefault="00E0713E">
          <w:pPr>
            <w:pStyle w:val="INNH2"/>
            <w:rPr>
              <w:rFonts w:eastAsiaTheme="minorEastAsia"/>
              <w:noProof/>
              <w:kern w:val="2"/>
              <w:sz w:val="24"/>
              <w:szCs w:val="24"/>
              <w:lang w:eastAsia="nb-NO"/>
              <w14:ligatures w14:val="standardContextual"/>
            </w:rPr>
          </w:pPr>
          <w:hyperlink w:anchor="_Toc176264517" w:history="1">
            <w:r w:rsidRPr="00C5184C">
              <w:rPr>
                <w:rStyle w:val="Hyperkobling"/>
                <w:noProof/>
              </w:rPr>
              <w:t>2.3 Samarbeidsorganer</w:t>
            </w:r>
            <w:r>
              <w:rPr>
                <w:noProof/>
                <w:webHidden/>
              </w:rPr>
              <w:tab/>
            </w:r>
            <w:r w:rsidR="009573A0">
              <w:rPr>
                <w:noProof/>
                <w:webHidden/>
              </w:rPr>
              <w:tab/>
            </w:r>
            <w:r w:rsidR="009573A0">
              <w:rPr>
                <w:noProof/>
                <w:webHidden/>
              </w:rPr>
              <w:tab/>
            </w:r>
            <w:r w:rsidR="009573A0">
              <w:rPr>
                <w:noProof/>
                <w:webHidden/>
              </w:rPr>
              <w:tab/>
            </w:r>
            <w:r w:rsidR="009573A0">
              <w:rPr>
                <w:noProof/>
                <w:webHidden/>
              </w:rPr>
              <w:tab/>
            </w:r>
            <w:r>
              <w:rPr>
                <w:noProof/>
                <w:webHidden/>
              </w:rPr>
              <w:fldChar w:fldCharType="begin"/>
            </w:r>
            <w:r>
              <w:rPr>
                <w:noProof/>
                <w:webHidden/>
              </w:rPr>
              <w:instrText xml:space="preserve"> PAGEREF _Toc176264517 \h </w:instrText>
            </w:r>
            <w:r>
              <w:rPr>
                <w:noProof/>
                <w:webHidden/>
              </w:rPr>
            </w:r>
            <w:r>
              <w:rPr>
                <w:noProof/>
                <w:webHidden/>
              </w:rPr>
              <w:fldChar w:fldCharType="separate"/>
            </w:r>
            <w:r>
              <w:rPr>
                <w:noProof/>
                <w:webHidden/>
              </w:rPr>
              <w:t>21</w:t>
            </w:r>
            <w:r>
              <w:rPr>
                <w:noProof/>
                <w:webHidden/>
              </w:rPr>
              <w:fldChar w:fldCharType="end"/>
            </w:r>
          </w:hyperlink>
        </w:p>
        <w:p w14:paraId="5C6028CA" w14:textId="2A24B606" w:rsidR="00E0713E" w:rsidRDefault="00E0713E" w:rsidP="7D2E21D8">
          <w:pPr>
            <w:pStyle w:val="INNH2"/>
            <w:rPr>
              <w:rFonts w:eastAsiaTheme="minorEastAsia"/>
              <w:noProof/>
              <w:kern w:val="2"/>
              <w:sz w:val="24"/>
              <w:szCs w:val="24"/>
              <w:lang w:eastAsia="nb-NO"/>
              <w14:ligatures w14:val="standardContextual"/>
            </w:rPr>
          </w:pPr>
          <w:hyperlink w:anchor="_Toc176264518" w:history="1">
            <w:r w:rsidRPr="00C5184C">
              <w:rPr>
                <w:rStyle w:val="Hyperkobling"/>
                <w:noProof/>
              </w:rPr>
              <w:t>2.3.1 Akademikerne næringsdrivende</w:t>
            </w:r>
            <w:r w:rsidR="009573A0">
              <w:rPr>
                <w:rStyle w:val="Hyperkobling"/>
                <w:noProof/>
              </w:rPr>
              <w:tab/>
            </w:r>
            <w:r w:rsidR="009573A0">
              <w:rPr>
                <w:rStyle w:val="Hyperkobling"/>
                <w:noProof/>
              </w:rPr>
              <w:tab/>
            </w:r>
            <w:r w:rsidR="009573A0">
              <w:rPr>
                <w:rStyle w:val="Hyperkobling"/>
                <w:noProof/>
              </w:rPr>
              <w:tab/>
            </w:r>
            <w:r>
              <w:rPr>
                <w:noProof/>
                <w:webHidden/>
              </w:rPr>
              <w:tab/>
            </w:r>
            <w:r>
              <w:rPr>
                <w:noProof/>
                <w:webHidden/>
              </w:rPr>
              <w:fldChar w:fldCharType="begin"/>
            </w:r>
            <w:r>
              <w:rPr>
                <w:noProof/>
                <w:webHidden/>
              </w:rPr>
              <w:instrText xml:space="preserve"> PAGEREF _Toc176264518 \h </w:instrText>
            </w:r>
            <w:r>
              <w:rPr>
                <w:noProof/>
                <w:webHidden/>
              </w:rPr>
            </w:r>
            <w:r>
              <w:rPr>
                <w:noProof/>
                <w:webHidden/>
              </w:rPr>
              <w:fldChar w:fldCharType="separate"/>
            </w:r>
            <w:r>
              <w:rPr>
                <w:noProof/>
                <w:webHidden/>
              </w:rPr>
              <w:t>22</w:t>
            </w:r>
            <w:r>
              <w:rPr>
                <w:noProof/>
                <w:webHidden/>
              </w:rPr>
              <w:fldChar w:fldCharType="end"/>
            </w:r>
          </w:hyperlink>
        </w:p>
        <w:p w14:paraId="7009AFB0" w14:textId="67575893" w:rsidR="00E0713E" w:rsidRDefault="00E0713E" w:rsidP="7D2E21D8">
          <w:pPr>
            <w:pStyle w:val="INNH2"/>
            <w:rPr>
              <w:noProof/>
            </w:rPr>
          </w:pPr>
          <w:hyperlink w:anchor="_Toc176264519" w:history="1">
            <w:r w:rsidRPr="00C5184C">
              <w:rPr>
                <w:rStyle w:val="Hyperkobling"/>
                <w:noProof/>
              </w:rPr>
              <w:t>2.3.2 Akademikerne privat</w:t>
            </w:r>
            <w:r>
              <w:rPr>
                <w:noProof/>
                <w:webHidden/>
              </w:rPr>
              <w:tab/>
            </w:r>
            <w:r w:rsidR="009573A0">
              <w:rPr>
                <w:noProof/>
                <w:webHidden/>
              </w:rPr>
              <w:tab/>
            </w:r>
            <w:r w:rsidR="009573A0">
              <w:rPr>
                <w:noProof/>
                <w:webHidden/>
              </w:rPr>
              <w:tab/>
            </w:r>
            <w:r w:rsidR="009573A0">
              <w:rPr>
                <w:noProof/>
                <w:webHidden/>
              </w:rPr>
              <w:tab/>
            </w:r>
            <w:r w:rsidR="009573A0">
              <w:rPr>
                <w:noProof/>
                <w:webHidden/>
              </w:rPr>
              <w:tab/>
            </w:r>
            <w:r>
              <w:rPr>
                <w:noProof/>
                <w:webHidden/>
              </w:rPr>
              <w:fldChar w:fldCharType="begin"/>
            </w:r>
            <w:r>
              <w:rPr>
                <w:noProof/>
                <w:webHidden/>
              </w:rPr>
              <w:instrText xml:space="preserve"> PAGEREF _Toc176264519 \h </w:instrText>
            </w:r>
            <w:r>
              <w:rPr>
                <w:noProof/>
                <w:webHidden/>
              </w:rPr>
            </w:r>
            <w:r>
              <w:rPr>
                <w:noProof/>
                <w:webHidden/>
              </w:rPr>
              <w:fldChar w:fldCharType="separate"/>
            </w:r>
            <w:r>
              <w:rPr>
                <w:noProof/>
                <w:webHidden/>
              </w:rPr>
              <w:t>22</w:t>
            </w:r>
            <w:r>
              <w:rPr>
                <w:noProof/>
                <w:webHidden/>
              </w:rPr>
              <w:fldChar w:fldCharType="end"/>
            </w:r>
          </w:hyperlink>
        </w:p>
        <w:p w14:paraId="3125C985" w14:textId="77777777" w:rsidR="009573A0" w:rsidRPr="009573A0" w:rsidRDefault="009573A0" w:rsidP="009573A0"/>
        <w:p w14:paraId="3EA5D8C4" w14:textId="787CFFC8" w:rsidR="00E0713E" w:rsidRDefault="00E0713E" w:rsidP="7D2E21D8">
          <w:pPr>
            <w:pStyle w:val="INNH1"/>
            <w:rPr>
              <w:rFonts w:eastAsiaTheme="minorEastAsia"/>
              <w:b w:val="0"/>
              <w:bCs w:val="0"/>
              <w:noProof/>
              <w:kern w:val="2"/>
              <w:sz w:val="24"/>
              <w:szCs w:val="24"/>
              <w:lang w:eastAsia="nb-NO"/>
              <w14:ligatures w14:val="standardContextual"/>
            </w:rPr>
          </w:pPr>
          <w:hyperlink w:anchor="_Toc176264520" w:history="1">
            <w:r w:rsidRPr="00C5184C">
              <w:rPr>
                <w:rStyle w:val="Hyperkobling"/>
                <w:noProof/>
              </w:rPr>
              <w:t>Vedlegg</w:t>
            </w:r>
            <w:r>
              <w:rPr>
                <w:noProof/>
                <w:webHidden/>
              </w:rPr>
              <w:tab/>
            </w:r>
            <w:r w:rsidR="009573A0">
              <w:rPr>
                <w:noProof/>
                <w:webHidden/>
              </w:rPr>
              <w:tab/>
            </w:r>
            <w:r w:rsidR="009573A0">
              <w:rPr>
                <w:noProof/>
                <w:webHidden/>
              </w:rPr>
              <w:tab/>
            </w:r>
            <w:r w:rsidR="009573A0">
              <w:rPr>
                <w:noProof/>
                <w:webHidden/>
              </w:rPr>
              <w:tab/>
            </w:r>
            <w:r w:rsidR="009573A0">
              <w:rPr>
                <w:noProof/>
                <w:webHidden/>
              </w:rPr>
              <w:tab/>
            </w:r>
            <w:r w:rsidR="009573A0">
              <w:rPr>
                <w:noProof/>
                <w:webHidden/>
              </w:rPr>
              <w:tab/>
            </w:r>
            <w:r>
              <w:rPr>
                <w:noProof/>
                <w:webHidden/>
              </w:rPr>
              <w:fldChar w:fldCharType="begin"/>
            </w:r>
            <w:r>
              <w:rPr>
                <w:noProof/>
                <w:webHidden/>
              </w:rPr>
              <w:instrText xml:space="preserve"> PAGEREF _Toc176264520 \h </w:instrText>
            </w:r>
            <w:r>
              <w:rPr>
                <w:noProof/>
                <w:webHidden/>
              </w:rPr>
            </w:r>
            <w:r>
              <w:rPr>
                <w:noProof/>
                <w:webHidden/>
              </w:rPr>
              <w:fldChar w:fldCharType="separate"/>
            </w:r>
            <w:r>
              <w:rPr>
                <w:noProof/>
                <w:webHidden/>
              </w:rPr>
              <w:t>23</w:t>
            </w:r>
            <w:r>
              <w:rPr>
                <w:noProof/>
                <w:webHidden/>
              </w:rPr>
              <w:fldChar w:fldCharType="end"/>
            </w:r>
          </w:hyperlink>
        </w:p>
        <w:p w14:paraId="7B79AB58" w14:textId="3EAC1B83" w:rsidR="00E0713E" w:rsidRDefault="00E0713E">
          <w:pPr>
            <w:pStyle w:val="INNH2"/>
            <w:rPr>
              <w:rFonts w:eastAsiaTheme="minorEastAsia"/>
              <w:noProof/>
              <w:kern w:val="2"/>
              <w:sz w:val="24"/>
              <w:szCs w:val="24"/>
              <w:lang w:eastAsia="nb-NO"/>
              <w14:ligatures w14:val="standardContextual"/>
            </w:rPr>
          </w:pPr>
          <w:hyperlink w:anchor="_Toc176264521" w:history="1">
            <w:r w:rsidRPr="00C5184C">
              <w:rPr>
                <w:rStyle w:val="Hyperkobling"/>
                <w:noProof/>
              </w:rPr>
              <w:t>Vedlegg 1: Gjeldende policydokumenter for Akademikerne</w:t>
            </w:r>
            <w:r>
              <w:rPr>
                <w:noProof/>
                <w:webHidden/>
              </w:rPr>
              <w:tab/>
            </w:r>
            <w:r>
              <w:rPr>
                <w:noProof/>
                <w:webHidden/>
              </w:rPr>
              <w:fldChar w:fldCharType="begin"/>
            </w:r>
            <w:r>
              <w:rPr>
                <w:noProof/>
                <w:webHidden/>
              </w:rPr>
              <w:instrText xml:space="preserve"> PAGEREF _Toc176264521 \h </w:instrText>
            </w:r>
            <w:r>
              <w:rPr>
                <w:noProof/>
                <w:webHidden/>
              </w:rPr>
            </w:r>
            <w:r>
              <w:rPr>
                <w:noProof/>
                <w:webHidden/>
              </w:rPr>
              <w:fldChar w:fldCharType="separate"/>
            </w:r>
            <w:r>
              <w:rPr>
                <w:noProof/>
                <w:webHidden/>
              </w:rPr>
              <w:t>23</w:t>
            </w:r>
            <w:r>
              <w:rPr>
                <w:noProof/>
                <w:webHidden/>
              </w:rPr>
              <w:fldChar w:fldCharType="end"/>
            </w:r>
          </w:hyperlink>
        </w:p>
        <w:p w14:paraId="05AF4E80" w14:textId="6E6D9244" w:rsidR="00E0713E" w:rsidRDefault="00E0713E" w:rsidP="7D2E21D8">
          <w:pPr>
            <w:pStyle w:val="INNH2"/>
            <w:rPr>
              <w:rFonts w:eastAsiaTheme="minorEastAsia"/>
              <w:noProof/>
              <w:kern w:val="2"/>
              <w:sz w:val="24"/>
              <w:szCs w:val="24"/>
              <w:lang w:eastAsia="nb-NO"/>
              <w14:ligatures w14:val="standardContextual"/>
            </w:rPr>
          </w:pPr>
          <w:hyperlink w:anchor="_Toc176264522" w:history="1">
            <w:r w:rsidRPr="00C5184C">
              <w:rPr>
                <w:rStyle w:val="Hyperkobling"/>
                <w:noProof/>
              </w:rPr>
              <w:t>Vedlegg 2: Akademikernes konferanser og seminarer</w:t>
            </w:r>
            <w:r w:rsidR="009573A0">
              <w:rPr>
                <w:rStyle w:val="Hyperkobling"/>
                <w:noProof/>
              </w:rPr>
              <w:tab/>
            </w:r>
            <w:r>
              <w:rPr>
                <w:noProof/>
                <w:webHidden/>
              </w:rPr>
              <w:tab/>
            </w:r>
            <w:r>
              <w:rPr>
                <w:noProof/>
                <w:webHidden/>
              </w:rPr>
              <w:fldChar w:fldCharType="begin"/>
            </w:r>
            <w:r>
              <w:rPr>
                <w:noProof/>
                <w:webHidden/>
              </w:rPr>
              <w:instrText xml:space="preserve"> PAGEREF _Toc176264522 \h </w:instrText>
            </w:r>
            <w:r>
              <w:rPr>
                <w:noProof/>
                <w:webHidden/>
              </w:rPr>
            </w:r>
            <w:r>
              <w:rPr>
                <w:noProof/>
                <w:webHidden/>
              </w:rPr>
              <w:fldChar w:fldCharType="separate"/>
            </w:r>
            <w:r>
              <w:rPr>
                <w:noProof/>
                <w:webHidden/>
              </w:rPr>
              <w:t>24</w:t>
            </w:r>
            <w:r>
              <w:rPr>
                <w:noProof/>
                <w:webHidden/>
              </w:rPr>
              <w:fldChar w:fldCharType="end"/>
            </w:r>
          </w:hyperlink>
        </w:p>
        <w:p w14:paraId="31633DF9" w14:textId="213B5EE3" w:rsidR="00E0713E" w:rsidRDefault="00E0713E">
          <w:pPr>
            <w:pStyle w:val="INNH2"/>
            <w:rPr>
              <w:rFonts w:eastAsiaTheme="minorEastAsia"/>
              <w:noProof/>
              <w:kern w:val="2"/>
              <w:sz w:val="24"/>
              <w:szCs w:val="24"/>
              <w:lang w:eastAsia="nb-NO"/>
              <w14:ligatures w14:val="standardContextual"/>
            </w:rPr>
          </w:pPr>
          <w:hyperlink w:anchor="_Toc176264523" w:history="1">
            <w:r w:rsidRPr="00C5184C">
              <w:rPr>
                <w:rStyle w:val="Hyperkobling"/>
                <w:noProof/>
              </w:rPr>
              <w:t>Vedlegg 3: Akademikernes sekretariat oktober 2022-2024</w:t>
            </w:r>
            <w:r>
              <w:rPr>
                <w:noProof/>
                <w:webHidden/>
              </w:rPr>
              <w:tab/>
            </w:r>
            <w:r>
              <w:rPr>
                <w:noProof/>
                <w:webHidden/>
              </w:rPr>
              <w:fldChar w:fldCharType="begin"/>
            </w:r>
            <w:r>
              <w:rPr>
                <w:noProof/>
                <w:webHidden/>
              </w:rPr>
              <w:instrText xml:space="preserve"> PAGEREF _Toc176264523 \h </w:instrText>
            </w:r>
            <w:r>
              <w:rPr>
                <w:noProof/>
                <w:webHidden/>
              </w:rPr>
            </w:r>
            <w:r>
              <w:rPr>
                <w:noProof/>
                <w:webHidden/>
              </w:rPr>
              <w:fldChar w:fldCharType="separate"/>
            </w:r>
            <w:r>
              <w:rPr>
                <w:noProof/>
                <w:webHidden/>
              </w:rPr>
              <w:t>25</w:t>
            </w:r>
            <w:r>
              <w:rPr>
                <w:noProof/>
                <w:webHidden/>
              </w:rPr>
              <w:fldChar w:fldCharType="end"/>
            </w:r>
          </w:hyperlink>
        </w:p>
        <w:p w14:paraId="474D3925" w14:textId="007CC7A5" w:rsidR="00E0713E" w:rsidRDefault="00E0713E">
          <w:pPr>
            <w:pStyle w:val="INNH2"/>
            <w:rPr>
              <w:rFonts w:eastAsiaTheme="minorEastAsia"/>
              <w:noProof/>
              <w:kern w:val="2"/>
              <w:sz w:val="24"/>
              <w:szCs w:val="24"/>
              <w:lang w:eastAsia="nb-NO"/>
              <w14:ligatures w14:val="standardContextual"/>
            </w:rPr>
          </w:pPr>
          <w:hyperlink w:anchor="_Toc176264524" w:history="1">
            <w:r w:rsidRPr="00C5184C">
              <w:rPr>
                <w:rStyle w:val="Hyperkobling"/>
                <w:noProof/>
              </w:rPr>
              <w:t>Vedlegg 4: Deltakelse i sentrale utvalg, styrer og råd for Akademikerne</w:t>
            </w:r>
            <w:r>
              <w:rPr>
                <w:noProof/>
                <w:webHidden/>
              </w:rPr>
              <w:tab/>
            </w:r>
            <w:r>
              <w:rPr>
                <w:noProof/>
                <w:webHidden/>
              </w:rPr>
              <w:fldChar w:fldCharType="begin"/>
            </w:r>
            <w:r>
              <w:rPr>
                <w:noProof/>
                <w:webHidden/>
              </w:rPr>
              <w:instrText xml:space="preserve"> PAGEREF _Toc176264524 \h </w:instrText>
            </w:r>
            <w:r>
              <w:rPr>
                <w:noProof/>
                <w:webHidden/>
              </w:rPr>
            </w:r>
            <w:r>
              <w:rPr>
                <w:noProof/>
                <w:webHidden/>
              </w:rPr>
              <w:fldChar w:fldCharType="separate"/>
            </w:r>
            <w:r>
              <w:rPr>
                <w:noProof/>
                <w:webHidden/>
              </w:rPr>
              <w:t>26</w:t>
            </w:r>
            <w:r>
              <w:rPr>
                <w:noProof/>
                <w:webHidden/>
              </w:rPr>
              <w:fldChar w:fldCharType="end"/>
            </w:r>
          </w:hyperlink>
        </w:p>
        <w:p w14:paraId="7896296A" w14:textId="0C2FFC0B" w:rsidR="00E0713E" w:rsidRDefault="00E0713E" w:rsidP="7D2E21D8">
          <w:pPr>
            <w:pStyle w:val="INNH3"/>
            <w:rPr>
              <w:rFonts w:eastAsiaTheme="minorEastAsia"/>
              <w:noProof/>
              <w:kern w:val="2"/>
              <w:sz w:val="24"/>
              <w:szCs w:val="24"/>
              <w:lang w:eastAsia="nb-NO"/>
              <w14:ligatures w14:val="standardContextual"/>
            </w:rPr>
          </w:pPr>
          <w:hyperlink w:anchor="_Toc176264525" w:history="1">
            <w:r w:rsidRPr="00C5184C">
              <w:rPr>
                <w:rStyle w:val="Hyperkobling"/>
                <w:noProof/>
              </w:rPr>
              <w:t>Oppnevninger/annet</w:t>
            </w:r>
            <w:r>
              <w:rPr>
                <w:noProof/>
                <w:webHidden/>
              </w:rPr>
              <w:tab/>
            </w:r>
            <w:r w:rsidR="009573A0">
              <w:rPr>
                <w:noProof/>
                <w:webHidden/>
              </w:rPr>
              <w:tab/>
            </w:r>
            <w:r w:rsidR="009573A0">
              <w:rPr>
                <w:noProof/>
                <w:webHidden/>
              </w:rPr>
              <w:tab/>
            </w:r>
            <w:r w:rsidR="009573A0">
              <w:rPr>
                <w:noProof/>
                <w:webHidden/>
              </w:rPr>
              <w:tab/>
            </w:r>
            <w:r w:rsidR="009573A0">
              <w:rPr>
                <w:noProof/>
                <w:webHidden/>
              </w:rPr>
              <w:tab/>
            </w:r>
            <w:r>
              <w:rPr>
                <w:noProof/>
                <w:webHidden/>
              </w:rPr>
              <w:fldChar w:fldCharType="begin"/>
            </w:r>
            <w:r>
              <w:rPr>
                <w:noProof/>
                <w:webHidden/>
              </w:rPr>
              <w:instrText xml:space="preserve"> PAGEREF _Toc176264525 \h </w:instrText>
            </w:r>
            <w:r>
              <w:rPr>
                <w:noProof/>
                <w:webHidden/>
              </w:rPr>
            </w:r>
            <w:r>
              <w:rPr>
                <w:noProof/>
                <w:webHidden/>
              </w:rPr>
              <w:fldChar w:fldCharType="separate"/>
            </w:r>
            <w:r>
              <w:rPr>
                <w:noProof/>
                <w:webHidden/>
              </w:rPr>
              <w:t>27</w:t>
            </w:r>
            <w:r>
              <w:rPr>
                <w:noProof/>
                <w:webHidden/>
              </w:rPr>
              <w:fldChar w:fldCharType="end"/>
            </w:r>
          </w:hyperlink>
        </w:p>
        <w:p w14:paraId="7FC3A90E" w14:textId="33BFB3B5" w:rsidR="00E0713E" w:rsidRDefault="00E0713E">
          <w:r>
            <w:rPr>
              <w:b/>
              <w:bCs/>
            </w:rPr>
            <w:fldChar w:fldCharType="end"/>
          </w:r>
        </w:p>
      </w:sdtContent>
    </w:sdt>
    <w:p w14:paraId="3F3587BC" w14:textId="7FBCCB39" w:rsidR="005C600A" w:rsidRDefault="005C600A">
      <w:pPr>
        <w:tabs>
          <w:tab w:val="clear" w:pos="2155"/>
        </w:tabs>
        <w:spacing w:after="160" w:line="259" w:lineRule="auto"/>
        <w:rPr>
          <w:rFonts w:asciiTheme="majorHAnsi" w:eastAsiaTheme="majorEastAsia" w:hAnsiTheme="majorHAnsi" w:cstheme="majorBidi"/>
          <w:b/>
          <w:color w:val="262682" w:themeColor="accent1"/>
          <w:sz w:val="44"/>
          <w:szCs w:val="32"/>
        </w:rPr>
      </w:pPr>
      <w:r>
        <w:br w:type="page"/>
      </w:r>
    </w:p>
    <w:p w14:paraId="1ADCAA69" w14:textId="3EC5A41B" w:rsidR="00FC3919" w:rsidRDefault="00327174" w:rsidP="00E33E57">
      <w:pPr>
        <w:pStyle w:val="Overskrift1"/>
      </w:pPr>
      <w:bookmarkStart w:id="4" w:name="_Toc176264495"/>
      <w:r>
        <w:lastRenderedPageBreak/>
        <w:t xml:space="preserve">1. </w:t>
      </w:r>
      <w:r w:rsidR="00FC3919">
        <w:t>Styret</w:t>
      </w:r>
      <w:r w:rsidR="00225438">
        <w:t xml:space="preserve"> og styrets</w:t>
      </w:r>
      <w:r w:rsidR="00FC3919">
        <w:t xml:space="preserve"> arbeid</w:t>
      </w:r>
      <w:bookmarkEnd w:id="4"/>
    </w:p>
    <w:p w14:paraId="179E974E" w14:textId="37439F70" w:rsidR="00A751DA" w:rsidRDefault="003642E0" w:rsidP="003642E0">
      <w:pPr>
        <w:pStyle w:val="Overskrift2"/>
      </w:pPr>
      <w:bookmarkStart w:id="5" w:name="_Toc176264496"/>
      <w:r>
        <w:t>1.</w:t>
      </w:r>
      <w:r w:rsidR="00761CB0">
        <w:t>1</w:t>
      </w:r>
      <w:r>
        <w:t xml:space="preserve"> </w:t>
      </w:r>
      <w:r w:rsidR="00A751DA">
        <w:t>Styrets sammenset</w:t>
      </w:r>
      <w:r w:rsidR="00064B38">
        <w:t>t</w:t>
      </w:r>
      <w:r w:rsidR="00A751DA">
        <w:t>ing</w:t>
      </w:r>
      <w:bookmarkEnd w:id="5"/>
    </w:p>
    <w:p w14:paraId="3A1F47F4" w14:textId="60DBE4C0" w:rsidR="00A751DA" w:rsidRDefault="00A751DA" w:rsidP="00A751DA">
      <w:r>
        <w:t>På rådsmøtet</w:t>
      </w:r>
      <w:r w:rsidR="00483216">
        <w:t xml:space="preserve"> </w:t>
      </w:r>
      <w:r w:rsidR="000E7BA8">
        <w:t>19</w:t>
      </w:r>
      <w:r>
        <w:t>. oktober 202</w:t>
      </w:r>
      <w:r w:rsidR="00483216">
        <w:t>2</w:t>
      </w:r>
      <w:r>
        <w:t xml:space="preserve"> ble følgende valgt til styre for Akademikerne: </w:t>
      </w:r>
    </w:p>
    <w:p w14:paraId="047AE4DA" w14:textId="0A277AEA" w:rsidR="00A751DA" w:rsidRDefault="00A751DA" w:rsidP="00506201">
      <w:pPr>
        <w:pStyle w:val="Listeavsnitt"/>
        <w:numPr>
          <w:ilvl w:val="0"/>
          <w:numId w:val="21"/>
        </w:numPr>
      </w:pPr>
      <w:r>
        <w:t>Leder: Lise Lyngsnes Randeberg, Tekna</w:t>
      </w:r>
    </w:p>
    <w:p w14:paraId="7468DB7B" w14:textId="5E4BCBE5" w:rsidR="00483216" w:rsidRDefault="00132333" w:rsidP="00506201">
      <w:pPr>
        <w:pStyle w:val="Listeavsnitt"/>
        <w:numPr>
          <w:ilvl w:val="0"/>
          <w:numId w:val="21"/>
        </w:numPr>
      </w:pPr>
      <w:r>
        <w:t xml:space="preserve">Nestleder; </w:t>
      </w:r>
      <w:r w:rsidR="00483216">
        <w:t xml:space="preserve">Morten </w:t>
      </w:r>
      <w:r w:rsidR="003842D3">
        <w:t xml:space="preserve">Ingebrigtsen </w:t>
      </w:r>
      <w:r w:rsidR="006D29BA">
        <w:t>Wedege</w:t>
      </w:r>
      <w:r w:rsidR="003842D3">
        <w:t>, Naturviterne</w:t>
      </w:r>
    </w:p>
    <w:p w14:paraId="79AA2E66" w14:textId="6DA94868" w:rsidR="00A751DA" w:rsidRPr="00762224" w:rsidRDefault="00A751DA" w:rsidP="00A751DA">
      <w:pPr>
        <w:rPr>
          <w:u w:val="single"/>
        </w:rPr>
      </w:pPr>
      <w:r w:rsidRPr="00762224">
        <w:rPr>
          <w:u w:val="single"/>
        </w:rPr>
        <w:t xml:space="preserve">Styremedlemmer: </w:t>
      </w:r>
    </w:p>
    <w:p w14:paraId="7E9298C5" w14:textId="6C9A30FD" w:rsidR="00A751DA" w:rsidRDefault="00A751DA" w:rsidP="00506201">
      <w:pPr>
        <w:pStyle w:val="Listeavsnitt"/>
        <w:numPr>
          <w:ilvl w:val="0"/>
          <w:numId w:val="20"/>
        </w:numPr>
      </w:pPr>
      <w:r>
        <w:t xml:space="preserve">Håkon Kongsrud Skard, Norsk psykologforening </w:t>
      </w:r>
    </w:p>
    <w:p w14:paraId="7272E7DD" w14:textId="48FD5893" w:rsidR="003842D3" w:rsidRDefault="001B7A28" w:rsidP="00506201">
      <w:pPr>
        <w:pStyle w:val="Listeavsnitt"/>
        <w:numPr>
          <w:ilvl w:val="0"/>
          <w:numId w:val="20"/>
        </w:numPr>
      </w:pPr>
      <w:r>
        <w:t xml:space="preserve">Helle </w:t>
      </w:r>
      <w:r w:rsidR="003305E8">
        <w:t>Ch</w:t>
      </w:r>
      <w:r>
        <w:t xml:space="preserve">ristin Nyhuus, Norsk </w:t>
      </w:r>
      <w:r w:rsidR="00AA5AED">
        <w:t>L</w:t>
      </w:r>
      <w:r>
        <w:t>ektorlag</w:t>
      </w:r>
    </w:p>
    <w:p w14:paraId="53BF88DB" w14:textId="5CAAB804" w:rsidR="001B7A28" w:rsidRDefault="001B7A28" w:rsidP="00506201">
      <w:pPr>
        <w:pStyle w:val="Listeavsnitt"/>
        <w:numPr>
          <w:ilvl w:val="0"/>
          <w:numId w:val="20"/>
        </w:numPr>
      </w:pPr>
      <w:r>
        <w:t>Jan Inge Eidem, Samfunn</w:t>
      </w:r>
      <w:r w:rsidR="0045597F">
        <w:t>s</w:t>
      </w:r>
      <w:r>
        <w:t>økonomene</w:t>
      </w:r>
    </w:p>
    <w:p w14:paraId="5E3A45D6" w14:textId="46CADDA5" w:rsidR="001B7A28" w:rsidRDefault="001B7A28" w:rsidP="00506201">
      <w:pPr>
        <w:pStyle w:val="Listeavsnitt"/>
        <w:numPr>
          <w:ilvl w:val="0"/>
          <w:numId w:val="20"/>
        </w:numPr>
      </w:pPr>
      <w:r>
        <w:t>Morten Boland Jørgensen, Econa</w:t>
      </w:r>
    </w:p>
    <w:p w14:paraId="780A5973" w14:textId="6C2F3957" w:rsidR="0045597F" w:rsidRDefault="0045597F" w:rsidP="00506201">
      <w:pPr>
        <w:pStyle w:val="Listeavsnitt"/>
        <w:numPr>
          <w:ilvl w:val="0"/>
          <w:numId w:val="20"/>
        </w:numPr>
      </w:pPr>
      <w:r>
        <w:t>Anne</w:t>
      </w:r>
      <w:r w:rsidR="0071519F">
        <w:t>-</w:t>
      </w:r>
      <w:r>
        <w:t>Karin Rime, Legeforeningen</w:t>
      </w:r>
    </w:p>
    <w:p w14:paraId="7B4C0654" w14:textId="2EF8028E" w:rsidR="006D29BA" w:rsidRDefault="006D29BA" w:rsidP="00A751DA">
      <w:pPr>
        <w:rPr>
          <w:u w:val="single"/>
        </w:rPr>
      </w:pPr>
      <w:r w:rsidRPr="006D29BA">
        <w:rPr>
          <w:u w:val="single"/>
        </w:rPr>
        <w:t>Varamedlemmer:</w:t>
      </w:r>
    </w:p>
    <w:p w14:paraId="740550F9" w14:textId="43A016D2" w:rsidR="00D44A4C" w:rsidRPr="00D44A4C" w:rsidRDefault="00D44A4C" w:rsidP="00D44A4C">
      <w:pPr>
        <w:pStyle w:val="Listeavsnitt"/>
        <w:numPr>
          <w:ilvl w:val="0"/>
          <w:numId w:val="27"/>
        </w:numPr>
        <w:rPr>
          <w:u w:val="single"/>
        </w:rPr>
      </w:pPr>
      <w:r>
        <w:t>Heming</w:t>
      </w:r>
      <w:r w:rsidR="0071519F">
        <w:t xml:space="preserve"> Olsen-Bergem</w:t>
      </w:r>
      <w:r>
        <w:t>, Tannlegeforeningen</w:t>
      </w:r>
    </w:p>
    <w:p w14:paraId="6DE4A034" w14:textId="509E790C" w:rsidR="00D44A4C" w:rsidRPr="00D44A4C" w:rsidRDefault="00D44A4C" w:rsidP="00D44A4C">
      <w:pPr>
        <w:pStyle w:val="Listeavsnitt"/>
        <w:numPr>
          <w:ilvl w:val="0"/>
          <w:numId w:val="27"/>
        </w:numPr>
        <w:rPr>
          <w:u w:val="single"/>
        </w:rPr>
      </w:pPr>
      <w:r>
        <w:t>Elisabet Haugsbø, Tekna</w:t>
      </w:r>
    </w:p>
    <w:p w14:paraId="20E63F2D" w14:textId="0215668F" w:rsidR="00D44A4C" w:rsidRPr="00D44A4C" w:rsidRDefault="002C2C91" w:rsidP="00D44A4C">
      <w:pPr>
        <w:pStyle w:val="Listeavsnitt"/>
        <w:numPr>
          <w:ilvl w:val="0"/>
          <w:numId w:val="27"/>
        </w:numPr>
        <w:rPr>
          <w:u w:val="single"/>
        </w:rPr>
      </w:pPr>
      <w:r>
        <w:t>Bent Aaby, Afag</w:t>
      </w:r>
    </w:p>
    <w:p w14:paraId="144B4AC7" w14:textId="66450D93" w:rsidR="001E2501" w:rsidRDefault="00A751DA" w:rsidP="001E2501">
      <w:r>
        <w:t>Valgkomiteen har i perioden bestått av</w:t>
      </w:r>
      <w:r w:rsidR="000D5C50" w:rsidRPr="000D5C50">
        <w:t xml:space="preserve"> </w:t>
      </w:r>
      <w:r w:rsidR="000D5C50">
        <w:t xml:space="preserve">Line Henriette Holten (Tekna), </w:t>
      </w:r>
      <w:r w:rsidR="001E2501">
        <w:t>Siri Skumlien</w:t>
      </w:r>
      <w:r w:rsidR="000D5C50">
        <w:t xml:space="preserve"> (Legeforeningen)</w:t>
      </w:r>
      <w:r w:rsidR="009645F5">
        <w:t xml:space="preserve">, </w:t>
      </w:r>
      <w:r w:rsidR="001E2501">
        <w:t>Nina Riibe</w:t>
      </w:r>
      <w:r w:rsidR="009645F5">
        <w:t xml:space="preserve"> (Econa), Magne Skram Hegerberg </w:t>
      </w:r>
      <w:r w:rsidR="000C0873">
        <w:t xml:space="preserve">(Juristforbundet). </w:t>
      </w:r>
      <w:r w:rsidR="00724589">
        <w:t>Valgkomiteen velger selv sin leder.</w:t>
      </w:r>
      <w:r w:rsidR="0054685E">
        <w:t xml:space="preserve"> I perioden har dette vært Line Henriette Holten. </w:t>
      </w:r>
    </w:p>
    <w:p w14:paraId="14680393" w14:textId="0EF2B355" w:rsidR="00A751DA" w:rsidRPr="00DA7C48" w:rsidRDefault="00DA7C48" w:rsidP="00DA7C48">
      <w:pPr>
        <w:pStyle w:val="Overskrift2"/>
      </w:pPr>
      <w:bookmarkStart w:id="6" w:name="_Toc176264497"/>
      <w:r>
        <w:t xml:space="preserve">1.2 </w:t>
      </w:r>
      <w:r w:rsidR="00A751DA" w:rsidRPr="00DA7C48">
        <w:t>Styrets arbeid</w:t>
      </w:r>
      <w:bookmarkEnd w:id="6"/>
    </w:p>
    <w:p w14:paraId="171F6C2A" w14:textId="5923DBDC" w:rsidR="00C34431" w:rsidRDefault="00A751DA" w:rsidP="00B30B3A">
      <w:r>
        <w:t xml:space="preserve">Styret har arbeidet ut fra </w:t>
      </w:r>
      <w:r w:rsidR="003E1604">
        <w:rPr>
          <w:i/>
          <w:iCs/>
        </w:rPr>
        <w:t>Styrets handlingsplan</w:t>
      </w:r>
      <w:r w:rsidR="00966CD4">
        <w:rPr>
          <w:i/>
          <w:iCs/>
        </w:rPr>
        <w:t xml:space="preserve"> 2023-2024</w:t>
      </w:r>
      <w:r>
        <w:t xml:space="preserve"> (vedtatt </w:t>
      </w:r>
      <w:r w:rsidR="00966CD4">
        <w:t>22. mars</w:t>
      </w:r>
      <w:r>
        <w:t xml:space="preserve"> 202</w:t>
      </w:r>
      <w:r w:rsidR="00966CD4">
        <w:t>3</w:t>
      </w:r>
      <w:r>
        <w:t>)</w:t>
      </w:r>
      <w:r w:rsidR="00270948">
        <w:t>. Handlingsplanen ble holdt på et</w:t>
      </w:r>
      <w:r>
        <w:t xml:space="preserve"> </w:t>
      </w:r>
      <w:r w:rsidR="00920361" w:rsidRPr="00920361">
        <w:t>overordnet plan</w:t>
      </w:r>
      <w:r w:rsidR="007F63EE">
        <w:t xml:space="preserve"> med tilstrekkelig </w:t>
      </w:r>
      <w:r w:rsidR="00920361" w:rsidRPr="00920361">
        <w:t>fleksib</w:t>
      </w:r>
      <w:r w:rsidR="007F63EE">
        <w:t xml:space="preserve">ilitet til å </w:t>
      </w:r>
      <w:r w:rsidR="003124CE">
        <w:t xml:space="preserve">gjøre prioriteringer underveis </w:t>
      </w:r>
      <w:r w:rsidR="00847277">
        <w:t>i tråd med</w:t>
      </w:r>
      <w:r w:rsidR="007F63EE">
        <w:t xml:space="preserve"> aktuelle politiske debatter og prosesser</w:t>
      </w:r>
      <w:r w:rsidR="00847277">
        <w:t>.</w:t>
      </w:r>
    </w:p>
    <w:p w14:paraId="3F3BD027" w14:textId="2B853F9B" w:rsidR="007D0B06" w:rsidRDefault="00E21494" w:rsidP="00B30B3A">
      <w:pPr>
        <w:rPr>
          <w:rStyle w:val="normaltextrun"/>
        </w:rPr>
      </w:pPr>
      <w:r>
        <w:t xml:space="preserve">Styret besluttet derfor for </w:t>
      </w:r>
      <w:r w:rsidR="001C36F9">
        <w:t xml:space="preserve">2023 og 2024 </w:t>
      </w:r>
      <w:r w:rsidR="001C36F9">
        <w:rPr>
          <w:rStyle w:val="normaltextrun"/>
        </w:rPr>
        <w:t>å</w:t>
      </w:r>
      <w:r w:rsidR="007D0B06">
        <w:rPr>
          <w:rStyle w:val="normaltextrun"/>
        </w:rPr>
        <w:t>:</w:t>
      </w:r>
    </w:p>
    <w:p w14:paraId="789658CF" w14:textId="2B1C122B" w:rsidR="001C36F9" w:rsidRDefault="007D0B06" w:rsidP="0094150E">
      <w:pPr>
        <w:pStyle w:val="paragraph"/>
        <w:numPr>
          <w:ilvl w:val="0"/>
          <w:numId w:val="36"/>
        </w:numPr>
        <w:spacing w:before="0" w:beforeAutospacing="0" w:after="0" w:afterAutospacing="0"/>
        <w:textAlignment w:val="baseline"/>
        <w:rPr>
          <w:sz w:val="22"/>
          <w:szCs w:val="22"/>
        </w:rPr>
      </w:pPr>
      <w:r>
        <w:rPr>
          <w:rStyle w:val="normaltextrun"/>
          <w:sz w:val="22"/>
          <w:szCs w:val="22"/>
        </w:rPr>
        <w:t>G</w:t>
      </w:r>
      <w:r w:rsidR="001C36F9">
        <w:rPr>
          <w:rStyle w:val="normaltextrun"/>
          <w:sz w:val="22"/>
          <w:szCs w:val="22"/>
        </w:rPr>
        <w:t>jennomføre en strategiprosess i tråd med føringer fra R</w:t>
      </w:r>
      <w:r>
        <w:rPr>
          <w:rStyle w:val="normaltextrun"/>
          <w:sz w:val="22"/>
          <w:szCs w:val="22"/>
        </w:rPr>
        <w:t>å</w:t>
      </w:r>
      <w:r w:rsidR="001C36F9">
        <w:rPr>
          <w:rStyle w:val="normaltextrun"/>
          <w:sz w:val="22"/>
          <w:szCs w:val="22"/>
        </w:rPr>
        <w:t>det</w:t>
      </w:r>
      <w:r w:rsidR="001C36F9">
        <w:rPr>
          <w:rStyle w:val="eop"/>
          <w:sz w:val="22"/>
          <w:szCs w:val="22"/>
        </w:rPr>
        <w:t> </w:t>
      </w:r>
    </w:p>
    <w:p w14:paraId="3AD9E760" w14:textId="77777777" w:rsidR="001C36F9" w:rsidRDefault="001C36F9" w:rsidP="0094150E">
      <w:pPr>
        <w:pStyle w:val="paragraph"/>
        <w:numPr>
          <w:ilvl w:val="0"/>
          <w:numId w:val="36"/>
        </w:numPr>
        <w:spacing w:before="0" w:beforeAutospacing="0" w:after="0" w:afterAutospacing="0"/>
        <w:textAlignment w:val="baseline"/>
        <w:rPr>
          <w:sz w:val="22"/>
          <w:szCs w:val="22"/>
        </w:rPr>
      </w:pPr>
      <w:r>
        <w:rPr>
          <w:rStyle w:val="normaltextrun"/>
          <w:sz w:val="22"/>
          <w:szCs w:val="22"/>
        </w:rPr>
        <w:t>Gjennomgå Akademikernes policydokumenter</w:t>
      </w:r>
      <w:r>
        <w:rPr>
          <w:rStyle w:val="eop"/>
          <w:sz w:val="22"/>
          <w:szCs w:val="22"/>
        </w:rPr>
        <w:t> </w:t>
      </w:r>
    </w:p>
    <w:p w14:paraId="690FD1C2" w14:textId="59D22D30" w:rsidR="001C36F9" w:rsidRDefault="007D0B06" w:rsidP="0094150E">
      <w:pPr>
        <w:pStyle w:val="paragraph"/>
        <w:numPr>
          <w:ilvl w:val="0"/>
          <w:numId w:val="36"/>
        </w:numPr>
        <w:spacing w:before="0" w:beforeAutospacing="0" w:after="0" w:afterAutospacing="0"/>
        <w:textAlignment w:val="baseline"/>
        <w:rPr>
          <w:sz w:val="22"/>
          <w:szCs w:val="22"/>
        </w:rPr>
      </w:pPr>
      <w:r>
        <w:rPr>
          <w:rStyle w:val="normaltextrun"/>
          <w:sz w:val="22"/>
          <w:szCs w:val="22"/>
        </w:rPr>
        <w:t xml:space="preserve">Jobbe for </w:t>
      </w:r>
      <w:r w:rsidR="0094150E">
        <w:rPr>
          <w:rStyle w:val="normaltextrun"/>
          <w:sz w:val="22"/>
          <w:szCs w:val="22"/>
        </w:rPr>
        <w:t>ø</w:t>
      </w:r>
      <w:r w:rsidR="001C36F9">
        <w:rPr>
          <w:rStyle w:val="normaltextrun"/>
          <w:sz w:val="22"/>
          <w:szCs w:val="22"/>
        </w:rPr>
        <w:t xml:space="preserve">kt politisk </w:t>
      </w:r>
      <w:r w:rsidR="0094150E">
        <w:rPr>
          <w:rStyle w:val="normaltextrun"/>
          <w:sz w:val="22"/>
          <w:szCs w:val="22"/>
        </w:rPr>
        <w:t>gjennomslag</w:t>
      </w:r>
      <w:r w:rsidR="0094150E">
        <w:rPr>
          <w:rStyle w:val="eop"/>
          <w:sz w:val="22"/>
          <w:szCs w:val="22"/>
        </w:rPr>
        <w:t xml:space="preserve"> og ø</w:t>
      </w:r>
      <w:r w:rsidR="001C36F9">
        <w:rPr>
          <w:rStyle w:val="normaltextrun"/>
          <w:sz w:val="22"/>
          <w:szCs w:val="22"/>
        </w:rPr>
        <w:t>kt synlighet</w:t>
      </w:r>
      <w:r w:rsidR="001C36F9">
        <w:rPr>
          <w:rStyle w:val="eop"/>
          <w:sz w:val="22"/>
          <w:szCs w:val="22"/>
        </w:rPr>
        <w:t> </w:t>
      </w:r>
    </w:p>
    <w:p w14:paraId="4597A91C" w14:textId="77777777" w:rsidR="00DD74EE" w:rsidRDefault="00DD74EE" w:rsidP="00C34431"/>
    <w:p w14:paraId="755DD64C" w14:textId="17BCD61D" w:rsidR="00A751DA" w:rsidRDefault="0094150E" w:rsidP="00C34431">
      <w:r>
        <w:lastRenderedPageBreak/>
        <w:t xml:space="preserve">Styret har </w:t>
      </w:r>
      <w:r w:rsidR="00A751DA">
        <w:t xml:space="preserve">budsjettert årlig innenfor rammen vedtatt av Rådet. Styret har mottatt regnskapsrapporter </w:t>
      </w:r>
      <w:r w:rsidR="00761CB0">
        <w:t xml:space="preserve">fra sekretariatet </w:t>
      </w:r>
      <w:r w:rsidR="00A751DA">
        <w:t>hvert kvartal</w:t>
      </w:r>
      <w:r w:rsidR="005A60D4">
        <w:t xml:space="preserve"> og </w:t>
      </w:r>
      <w:r w:rsidR="00A55AE0">
        <w:t xml:space="preserve">fått </w:t>
      </w:r>
      <w:r w:rsidR="005A60D4">
        <w:t>jevnlig rapportering på de prioriterte områdene</w:t>
      </w:r>
      <w:r w:rsidR="00B82902">
        <w:t>. Styret</w:t>
      </w:r>
      <w:r w:rsidR="00497A9E">
        <w:t xml:space="preserve"> er gjennomgående tilfreds </w:t>
      </w:r>
      <w:r w:rsidR="00116B53">
        <w:t xml:space="preserve">med </w:t>
      </w:r>
      <w:r w:rsidR="00604944">
        <w:t>økonomisk</w:t>
      </w:r>
      <w:r w:rsidR="000F5148">
        <w:t xml:space="preserve"> styring og med det fag- og tariffpolitiske arbeidet som blir gjort </w:t>
      </w:r>
      <w:r w:rsidR="00604944">
        <w:t>i sekretariatet.</w:t>
      </w:r>
    </w:p>
    <w:p w14:paraId="55AAA119" w14:textId="1EBE8A19" w:rsidR="00F22194" w:rsidRPr="006C3AAE" w:rsidRDefault="00A751DA" w:rsidP="00F22194">
      <w:r>
        <w:t xml:space="preserve">Styret har i </w:t>
      </w:r>
      <w:r w:rsidR="00761B44">
        <w:t>styreperioden</w:t>
      </w:r>
      <w:r>
        <w:t xml:space="preserve"> avholdt </w:t>
      </w:r>
      <w:r w:rsidR="0060699E">
        <w:t>18</w:t>
      </w:r>
      <w:r>
        <w:t xml:space="preserve"> styremøter og </w:t>
      </w:r>
      <w:r w:rsidR="00AB6207">
        <w:t xml:space="preserve">pr. </w:t>
      </w:r>
      <w:r w:rsidR="0026383D">
        <w:t>25. september 2024</w:t>
      </w:r>
      <w:r w:rsidR="007268EE">
        <w:t xml:space="preserve"> </w:t>
      </w:r>
      <w:r>
        <w:t xml:space="preserve">behandlet </w:t>
      </w:r>
      <w:r w:rsidR="00984AA1" w:rsidRPr="004E09C4">
        <w:t>1</w:t>
      </w:r>
      <w:r w:rsidR="004C27BC" w:rsidRPr="004E09C4">
        <w:t>51</w:t>
      </w:r>
      <w:r>
        <w:t xml:space="preserve"> protokollførte saker. Sak</w:t>
      </w:r>
      <w:r w:rsidR="00725195">
        <w:t xml:space="preserve">ene </w:t>
      </w:r>
      <w:r>
        <w:t xml:space="preserve">speiler styrets ulike funksjoner som strategisk organ for politikkutvikling og politisk påvirkning, høyeste organisatoriske nivå mellom rådsmøtene og kontrollorgan for den interne driften. Det omfatter blant annet høringsinnspill og andre innspill </w:t>
      </w:r>
      <w:r w:rsidR="26CE01BE">
        <w:t>til</w:t>
      </w:r>
      <w:r>
        <w:t xml:space="preserve"> sentrale politiske prosesser, </w:t>
      </w:r>
      <w:r w:rsidR="00BE0D08">
        <w:t xml:space="preserve">gjennomgang </w:t>
      </w:r>
      <w:r w:rsidR="00476530">
        <w:t>og</w:t>
      </w:r>
      <w:r w:rsidR="00BE0D08">
        <w:t xml:space="preserve"> oppdatering av policydokumenter, </w:t>
      </w:r>
      <w:r>
        <w:t xml:space="preserve">strategi og </w:t>
      </w:r>
      <w:r w:rsidR="00C7194E">
        <w:t>prioriteringer</w:t>
      </w:r>
      <w:r>
        <w:t xml:space="preserve"> knyttet til styrets </w:t>
      </w:r>
      <w:r w:rsidR="00623439">
        <w:t>handlings</w:t>
      </w:r>
      <w:r>
        <w:t>plan, og interne økonomi- og virksomhetsrapporter.</w:t>
      </w:r>
      <w:r w:rsidR="00600F41">
        <w:t xml:space="preserve"> </w:t>
      </w:r>
    </w:p>
    <w:p w14:paraId="2C21D26C" w14:textId="76CF3409" w:rsidR="0096143E" w:rsidRDefault="0096143E" w:rsidP="00C34431">
      <w:r>
        <w:t xml:space="preserve">I perioden er det nedsatt styringsgrupper utgått fra styret som har fått ansvar for å følge </w:t>
      </w:r>
      <w:r w:rsidR="000823C4">
        <w:t xml:space="preserve">enkelte </w:t>
      </w:r>
      <w:r>
        <w:t>prosess</w:t>
      </w:r>
      <w:r w:rsidR="000823C4">
        <w:t>er</w:t>
      </w:r>
      <w:r>
        <w:t xml:space="preserve"> tett</w:t>
      </w:r>
      <w:r w:rsidR="003B39EA">
        <w:t xml:space="preserve"> </w:t>
      </w:r>
      <w:r w:rsidR="0012577E">
        <w:t>me</w:t>
      </w:r>
      <w:r w:rsidR="00DF5A33">
        <w:t>llom styremøter</w:t>
      </w:r>
      <w:r w:rsidR="00E05DF9">
        <w:t xml:space="preserve">. Dette gjelder </w:t>
      </w:r>
      <w:r w:rsidR="00C5070A">
        <w:t>Frontfagsmodellutvalget</w:t>
      </w:r>
      <w:r w:rsidR="00820126">
        <w:t xml:space="preserve">, </w:t>
      </w:r>
      <w:r w:rsidR="00DF0C99">
        <w:t>Råd for rettferdig omstilling</w:t>
      </w:r>
      <w:r w:rsidR="003A66B1">
        <w:t xml:space="preserve"> og</w:t>
      </w:r>
      <w:r w:rsidR="006B7E44">
        <w:t xml:space="preserve"> IA</w:t>
      </w:r>
      <w:r w:rsidR="007F77FC">
        <w:t>-</w:t>
      </w:r>
      <w:r w:rsidR="006B7E44">
        <w:t>prosessen</w:t>
      </w:r>
      <w:r w:rsidR="00DF0C99">
        <w:t xml:space="preserve">. </w:t>
      </w:r>
      <w:r w:rsidR="00BB3C2C">
        <w:t>Etter</w:t>
      </w:r>
      <w:r w:rsidR="000C3B57">
        <w:t xml:space="preserve"> vedtak i styret ble led</w:t>
      </w:r>
      <w:r w:rsidR="00AA5A7E">
        <w:t>e</w:t>
      </w:r>
      <w:r w:rsidR="007D2736">
        <w:t>rne i</w:t>
      </w:r>
      <w:r w:rsidR="00AA5A7E">
        <w:t xml:space="preserve"> Akademikerne </w:t>
      </w:r>
      <w:r w:rsidR="006907A0">
        <w:t>H</w:t>
      </w:r>
      <w:r w:rsidR="002340ED">
        <w:t>, K</w:t>
      </w:r>
      <w:r w:rsidR="00AA5A7E">
        <w:t xml:space="preserve">, P og S sammen med styreleder trukket inn i </w:t>
      </w:r>
      <w:r w:rsidR="00136E4D">
        <w:t xml:space="preserve">avslutningen </w:t>
      </w:r>
      <w:r w:rsidR="000823C4">
        <w:t>av arbeidet i den</w:t>
      </w:r>
      <w:r w:rsidR="00C95C20">
        <w:t xml:space="preserve"> </w:t>
      </w:r>
      <w:r w:rsidR="006D5D43">
        <w:t>partssammensatt</w:t>
      </w:r>
      <w:r w:rsidR="000823C4">
        <w:t>e</w:t>
      </w:r>
      <w:r w:rsidR="006D5D43">
        <w:t xml:space="preserve"> arbeidsgruppe</w:t>
      </w:r>
      <w:r w:rsidR="000823C4">
        <w:t>n</w:t>
      </w:r>
      <w:r w:rsidR="006D5D43">
        <w:t xml:space="preserve"> som så på bruken av tvungen lønnsnemnd. </w:t>
      </w:r>
      <w:r w:rsidR="000823C4">
        <w:t xml:space="preserve"> Som </w:t>
      </w:r>
      <w:r w:rsidR="006B5C0F">
        <w:t>oppfølging</w:t>
      </w:r>
      <w:r w:rsidR="000823C4">
        <w:t xml:space="preserve"> av vedtak fra Rådsmøtet i 2022 ble det nedsatt </w:t>
      </w:r>
      <w:r w:rsidR="0012591E">
        <w:t xml:space="preserve">en arbeidsgruppe </w:t>
      </w:r>
      <w:r w:rsidR="00E80335">
        <w:t>som fikk i oppgav</w:t>
      </w:r>
      <w:r w:rsidR="00381BF3">
        <w:t xml:space="preserve">e å </w:t>
      </w:r>
      <w:r w:rsidR="00564ECB">
        <w:t xml:space="preserve">utrede </w:t>
      </w:r>
      <w:r w:rsidR="004D7404">
        <w:t>kontingent</w:t>
      </w:r>
      <w:r w:rsidR="00646EF9">
        <w:t>-</w:t>
      </w:r>
      <w:r w:rsidR="004D7404">
        <w:t xml:space="preserve"> og stemmeregler som del av strategiprosessen. </w:t>
      </w:r>
      <w:r w:rsidR="000823C4">
        <w:t xml:space="preserve">Denne arbeidsgruppen ble nominert av medlemsforeningene og besto av ledere i foreningene og generalsekretærer. </w:t>
      </w:r>
    </w:p>
    <w:p w14:paraId="268ADB29" w14:textId="79B32977" w:rsidR="00A751DA" w:rsidRDefault="00645544" w:rsidP="00C05257">
      <w:r>
        <w:t>I</w:t>
      </w:r>
      <w:r w:rsidR="00FB12AF">
        <w:t xml:space="preserve">følge </w:t>
      </w:r>
      <w:r>
        <w:t>Akademikerne</w:t>
      </w:r>
      <w:r w:rsidR="00E17446">
        <w:t>s</w:t>
      </w:r>
      <w:r>
        <w:t xml:space="preserve"> styre</w:t>
      </w:r>
      <w:r w:rsidR="000823C4">
        <w:t>instruks</w:t>
      </w:r>
      <w:r>
        <w:t xml:space="preserve"> skal </w:t>
      </w:r>
      <w:r w:rsidR="00AD13BE">
        <w:t>styret gjennomføre evaluering av eget arbeid</w:t>
      </w:r>
      <w:r w:rsidR="000823C4">
        <w:t xml:space="preserve"> i hver styreperiode</w:t>
      </w:r>
      <w:r w:rsidR="00AD13BE">
        <w:t xml:space="preserve">. </w:t>
      </w:r>
      <w:r w:rsidR="007F2155">
        <w:t>For 2023 og 2024 er det gjennomført en prosess for styreutvikling</w:t>
      </w:r>
      <w:r w:rsidR="00787A0F">
        <w:t xml:space="preserve"> og -</w:t>
      </w:r>
      <w:r w:rsidR="00D13A5A">
        <w:t xml:space="preserve"> </w:t>
      </w:r>
      <w:r w:rsidR="00787A0F">
        <w:t xml:space="preserve">evaluering </w:t>
      </w:r>
      <w:r w:rsidR="00A05C5C">
        <w:t xml:space="preserve">med bidrag fra konsulenter fra AFF. </w:t>
      </w:r>
      <w:r w:rsidR="0063300E" w:rsidRPr="0063300E">
        <w:t xml:space="preserve">Ambisjonen </w:t>
      </w:r>
      <w:r w:rsidR="0063300E">
        <w:t>har vært</w:t>
      </w:r>
      <w:r w:rsidR="0063300E" w:rsidRPr="0063300E">
        <w:t xml:space="preserve"> å </w:t>
      </w:r>
      <w:r w:rsidR="000823C4">
        <w:t xml:space="preserve">bidra til felles forståelse av gruppens utfordringer og styrker, </w:t>
      </w:r>
      <w:r w:rsidR="006D1FB1">
        <w:t>øk</w:t>
      </w:r>
      <w:r w:rsidR="00977751">
        <w:t>t</w:t>
      </w:r>
      <w:r w:rsidR="007D045B">
        <w:t xml:space="preserve"> kontinuitet</w:t>
      </w:r>
      <w:r w:rsidR="00977751">
        <w:t xml:space="preserve"> i styret</w:t>
      </w:r>
      <w:r w:rsidR="00EA1582">
        <w:t xml:space="preserve"> og </w:t>
      </w:r>
      <w:r w:rsidR="0063300E" w:rsidRPr="0063300E">
        <w:t>felles kultur</w:t>
      </w:r>
      <w:r w:rsidR="00EA1582">
        <w:t xml:space="preserve">. </w:t>
      </w:r>
      <w:r w:rsidR="00DB17C5">
        <w:t>I evaluering</w:t>
      </w:r>
      <w:r w:rsidR="000823C4">
        <w:t>en</w:t>
      </w:r>
      <w:r w:rsidR="00DB17C5">
        <w:t xml:space="preserve"> </w:t>
      </w:r>
      <w:r w:rsidR="00BA66AE">
        <w:t>ble det lagt vekt på å</w:t>
      </w:r>
      <w:r w:rsidR="000B4E6F">
        <w:t xml:space="preserve"> vurdere om</w:t>
      </w:r>
      <w:r w:rsidR="00DC3F9D">
        <w:t xml:space="preserve"> styret diskuterer de riktige sakene, </w:t>
      </w:r>
      <w:r w:rsidR="000B4E6F">
        <w:t xml:space="preserve">vurdere </w:t>
      </w:r>
      <w:r w:rsidR="00DC3F9D">
        <w:t>roller og rolleforståelse i styret</w:t>
      </w:r>
      <w:r w:rsidR="005106E9">
        <w:t xml:space="preserve"> og </w:t>
      </w:r>
      <w:r w:rsidR="000823C4">
        <w:t xml:space="preserve">diskutere </w:t>
      </w:r>
      <w:r w:rsidR="005106E9">
        <w:t xml:space="preserve">prosess og forankring frem mot vedtak. </w:t>
      </w:r>
      <w:r w:rsidR="00A751DA" w:rsidRPr="008B7DAC">
        <w:t>Generelt gir både styremedlemmer og observatører uttrykk for godt samarbeid og tilfredshet med</w:t>
      </w:r>
      <w:r w:rsidR="005203D7">
        <w:t xml:space="preserve"> sakene og</w:t>
      </w:r>
      <w:r w:rsidR="00A751DA" w:rsidRPr="008B7DAC">
        <w:t xml:space="preserve"> </w:t>
      </w:r>
      <w:r w:rsidR="005203D7">
        <w:t>beslutningsgrunnlaget i møtene og med</w:t>
      </w:r>
      <w:r w:rsidR="00A751DA" w:rsidRPr="008B7DAC">
        <w:t xml:space="preserve"> ledelse</w:t>
      </w:r>
      <w:r w:rsidR="00E82926">
        <w:t>, forankring</w:t>
      </w:r>
      <w:r w:rsidR="00A751DA" w:rsidRPr="008B7DAC">
        <w:t xml:space="preserve"> og gjennomføring av styremøtene</w:t>
      </w:r>
      <w:r w:rsidR="00A751DA">
        <w:t>.</w:t>
      </w:r>
      <w:r w:rsidR="00F64730">
        <w:t xml:space="preserve"> </w:t>
      </w:r>
    </w:p>
    <w:p w14:paraId="6B510CA4" w14:textId="162F4D1C" w:rsidR="00887FF3" w:rsidRDefault="00593DA4" w:rsidP="001F7052">
      <w:pPr>
        <w:pStyle w:val="Overskrift2"/>
      </w:pPr>
      <w:bookmarkStart w:id="7" w:name="_Toc176264498"/>
      <w:r>
        <w:t xml:space="preserve">1.3 </w:t>
      </w:r>
      <w:r w:rsidR="007A50F9">
        <w:t xml:space="preserve">Strategiprosess 2023 </w:t>
      </w:r>
      <w:r w:rsidR="00294101">
        <w:t>–</w:t>
      </w:r>
      <w:r w:rsidR="007A50F9">
        <w:t xml:space="preserve"> 2024</w:t>
      </w:r>
      <w:bookmarkEnd w:id="7"/>
    </w:p>
    <w:p w14:paraId="2F198517" w14:textId="5C032151" w:rsidR="00C52900" w:rsidRDefault="09CE8B29" w:rsidP="00392E34">
      <w:pPr>
        <w:spacing w:after="0"/>
      </w:pPr>
      <w:r>
        <w:t xml:space="preserve">I </w:t>
      </w:r>
      <w:r w:rsidR="5D5DFCE6">
        <w:t>tråd</w:t>
      </w:r>
      <w:r>
        <w:t xml:space="preserve"> med Rådets vedtak fra 19. oktober </w:t>
      </w:r>
      <w:r w:rsidR="66CCCA41">
        <w:t>2022</w:t>
      </w:r>
      <w:r w:rsidR="01E246BD">
        <w:t xml:space="preserve"> </w:t>
      </w:r>
      <w:r w:rsidR="5FF8EF30">
        <w:t>har</w:t>
      </w:r>
      <w:r w:rsidR="66CCCA41">
        <w:t xml:space="preserve"> styret gjennomfør</w:t>
      </w:r>
      <w:r w:rsidR="5FF8EF30">
        <w:t>t</w:t>
      </w:r>
      <w:r w:rsidR="66CCCA41">
        <w:t xml:space="preserve"> en prosess </w:t>
      </w:r>
      <w:r w:rsidR="496BB48A">
        <w:t xml:space="preserve">for å diskutere og vurdere om det var behov for å justere </w:t>
      </w:r>
      <w:r w:rsidR="66CCCA41">
        <w:t xml:space="preserve">de langsiktige overordnede målene og oppgavene Akademikerne som hovedorganisasjon skal ha. </w:t>
      </w:r>
      <w:r w:rsidR="01E246BD">
        <w:t>Konsulentselskapet</w:t>
      </w:r>
      <w:r w:rsidR="66CCCA41">
        <w:t xml:space="preserve"> </w:t>
      </w:r>
      <w:proofErr w:type="spellStart"/>
      <w:r w:rsidR="5C2EFD3A">
        <w:t>Sopra</w:t>
      </w:r>
      <w:proofErr w:type="spellEnd"/>
      <w:r w:rsidR="5C2EFD3A">
        <w:t xml:space="preserve"> </w:t>
      </w:r>
      <w:proofErr w:type="spellStart"/>
      <w:r w:rsidR="5C2EFD3A">
        <w:t>Steria</w:t>
      </w:r>
      <w:proofErr w:type="spellEnd"/>
      <w:r w:rsidR="5C2EFD3A">
        <w:t xml:space="preserve"> ble engasjert til å foreta en intern og ekstern situasjonsanalyse av organisasjonen</w:t>
      </w:r>
      <w:r w:rsidR="7A36898A">
        <w:t xml:space="preserve"> som grunnlag </w:t>
      </w:r>
      <w:r w:rsidR="00685302">
        <w:t>for videre</w:t>
      </w:r>
      <w:r w:rsidR="496BB48A">
        <w:t xml:space="preserve"> arbeid</w:t>
      </w:r>
      <w:r w:rsidR="4B17D95E">
        <w:t>.</w:t>
      </w:r>
      <w:r w:rsidR="56666EB1">
        <w:t xml:space="preserve"> </w:t>
      </w:r>
      <w:r w:rsidR="53F86031">
        <w:t>Det ble lagt opp til en prosess med intervjuer</w:t>
      </w:r>
      <w:r w:rsidR="6F8132FD">
        <w:t xml:space="preserve">, workshop </w:t>
      </w:r>
      <w:r w:rsidR="3C398077">
        <w:t xml:space="preserve">og </w:t>
      </w:r>
      <w:r w:rsidR="602DBC03">
        <w:t xml:space="preserve">generelt </w:t>
      </w:r>
      <w:r w:rsidR="13E8E052">
        <w:t xml:space="preserve">bred </w:t>
      </w:r>
      <w:r w:rsidR="3C398077">
        <w:t xml:space="preserve">involvering av </w:t>
      </w:r>
      <w:r w:rsidR="13E8E052">
        <w:t>medlemsforeningen</w:t>
      </w:r>
      <w:r w:rsidR="3C1B48A6">
        <w:t>e</w:t>
      </w:r>
      <w:r w:rsidR="37221C89">
        <w:t>.</w:t>
      </w:r>
      <w:r w:rsidR="173C3EB0">
        <w:t xml:space="preserve"> </w:t>
      </w:r>
      <w:r w:rsidR="496BB48A">
        <w:t xml:space="preserve">Dette arbeidet endte i to rapporter som ble diskutert i en workshop i september 2023 med deltagere fra medlemsforeningene. Fremstillingen i rapportene fra </w:t>
      </w:r>
      <w:proofErr w:type="spellStart"/>
      <w:r w:rsidR="496BB48A">
        <w:t>Sopra</w:t>
      </w:r>
      <w:proofErr w:type="spellEnd"/>
      <w:r w:rsidR="496BB48A">
        <w:t xml:space="preserve"> </w:t>
      </w:r>
      <w:proofErr w:type="spellStart"/>
      <w:r w:rsidR="496BB48A">
        <w:t>Steria</w:t>
      </w:r>
      <w:proofErr w:type="spellEnd"/>
      <w:r w:rsidR="496BB48A">
        <w:t xml:space="preserve"> ble ikke oppfattet som nøytral og det ble i ettertid sendt ut en egen oppsummering av prosessen fra styret. Utkastet til oppsummering på høring til medlemsforeningene før det ble diskutert i styret. Workshopen og den etterfølgende diskusjonen i styret fremhevet behovet for </w:t>
      </w:r>
      <w:r w:rsidR="496BB48A">
        <w:lastRenderedPageBreak/>
        <w:t>god informasjonsflyt mellom Akademikerne og medlemsforeningene, men viste også at medlemsforeningene i stor grad er fornøyde med hvordan Akademikerne fungerer i dag</w:t>
      </w:r>
      <w:r w:rsidR="169B73D9">
        <w:t xml:space="preserve">. </w:t>
      </w:r>
      <w:r w:rsidR="71886977">
        <w:t>Styret k</w:t>
      </w:r>
      <w:r w:rsidR="496BB48A">
        <w:t>unne derfor etter fø</w:t>
      </w:r>
      <w:r w:rsidR="3A9E0A08">
        <w:t>r</w:t>
      </w:r>
      <w:r w:rsidR="496BB48A">
        <w:t>ste fase i arbeidet</w:t>
      </w:r>
      <w:r w:rsidR="0058721B">
        <w:t>,</w:t>
      </w:r>
      <w:r w:rsidR="496BB48A">
        <w:t xml:space="preserve"> konkludere </w:t>
      </w:r>
      <w:r w:rsidR="71886977">
        <w:t xml:space="preserve">med at de overordnede mål for Akademikerne ligger fast, og </w:t>
      </w:r>
      <w:r w:rsidR="702520A9">
        <w:t xml:space="preserve">at </w:t>
      </w:r>
      <w:r w:rsidR="71886977">
        <w:t xml:space="preserve">ytterligere utredninger av </w:t>
      </w:r>
      <w:r w:rsidR="0008490B">
        <w:t>I</w:t>
      </w:r>
      <w:r w:rsidR="4474184E">
        <w:t>dégrunnlag</w:t>
      </w:r>
      <w:r w:rsidR="0008490B">
        <w:t>et</w:t>
      </w:r>
      <w:r w:rsidR="71886977">
        <w:t xml:space="preserve">, langsiktige mål, oppgaver og struktur ikke </w:t>
      </w:r>
      <w:r w:rsidR="702520A9">
        <w:t xml:space="preserve">var </w:t>
      </w:r>
      <w:r w:rsidR="71886977">
        <w:t>nødvendig.</w:t>
      </w:r>
    </w:p>
    <w:p w14:paraId="0DCB530C" w14:textId="3EBC59EC" w:rsidR="00A6613E" w:rsidRDefault="00A6613E" w:rsidP="00C511AB">
      <w:pPr>
        <w:spacing w:after="0"/>
      </w:pPr>
    </w:p>
    <w:p w14:paraId="72605BDA" w14:textId="6443BCE4" w:rsidR="00382ACF" w:rsidRPr="000011EE" w:rsidRDefault="000823C4" w:rsidP="000011EE">
      <w:pPr>
        <w:rPr>
          <w:rStyle w:val="cf01"/>
          <w:rFonts w:asciiTheme="minorHAnsi" w:hAnsiTheme="minorHAnsi" w:cstheme="minorHAnsi"/>
          <w:sz w:val="22"/>
          <w:szCs w:val="22"/>
        </w:rPr>
      </w:pPr>
      <w:r>
        <w:t>Baser</w:t>
      </w:r>
      <w:r w:rsidR="004F5ED1">
        <w:t>t</w:t>
      </w:r>
      <w:r>
        <w:t xml:space="preserve"> på vedtak fra Rådsmøtet i 2022, input gitt av deltakerne i works</w:t>
      </w:r>
      <w:r w:rsidR="004F5ED1">
        <w:t>h</w:t>
      </w:r>
      <w:r>
        <w:t xml:space="preserve">open og faktadelen i rapportene </w:t>
      </w:r>
      <w:r w:rsidR="0E799EA0" w:rsidRPr="000011EE">
        <w:t xml:space="preserve">gikk </w:t>
      </w:r>
      <w:r>
        <w:t xml:space="preserve">styret </w:t>
      </w:r>
      <w:r w:rsidR="606FDFDA" w:rsidRPr="000011EE">
        <w:t>i</w:t>
      </w:r>
      <w:r w:rsidR="2ACE0359" w:rsidRPr="000011EE">
        <w:t xml:space="preserve"> fase </w:t>
      </w:r>
      <w:r w:rsidR="33E8109F" w:rsidRPr="000011EE">
        <w:t>2</w:t>
      </w:r>
      <w:r w:rsidR="2D209148" w:rsidRPr="000011EE">
        <w:t xml:space="preserve"> </w:t>
      </w:r>
      <w:r w:rsidR="606FDFDA" w:rsidRPr="000011EE">
        <w:t xml:space="preserve">videre med </w:t>
      </w:r>
      <w:r>
        <w:t xml:space="preserve">tre saker: </w:t>
      </w:r>
      <w:r w:rsidR="606FDFDA" w:rsidRPr="000011EE">
        <w:t>1) en v</w:t>
      </w:r>
      <w:r w:rsidR="329B0B67" w:rsidRPr="000011EE">
        <w:t>urder</w:t>
      </w:r>
      <w:r w:rsidR="33E8109F" w:rsidRPr="000011EE">
        <w:t>ing av</w:t>
      </w:r>
      <w:r w:rsidR="329B0B67" w:rsidRPr="000011EE">
        <w:t xml:space="preserve"> systemet for kontingent</w:t>
      </w:r>
      <w:r w:rsidR="1029AAAD" w:rsidRPr="000011EE">
        <w:t>-</w:t>
      </w:r>
      <w:r w:rsidR="329B0B67" w:rsidRPr="000011EE">
        <w:t xml:space="preserve"> og stemmeregler under rådsmøter</w:t>
      </w:r>
      <w:r>
        <w:t>;</w:t>
      </w:r>
      <w:r w:rsidR="7C6008A1" w:rsidRPr="000011EE">
        <w:t xml:space="preserve"> 2) en vurdering </w:t>
      </w:r>
      <w:r w:rsidR="2A7FFE6E" w:rsidRPr="000011EE">
        <w:t>av internasjonalt</w:t>
      </w:r>
      <w:r w:rsidR="329B0B67" w:rsidRPr="000011EE">
        <w:t xml:space="preserve"> engasjement</w:t>
      </w:r>
      <w:r w:rsidR="063E0226" w:rsidRPr="000011EE">
        <w:t xml:space="preserve"> og 3) en vurdering av </w:t>
      </w:r>
      <w:r w:rsidR="329B0B67" w:rsidRPr="000011EE">
        <w:t>hvordan man kan posisjonere seg for økt gjennomslagskraft og samtidig gjøre Akademikernes politiske arbeid bedre kjent</w:t>
      </w:r>
      <w:r>
        <w:t xml:space="preserve"> for medlemsforeningene</w:t>
      </w:r>
      <w:r w:rsidR="329B0B67" w:rsidRPr="000011EE">
        <w:t>.</w:t>
      </w:r>
      <w:r w:rsidR="009A256B" w:rsidRPr="000011EE">
        <w:t xml:space="preserve"> </w:t>
      </w:r>
      <w:r w:rsidR="799CFB19" w:rsidRPr="000011EE">
        <w:t xml:space="preserve">Styret </w:t>
      </w:r>
      <w:r>
        <w:t xml:space="preserve">orienterer </w:t>
      </w:r>
      <w:r w:rsidR="564EFB94" w:rsidRPr="000011EE">
        <w:t>Rådet</w:t>
      </w:r>
      <w:r w:rsidR="3E10A7FC" w:rsidRPr="000011EE">
        <w:t xml:space="preserve"> om strategiprosessen</w:t>
      </w:r>
      <w:r w:rsidR="026DA1B3" w:rsidRPr="000011EE">
        <w:t xml:space="preserve"> og</w:t>
      </w:r>
      <w:r w:rsidR="714933C0" w:rsidRPr="000011EE">
        <w:t xml:space="preserve"> </w:t>
      </w:r>
      <w:r>
        <w:t xml:space="preserve">legger frem en egen </w:t>
      </w:r>
      <w:r w:rsidR="714933C0" w:rsidRPr="000011EE">
        <w:t>sak om forslag til endring i kontingentsystemet</w:t>
      </w:r>
      <w:r w:rsidR="564EFB94" w:rsidRPr="000011EE">
        <w:t xml:space="preserve"> og stemmeregler</w:t>
      </w:r>
      <w:r w:rsidR="00A630E4" w:rsidRPr="000011EE">
        <w:rPr>
          <w:rStyle w:val="cf01"/>
          <w:rFonts w:asciiTheme="minorHAnsi" w:hAnsiTheme="minorHAnsi" w:cstheme="minorHAnsi"/>
          <w:sz w:val="22"/>
          <w:szCs w:val="22"/>
        </w:rPr>
        <w:t>.</w:t>
      </w:r>
    </w:p>
    <w:p w14:paraId="7DC7AC79" w14:textId="212D6990" w:rsidR="00A630E4" w:rsidRPr="000011EE" w:rsidRDefault="7F758F28" w:rsidP="000011EE">
      <w:r>
        <w:t>Styret vurderte</w:t>
      </w:r>
      <w:r w:rsidR="496BB48A">
        <w:t xml:space="preserve"> etter innspill fra foreningene</w:t>
      </w:r>
      <w:r>
        <w:t xml:space="preserve"> at </w:t>
      </w:r>
      <w:r w:rsidR="73D23693">
        <w:t>medlemskap</w:t>
      </w:r>
      <w:r w:rsidR="496BB48A">
        <w:t xml:space="preserve"> </w:t>
      </w:r>
      <w:r>
        <w:t>internasjonale or</w:t>
      </w:r>
      <w:r w:rsidR="496BB48A">
        <w:t>ganisasjoner</w:t>
      </w:r>
      <w:r>
        <w:t xml:space="preserve"> ikke er aktuelt på dette tidspunkt. Ressurssituasjonen samt medlemsorganisasjonenes behov var tungtveiende i denne vurderingen. Samtidig er det fra styrets side understreket at </w:t>
      </w:r>
      <w:r w:rsidR="496BB48A">
        <w:t xml:space="preserve">det er viktig å følge politiske prosesser i EU som får betydning for norsk arbeidsliv tettere. Sekretariatet vil løpende vurdere hvordan dette best kan ivaretas innenfor eksisterende rammer. </w:t>
      </w:r>
    </w:p>
    <w:p w14:paraId="4FB2D4C4" w14:textId="484C63C0" w:rsidR="0097757E" w:rsidRDefault="007A50F9" w:rsidP="001F7052">
      <w:pPr>
        <w:pStyle w:val="Overskrift2"/>
      </w:pPr>
      <w:bookmarkStart w:id="8" w:name="_Toc176264499"/>
      <w:r>
        <w:t xml:space="preserve">1.4 </w:t>
      </w:r>
      <w:r w:rsidR="00C213CF">
        <w:t>Prioriterte områder 2023 og 2024</w:t>
      </w:r>
      <w:bookmarkEnd w:id="8"/>
      <w:r w:rsidR="00C330BF">
        <w:t xml:space="preserve"> </w:t>
      </w:r>
    </w:p>
    <w:p w14:paraId="332C06BA" w14:textId="2CDD0F4E" w:rsidR="00CC6EC3" w:rsidRDefault="00A10C7E" w:rsidP="000E717F">
      <w:r>
        <w:t xml:space="preserve">Med utgangspunkt i </w:t>
      </w:r>
      <w:r w:rsidR="00C763C7">
        <w:t>Idégrunnlaget</w:t>
      </w:r>
      <w:r>
        <w:t xml:space="preserve"> </w:t>
      </w:r>
      <w:r w:rsidR="000823C4">
        <w:t xml:space="preserve">og vedtatt politikk </w:t>
      </w:r>
      <w:r>
        <w:t xml:space="preserve">jobber Akademikerne </w:t>
      </w:r>
      <w:r w:rsidR="0056044D">
        <w:t>bredt</w:t>
      </w:r>
      <w:r w:rsidR="00471476">
        <w:t xml:space="preserve"> politisk</w:t>
      </w:r>
      <w:r w:rsidR="006F553B">
        <w:t xml:space="preserve">. Målet er </w:t>
      </w:r>
      <w:r>
        <w:t xml:space="preserve">å </w:t>
      </w:r>
      <w:r w:rsidR="000823C4">
        <w:t xml:space="preserve">bidra til en systematisk forbedring av kunnskap og kompetanse, skape et allsidig og konkurransedyktig næringsliv og en konkurransedyktig offentlig sektor gjennom </w:t>
      </w:r>
      <w:r w:rsidR="00A703BA">
        <w:t>A</w:t>
      </w:r>
      <w:r w:rsidR="000823C4">
        <w:t xml:space="preserve">kademikernes politikk. </w:t>
      </w:r>
      <w:r w:rsidR="00F66339">
        <w:t xml:space="preserve">Akademikerne </w:t>
      </w:r>
      <w:r w:rsidR="001904FA">
        <w:t xml:space="preserve">har utdypet sin politikk gjennom en rekke policynotater (vedlegg 1). </w:t>
      </w:r>
      <w:r w:rsidR="00EE3A61" w:rsidRPr="00EE3A61">
        <w:t xml:space="preserve">Revisjon av alle policynotater har vært en del av </w:t>
      </w:r>
      <w:r w:rsidR="00482F80">
        <w:t>styret</w:t>
      </w:r>
      <w:r w:rsidR="009F3721">
        <w:t>s</w:t>
      </w:r>
      <w:r w:rsidR="00482F80">
        <w:t xml:space="preserve"> </w:t>
      </w:r>
      <w:r w:rsidR="000823C4">
        <w:t>plan</w:t>
      </w:r>
      <w:r w:rsidR="003842F6">
        <w:t xml:space="preserve"> </w:t>
      </w:r>
      <w:r w:rsidR="00482F80">
        <w:t>i perioden</w:t>
      </w:r>
      <w:r w:rsidR="00EE3A61" w:rsidRPr="00EE3A61">
        <w:t xml:space="preserve">. Policydokumentene </w:t>
      </w:r>
      <w:r w:rsidR="000823C4">
        <w:t>gir dermed oppdaterte politiske</w:t>
      </w:r>
      <w:r w:rsidR="003842F6">
        <w:t xml:space="preserve"> </w:t>
      </w:r>
      <w:r w:rsidR="00EE3A61" w:rsidRPr="00EE3A61">
        <w:t>rammer for</w:t>
      </w:r>
      <w:r w:rsidR="003842F6">
        <w:t xml:space="preserve"> A</w:t>
      </w:r>
      <w:r w:rsidR="000823C4">
        <w:t xml:space="preserve">kademikernes politiske arbeid. </w:t>
      </w:r>
      <w:r w:rsidR="00905CF4">
        <w:t>I</w:t>
      </w:r>
      <w:r w:rsidR="000823C4">
        <w:t xml:space="preserve"> de tilfellene det likevel er behov for s</w:t>
      </w:r>
      <w:r w:rsidR="00EE3A61" w:rsidRPr="00EE3A61">
        <w:t xml:space="preserve">trategiske veivalg og </w:t>
      </w:r>
      <w:r w:rsidR="000823C4">
        <w:t xml:space="preserve">vedtak av ny politikk </w:t>
      </w:r>
      <w:r w:rsidR="00EE3A61" w:rsidRPr="00EE3A61">
        <w:t xml:space="preserve">forelegges </w:t>
      </w:r>
      <w:r w:rsidR="000823C4">
        <w:t xml:space="preserve">det </w:t>
      </w:r>
      <w:r w:rsidR="00EE3A61" w:rsidRPr="00EE3A61">
        <w:t>styret</w:t>
      </w:r>
      <w:r w:rsidR="000823C4">
        <w:t xml:space="preserve">. Etter styrets vurdering gir de oppdaterte </w:t>
      </w:r>
      <w:r w:rsidR="00EE3A61" w:rsidRPr="00EE3A61">
        <w:t xml:space="preserve">policydokumentene </w:t>
      </w:r>
      <w:r w:rsidR="000823C4">
        <w:t xml:space="preserve">et godt fundament og </w:t>
      </w:r>
      <w:r w:rsidR="00EE3A61" w:rsidRPr="00EE3A61">
        <w:t xml:space="preserve">tydelig retning for </w:t>
      </w:r>
      <w:r w:rsidR="000823C4">
        <w:t xml:space="preserve">Akademikernes politiske arbeid. </w:t>
      </w:r>
    </w:p>
    <w:p w14:paraId="5C3A47BD" w14:textId="746C2F51" w:rsidR="001E59C0" w:rsidRDefault="000823C4" w:rsidP="000E717F">
      <w:r>
        <w:t xml:space="preserve">Akademikerne har i denne rådsmøteperioden hatt fem prioriterte områder. Disse områdene er valgt ut fra hvilke aktuelle saker og utredninger som pågår, hvilke områder Akademikerne har politikk og løsninger på som kan løftes frem, hvor vi kan ha mulighet til å sette dagsorden og få gjennomslag, og områder hvor vi har kompetanse, kapasitet og troverdighet. Det er også vektlagt at Akademikerne skal være gjenkjennelige og fremstå som helhetlige i sin politikk. </w:t>
      </w:r>
      <w:r w:rsidR="003E24DF">
        <w:t>I tråd med styrets mål om økt gjennomslag og synlighet</w:t>
      </w:r>
      <w:r w:rsidR="00EC430C">
        <w:t xml:space="preserve"> </w:t>
      </w:r>
      <w:r w:rsidR="00E442D7">
        <w:t xml:space="preserve">har det vært </w:t>
      </w:r>
      <w:r w:rsidR="00EC430C">
        <w:t xml:space="preserve">prioritert </w:t>
      </w:r>
      <w:r w:rsidR="000E7DAC">
        <w:t xml:space="preserve">noen </w:t>
      </w:r>
      <w:r w:rsidR="00EC430C">
        <w:t xml:space="preserve">enkeltsaker og </w:t>
      </w:r>
      <w:r w:rsidR="00541483">
        <w:t xml:space="preserve">politiske prosesser </w:t>
      </w:r>
      <w:r>
        <w:t xml:space="preserve">under hvert hovedområde </w:t>
      </w:r>
      <w:r w:rsidR="000E7DAC">
        <w:t xml:space="preserve">og jobbet strategisk </w:t>
      </w:r>
      <w:r w:rsidR="000C3F9D">
        <w:t>opp mot politikere og media</w:t>
      </w:r>
      <w:r w:rsidR="003E24DF">
        <w:t>.</w:t>
      </w:r>
      <w:r w:rsidR="005353A8">
        <w:t xml:space="preserve"> </w:t>
      </w:r>
      <w:r>
        <w:t>Arbeidet på disse områdene er beskrevet i de følgende avsnittende.</w:t>
      </w:r>
    </w:p>
    <w:p w14:paraId="07D8EB70" w14:textId="09F5495B" w:rsidR="000E717F" w:rsidRDefault="004604D1" w:rsidP="004929B2">
      <w:pPr>
        <w:pStyle w:val="Overskrift2"/>
      </w:pPr>
      <w:bookmarkStart w:id="9" w:name="_Toc176264500"/>
      <w:r>
        <w:lastRenderedPageBreak/>
        <w:t xml:space="preserve">1.4.1 </w:t>
      </w:r>
      <w:r w:rsidR="000E717F">
        <w:t>Gode lønns- og arbeidsvilkår</w:t>
      </w:r>
      <w:bookmarkEnd w:id="9"/>
    </w:p>
    <w:p w14:paraId="06710B72" w14:textId="77777777" w:rsidR="002D68EC" w:rsidRDefault="00644780" w:rsidP="009A316E">
      <w:r>
        <w:t>A</w:t>
      </w:r>
      <w:r w:rsidR="00634E88">
        <w:t>rbeidet for gode lønn</w:t>
      </w:r>
      <w:r w:rsidR="00F56D35">
        <w:t>s</w:t>
      </w:r>
      <w:r w:rsidR="00634E88">
        <w:t>- og arbeidsvilkår er grunnbjelken i Akadem</w:t>
      </w:r>
      <w:r w:rsidR="00A63786">
        <w:t xml:space="preserve">ikersamarbeidet. </w:t>
      </w:r>
      <w:r w:rsidR="002912EE">
        <w:t xml:space="preserve">Utover de årlige </w:t>
      </w:r>
      <w:r w:rsidR="007F59BA">
        <w:t>oppgjørene</w:t>
      </w:r>
      <w:r w:rsidR="002912EE">
        <w:t xml:space="preserve"> som er grundig </w:t>
      </w:r>
      <w:r w:rsidR="0098207E">
        <w:t>beskrevet</w:t>
      </w:r>
      <w:r w:rsidR="00025025">
        <w:t xml:space="preserve"> i kap. 2 under</w:t>
      </w:r>
      <w:r w:rsidR="001B181B">
        <w:t>,</w:t>
      </w:r>
      <w:r w:rsidR="00025025">
        <w:t xml:space="preserve"> </w:t>
      </w:r>
      <w:r w:rsidR="00154534">
        <w:t xml:space="preserve">foregår </w:t>
      </w:r>
      <w:r w:rsidR="00025025">
        <w:t xml:space="preserve">det </w:t>
      </w:r>
      <w:r w:rsidR="00154534">
        <w:t>et kontinuerlig strategi</w:t>
      </w:r>
      <w:r w:rsidR="00A900CA">
        <w:t xml:space="preserve">- og politisk forankringsarbeid </w:t>
      </w:r>
      <w:r w:rsidR="0071069E">
        <w:t xml:space="preserve">og partsdialog </w:t>
      </w:r>
      <w:r w:rsidR="0098207E">
        <w:t xml:space="preserve">gjennom hele året. </w:t>
      </w:r>
      <w:r w:rsidR="00301D52">
        <w:t xml:space="preserve">Det foregår et omfattende arbeid i </w:t>
      </w:r>
      <w:r w:rsidR="0071069E">
        <w:t>politisk</w:t>
      </w:r>
      <w:r w:rsidR="004616F1">
        <w:t>e</w:t>
      </w:r>
      <w:r w:rsidR="0071069E">
        <w:t xml:space="preserve"> utvalg o</w:t>
      </w:r>
      <w:r w:rsidR="00134059">
        <w:t>g arbeidsgrupper</w:t>
      </w:r>
      <w:r w:rsidR="002C3B50">
        <w:t>,</w:t>
      </w:r>
      <w:r w:rsidR="00134059">
        <w:t xml:space="preserve"> og gjennom teknisk </w:t>
      </w:r>
      <w:r w:rsidR="00F62493">
        <w:t>beregningsutvalg (TBU).</w:t>
      </w:r>
      <w:r w:rsidR="00CB5BE7">
        <w:t xml:space="preserve"> </w:t>
      </w:r>
    </w:p>
    <w:p w14:paraId="09069F84" w14:textId="0020D3FC" w:rsidR="00DD6FFC" w:rsidRDefault="00CB5BE7" w:rsidP="009A316E">
      <w:r>
        <w:t xml:space="preserve">Akademikerne har </w:t>
      </w:r>
      <w:r w:rsidR="00110E06">
        <w:t xml:space="preserve">i </w:t>
      </w:r>
      <w:r w:rsidR="00D86EF1">
        <w:t>perioden deltatt</w:t>
      </w:r>
      <w:r>
        <w:t xml:space="preserve"> i </w:t>
      </w:r>
      <w:r w:rsidR="008C0E12" w:rsidRPr="008C0E12">
        <w:t xml:space="preserve">en partssammensatt arbeidsgruppe </w:t>
      </w:r>
      <w:r w:rsidR="008C0E12">
        <w:t>som har sett på</w:t>
      </w:r>
      <w:r w:rsidR="008C0E12" w:rsidRPr="008C0E12">
        <w:t xml:space="preserve"> ulike aspekter ved systemet med tvungen lønnsnemnd og </w:t>
      </w:r>
      <w:r w:rsidR="008C0E12">
        <w:t>vurdert</w:t>
      </w:r>
      <w:r w:rsidR="008C0E12" w:rsidRPr="008C0E12">
        <w:t xml:space="preserve"> tiltak for å </w:t>
      </w:r>
      <w:r w:rsidR="00D03466">
        <w:t>redusere</w:t>
      </w:r>
      <w:r w:rsidR="008C0E12" w:rsidRPr="008C0E12">
        <w:t xml:space="preserve"> behovet for inngrep i arbeidskonflikter</w:t>
      </w:r>
      <w:r w:rsidR="00DD6FFC">
        <w:t>.</w:t>
      </w:r>
    </w:p>
    <w:p w14:paraId="07A220E5" w14:textId="20056DAC" w:rsidR="001719A8" w:rsidRDefault="706DBC48" w:rsidP="006D1F2D">
      <w:r>
        <w:t xml:space="preserve">Det har vært en prioritert oppgave å skape </w:t>
      </w:r>
      <w:r w:rsidR="716BDF26">
        <w:t xml:space="preserve">økt </w:t>
      </w:r>
      <w:r>
        <w:t xml:space="preserve">forståelse blant politikere </w:t>
      </w:r>
      <w:r w:rsidR="1B200B32">
        <w:t>for Akademikerne</w:t>
      </w:r>
      <w:r w:rsidR="28D6614A">
        <w:t>s</w:t>
      </w:r>
      <w:r w:rsidR="1B200B32">
        <w:t xml:space="preserve"> lønnspolitikk. </w:t>
      </w:r>
      <w:r w:rsidR="68877CCC">
        <w:t xml:space="preserve">Akademikerne har i </w:t>
      </w:r>
      <w:r w:rsidR="1B200B32">
        <w:t>dialog med</w:t>
      </w:r>
      <w:r w:rsidR="555A3F1A">
        <w:t xml:space="preserve"> politikere på</w:t>
      </w:r>
      <w:r w:rsidR="1B200B32">
        <w:t xml:space="preserve"> storting og</w:t>
      </w:r>
      <w:r w:rsidR="555A3F1A">
        <w:t xml:space="preserve"> i</w:t>
      </w:r>
      <w:r w:rsidR="1B200B32">
        <w:t xml:space="preserve"> regjering </w:t>
      </w:r>
      <w:r w:rsidR="0C9F1EA3">
        <w:t>samt</w:t>
      </w:r>
      <w:r w:rsidR="1B200B32">
        <w:t xml:space="preserve"> i </w:t>
      </w:r>
      <w:r w:rsidR="68877CCC">
        <w:t xml:space="preserve">innspill til partiene til partiprogrammene for neste stortingsperiode </w:t>
      </w:r>
      <w:r w:rsidR="540B3A60">
        <w:t>trukket frem viktigheten av lokal lønnsd</w:t>
      </w:r>
      <w:r w:rsidR="68877CCC">
        <w:t xml:space="preserve">annelse og </w:t>
      </w:r>
      <w:r w:rsidR="3FD29890">
        <w:t>-</w:t>
      </w:r>
      <w:r w:rsidR="68877CCC">
        <w:t>lønnsutvikling</w:t>
      </w:r>
      <w:r w:rsidR="2A5B4D4F">
        <w:t xml:space="preserve">. </w:t>
      </w:r>
      <w:r w:rsidR="3FD29890">
        <w:t>D</w:t>
      </w:r>
      <w:r w:rsidR="77D5805A">
        <w:t>et er avgjørende at</w:t>
      </w:r>
      <w:r w:rsidR="68877CCC">
        <w:t xml:space="preserve"> Akademikerne beholde</w:t>
      </w:r>
      <w:r w:rsidR="117F8511">
        <w:t>r</w:t>
      </w:r>
      <w:r w:rsidR="68877CCC">
        <w:t xml:space="preserve"> vårt lønns- og forhandlingssystem i statlig sektor</w:t>
      </w:r>
      <w:r w:rsidR="39A3D875">
        <w:t xml:space="preserve"> slik det kommer til utrykk i vår </w:t>
      </w:r>
      <w:r w:rsidR="68877CCC">
        <w:t>tariffavtale.</w:t>
      </w:r>
      <w:r w:rsidR="57BE8A6E">
        <w:t xml:space="preserve"> Dette har </w:t>
      </w:r>
      <w:r w:rsidR="36A83BC1">
        <w:t xml:space="preserve">også </w:t>
      </w:r>
      <w:r w:rsidR="57BE8A6E">
        <w:t xml:space="preserve">vært prioritert i kommunikasjonsarbeidet. </w:t>
      </w:r>
    </w:p>
    <w:p w14:paraId="3A86DB11" w14:textId="04E6F9C1" w:rsidR="00430B72" w:rsidRPr="00430B72" w:rsidRDefault="007F59BA" w:rsidP="009A316E">
      <w:r>
        <w:t xml:space="preserve">I styreperioden er det utover </w:t>
      </w:r>
      <w:r w:rsidR="00A101B5">
        <w:t>oppgjør og streiken våren 2024, særlig t</w:t>
      </w:r>
      <w:r w:rsidR="00DD6FFC">
        <w:t>o</w:t>
      </w:r>
      <w:r w:rsidR="00A101B5">
        <w:t xml:space="preserve"> prosesser styret øn</w:t>
      </w:r>
      <w:r w:rsidR="00215DE1">
        <w:t>s</w:t>
      </w:r>
      <w:r w:rsidR="00A101B5">
        <w:t>ker å trekke frem; Fronfags</w:t>
      </w:r>
      <w:r w:rsidR="00CB5BE7">
        <w:t>modell</w:t>
      </w:r>
      <w:r w:rsidR="00A101B5">
        <w:t>utvalget</w:t>
      </w:r>
      <w:r w:rsidR="00DD6FFC">
        <w:t xml:space="preserve"> og </w:t>
      </w:r>
      <w:r w:rsidR="00A101B5">
        <w:t>Lavlønnsutvalget</w:t>
      </w:r>
      <w:r w:rsidR="002C3B50">
        <w:t>.</w:t>
      </w:r>
      <w:r w:rsidR="00A101B5">
        <w:t xml:space="preserve"> </w:t>
      </w:r>
    </w:p>
    <w:p w14:paraId="5E3F2708" w14:textId="148ADB1E" w:rsidR="000E717F" w:rsidRPr="00142265" w:rsidRDefault="009A316E" w:rsidP="73E0304A">
      <w:pPr>
        <w:rPr>
          <w:b/>
          <w:bCs/>
        </w:rPr>
      </w:pPr>
      <w:r w:rsidRPr="00142265">
        <w:rPr>
          <w:b/>
          <w:bCs/>
        </w:rPr>
        <w:t>Frontfags</w:t>
      </w:r>
      <w:r w:rsidR="00CB5BE7">
        <w:rPr>
          <w:b/>
          <w:bCs/>
        </w:rPr>
        <w:t>modell</w:t>
      </w:r>
      <w:r w:rsidRPr="00142265">
        <w:rPr>
          <w:b/>
          <w:bCs/>
        </w:rPr>
        <w:t>utva</w:t>
      </w:r>
      <w:r w:rsidR="001E204C" w:rsidRPr="00142265">
        <w:rPr>
          <w:b/>
          <w:bCs/>
        </w:rPr>
        <w:t>l</w:t>
      </w:r>
      <w:r w:rsidRPr="00142265">
        <w:rPr>
          <w:b/>
          <w:bCs/>
        </w:rPr>
        <w:t>get</w:t>
      </w:r>
    </w:p>
    <w:p w14:paraId="6B1A92F6" w14:textId="007FE4C1" w:rsidR="76D57F77" w:rsidRPr="00CD17C7" w:rsidRDefault="6F5B4AFD" w:rsidP="73E0304A">
      <w:r w:rsidRPr="00CD17C7">
        <w:t xml:space="preserve">En felles henvendelse til </w:t>
      </w:r>
      <w:r w:rsidR="00CD15FA">
        <w:t>r</w:t>
      </w:r>
      <w:r w:rsidRPr="00CD17C7">
        <w:t xml:space="preserve">egjeringen fra LO og NHO, med påfølgende henvendelser fra øvrige hovedorganisasjoner, medførte at </w:t>
      </w:r>
      <w:r w:rsidR="0077784D">
        <w:t>r</w:t>
      </w:r>
      <w:r w:rsidRPr="00CD17C7">
        <w:t xml:space="preserve">egjeringen valgte å nedsette et utvalg som skulle se på frontfagsmodellen. </w:t>
      </w:r>
      <w:r w:rsidR="76D57F77" w:rsidRPr="00CD17C7">
        <w:t>LO og NHO ba i utgangspunktet om et offentlig utvalg som skulle se på økonomisk politikk og lønnsdannelsens samspill for å nå målene om full sysselsetting og konkurranseevne</w:t>
      </w:r>
      <w:r w:rsidR="3C0326EA" w:rsidRPr="00CD17C7">
        <w:t xml:space="preserve">, og avgrenset mot praktiseringen av modellen. </w:t>
      </w:r>
      <w:r w:rsidR="76D57F77" w:rsidRPr="00CD17C7">
        <w:t>Akademikerne/</w:t>
      </w:r>
      <w:proofErr w:type="spellStart"/>
      <w:r w:rsidR="76D57F77" w:rsidRPr="00CD17C7">
        <w:t>Unio</w:t>
      </w:r>
      <w:proofErr w:type="spellEnd"/>
      <w:r w:rsidR="76D57F77" w:rsidRPr="00CD17C7">
        <w:t xml:space="preserve">/YS </w:t>
      </w:r>
      <w:r w:rsidR="72E60E0F" w:rsidRPr="00CD17C7">
        <w:t xml:space="preserve">var </w:t>
      </w:r>
      <w:r w:rsidR="3268DBDF" w:rsidRPr="00CD17C7">
        <w:t xml:space="preserve">uenig </w:t>
      </w:r>
      <w:r w:rsidR="72E60E0F" w:rsidRPr="00CD17C7">
        <w:t xml:space="preserve">i en slik avgrensning, og </w:t>
      </w:r>
      <w:r w:rsidR="76D57F77" w:rsidRPr="00CD17C7">
        <w:t>ba</w:t>
      </w:r>
      <w:r w:rsidR="0715F486" w:rsidRPr="00CD17C7">
        <w:t xml:space="preserve"> i en </w:t>
      </w:r>
      <w:r w:rsidR="3D72D443" w:rsidRPr="00CD17C7">
        <w:t xml:space="preserve">felles </w:t>
      </w:r>
      <w:r w:rsidR="0715F486" w:rsidRPr="00CD17C7">
        <w:t xml:space="preserve">henvendelse om at et </w:t>
      </w:r>
      <w:r w:rsidR="270D77BB" w:rsidRPr="00CD17C7">
        <w:t xml:space="preserve">eventuelt </w:t>
      </w:r>
      <w:r w:rsidR="0715F486" w:rsidRPr="00CD17C7">
        <w:t xml:space="preserve">utvalg også måtte se på praktiseringen av frontfagsmodellen. </w:t>
      </w:r>
    </w:p>
    <w:p w14:paraId="2E9ABA2E" w14:textId="789ABF87" w:rsidR="00127C02" w:rsidRPr="00CD17C7" w:rsidRDefault="0715F486" w:rsidP="00127C02">
      <w:r w:rsidRPr="00CD17C7">
        <w:t xml:space="preserve">Frontfagsmodellutvalget ble oppnevnt i </w:t>
      </w:r>
      <w:r w:rsidR="12B39332" w:rsidRPr="00CD17C7">
        <w:t>j</w:t>
      </w:r>
      <w:r w:rsidRPr="00CD17C7">
        <w:t xml:space="preserve">anuar 2023, og med frist for å </w:t>
      </w:r>
      <w:r w:rsidR="00BB066B">
        <w:t>levere</w:t>
      </w:r>
      <w:r w:rsidRPr="00CD17C7">
        <w:t xml:space="preserve"> sin </w:t>
      </w:r>
      <w:r w:rsidR="00BB066B">
        <w:t>utredning</w:t>
      </w:r>
      <w:r w:rsidRPr="00CD17C7">
        <w:t xml:space="preserve"> </w:t>
      </w:r>
      <w:r w:rsidR="007A5BF8">
        <w:t>i</w:t>
      </w:r>
      <w:r w:rsidR="535083CE" w:rsidRPr="00CD17C7">
        <w:t xml:space="preserve"> </w:t>
      </w:r>
      <w:r w:rsidR="242F332D" w:rsidRPr="00CD17C7">
        <w:t>d</w:t>
      </w:r>
      <w:r w:rsidR="535083CE" w:rsidRPr="00CD17C7">
        <w:t xml:space="preserve">esember 2023. </w:t>
      </w:r>
      <w:r w:rsidR="00087A0A">
        <w:t>U</w:t>
      </w:r>
      <w:r w:rsidR="65B1A153" w:rsidRPr="00CD17C7">
        <w:t xml:space="preserve">tvalget </w:t>
      </w:r>
      <w:r w:rsidR="00087A0A">
        <w:t xml:space="preserve">var </w:t>
      </w:r>
      <w:r w:rsidR="65B1A153" w:rsidRPr="00CD17C7">
        <w:t xml:space="preserve">sammensatt av representanter fra arbeidsgiver- og arbeidstakersiden, samt noen uavhengige forskere og eksperter. </w:t>
      </w:r>
      <w:r w:rsidR="00087A0A" w:rsidRPr="00CD17C7">
        <w:t>Leder for utvalget var professor i økonomi Steinar Holden.</w:t>
      </w:r>
      <w:r w:rsidR="00127C02" w:rsidRPr="00127C02">
        <w:t xml:space="preserve"> </w:t>
      </w:r>
      <w:r w:rsidR="00127C02" w:rsidRPr="00CD17C7">
        <w:t xml:space="preserve">Utvalgsmedlem fra Akademikerne var forhandlingssjef Anette Bjørlin Basma. </w:t>
      </w:r>
    </w:p>
    <w:p w14:paraId="7FADE492" w14:textId="7B44C736" w:rsidR="2E4D08DE" w:rsidRPr="00CD17C7" w:rsidRDefault="0713DBE3" w:rsidP="73E0304A">
      <w:r>
        <w:t xml:space="preserve">Mandatet til utvalget var todelt. </w:t>
      </w:r>
      <w:r w:rsidR="133932B8">
        <w:t>U</w:t>
      </w:r>
      <w:r>
        <w:t>tvalget</w:t>
      </w:r>
      <w:r w:rsidR="133932B8">
        <w:t xml:space="preserve"> skulle</w:t>
      </w:r>
      <w:r>
        <w:t xml:space="preserve"> drøfte makroøkonomiske utviklingstrekk som kan skape utfordringer for norsk økonomi og lønnsdannelsen fremover</w:t>
      </w:r>
      <w:r w:rsidR="133932B8">
        <w:t>. Videre</w:t>
      </w:r>
      <w:r>
        <w:t xml:space="preserve"> skulle utvalget gjennomgå forskning og erfaringer med praktiseringen av frontfagsmodellen. </w:t>
      </w:r>
    </w:p>
    <w:p w14:paraId="23D874EC" w14:textId="5D1578CE" w:rsidR="5757347C" w:rsidRPr="00CD17C7" w:rsidRDefault="5757347C" w:rsidP="73E0304A">
      <w:r w:rsidRPr="00CD17C7">
        <w:lastRenderedPageBreak/>
        <w:t xml:space="preserve">Styret i Akademikerne valgte å organisere den interne forankringen </w:t>
      </w:r>
      <w:r w:rsidR="000823C4">
        <w:t xml:space="preserve">via en </w:t>
      </w:r>
      <w:r w:rsidRPr="00CD17C7">
        <w:t xml:space="preserve">styringsgruppe som </w:t>
      </w:r>
      <w:r w:rsidR="000823C4">
        <w:t>fulgte</w:t>
      </w:r>
      <w:r w:rsidR="00876AE6">
        <w:t xml:space="preserve"> </w:t>
      </w:r>
      <w:r w:rsidRPr="00CD17C7">
        <w:t xml:space="preserve">utvalgets arbeid tett. I tillegg opprettet sekretariatet en administrativ gruppe </w:t>
      </w:r>
      <w:r w:rsidR="4A8E0AFC" w:rsidRPr="00CD17C7">
        <w:t>med faglige representanter</w:t>
      </w:r>
      <w:r w:rsidR="000B4539">
        <w:t xml:space="preserve"> fra foreningene</w:t>
      </w:r>
      <w:r w:rsidR="4A8E0AFC" w:rsidRPr="00CD17C7">
        <w:t xml:space="preserve"> som bidragsytere og diskusjonsstøtte for utvalgsrepresentanten. </w:t>
      </w:r>
    </w:p>
    <w:p w14:paraId="19865C41" w14:textId="4375A35D" w:rsidR="3B6C4151" w:rsidRPr="00CD17C7" w:rsidRDefault="5247D7C7" w:rsidP="73E0304A">
      <w:r>
        <w:t xml:space="preserve">Frontfagsmodellutvalget leverte sin </w:t>
      </w:r>
      <w:r w:rsidR="49441A28">
        <w:t>utredning</w:t>
      </w:r>
      <w:r>
        <w:t xml:space="preserve"> til Finansministeren 15. desember 2023</w:t>
      </w:r>
      <w:r w:rsidR="055046FC">
        <w:t>;</w:t>
      </w:r>
      <w:r w:rsidR="182635CE">
        <w:t xml:space="preserve"> </w:t>
      </w:r>
      <w:r w:rsidR="182635CE" w:rsidRPr="36C74D5F">
        <w:rPr>
          <w:i/>
          <w:iCs/>
        </w:rPr>
        <w:t xml:space="preserve">NOU 2023:30 “Utfordringer for lønnsdannelsen og norsk økonomi”. </w:t>
      </w:r>
      <w:r>
        <w:t xml:space="preserve">Utvalget er i all hovedsak omforent om beskrivelsen av norsk økonomi, utfordringer og frontfagsmodellen som sådan. </w:t>
      </w:r>
      <w:r w:rsidR="6C71FE8A">
        <w:t xml:space="preserve">Akademikerne </w:t>
      </w:r>
      <w:r>
        <w:t xml:space="preserve">og </w:t>
      </w:r>
      <w:proofErr w:type="spellStart"/>
      <w:r>
        <w:t>Unio</w:t>
      </w:r>
      <w:proofErr w:type="spellEnd"/>
      <w:r>
        <w:t xml:space="preserve"> valgte å innta en særmerknad til oppsu</w:t>
      </w:r>
      <w:r w:rsidR="725F818D">
        <w:t>mmeringen, for å synliggjøre vår felles forståelse av praktiseringen av modellen og frontfagsforhandlingenes betydning for etterfølgende tariffop</w:t>
      </w:r>
      <w:r w:rsidR="1C28D5B6">
        <w:t>p</w:t>
      </w:r>
      <w:r w:rsidR="725F818D">
        <w:t xml:space="preserve">gjør. </w:t>
      </w:r>
      <w:r w:rsidR="4E27B9D4">
        <w:t xml:space="preserve">Dette fordi </w:t>
      </w:r>
      <w:r w:rsidR="496BB48A">
        <w:t xml:space="preserve">vi fant at beskrivelsen i rapportteksten ikke ga en tilstrekkelig </w:t>
      </w:r>
      <w:r w:rsidR="4E27B9D4">
        <w:t xml:space="preserve">nyansert </w:t>
      </w:r>
      <w:r w:rsidR="401450C5">
        <w:t>beskrivelse av</w:t>
      </w:r>
      <w:r w:rsidR="496BB48A">
        <w:t xml:space="preserve"> dette.</w:t>
      </w:r>
      <w:r w:rsidR="4E27B9D4">
        <w:t xml:space="preserve"> </w:t>
      </w:r>
      <w:r w:rsidR="725F818D">
        <w:t>Særmerknaden utløste e</w:t>
      </w:r>
      <w:r w:rsidR="7DFF6D14">
        <w:t xml:space="preserve">t svar – en flertallsmerknad – fra utvalgets øvrige representanter, og synliggjør tydelig spenningen som ligger i frontfagsmodellen. </w:t>
      </w:r>
    </w:p>
    <w:p w14:paraId="7FE069C8" w14:textId="557076D1" w:rsidR="009A316E" w:rsidRPr="00CB5BE7" w:rsidRDefault="009A316E" w:rsidP="009A316E">
      <w:pPr>
        <w:rPr>
          <w:b/>
          <w:bCs/>
        </w:rPr>
      </w:pPr>
      <w:r w:rsidRPr="00CB5BE7">
        <w:rPr>
          <w:b/>
          <w:bCs/>
        </w:rPr>
        <w:t>Lavlønnsutvalget</w:t>
      </w:r>
    </w:p>
    <w:p w14:paraId="75116A1B" w14:textId="1B04C530" w:rsidR="73E0304A" w:rsidRPr="00811215" w:rsidRDefault="00C47323" w:rsidP="73E0304A">
      <w:r w:rsidRPr="00811215">
        <w:t xml:space="preserve">Akademikerne har deltatt i </w:t>
      </w:r>
      <w:r w:rsidR="00C87B49" w:rsidRPr="00811215">
        <w:t>det partssammensatte lavlønnsutvalget</w:t>
      </w:r>
      <w:r w:rsidR="009E1B2F" w:rsidRPr="00811215">
        <w:t xml:space="preserve">. </w:t>
      </w:r>
      <w:r w:rsidR="00C87B49" w:rsidRPr="00811215">
        <w:t xml:space="preserve">Her </w:t>
      </w:r>
      <w:r w:rsidR="08F99183" w:rsidRPr="00811215">
        <w:t>har Akademikerne lagt vekt på å</w:t>
      </w:r>
      <w:r w:rsidR="0A9CB642" w:rsidRPr="00811215">
        <w:t xml:space="preserve"> få frem </w:t>
      </w:r>
      <w:r w:rsidR="165A7B10" w:rsidRPr="00811215">
        <w:t>en nyansert frem</w:t>
      </w:r>
      <w:r w:rsidR="1365C6AA" w:rsidRPr="00811215">
        <w:t>st</w:t>
      </w:r>
      <w:r w:rsidR="165A7B10" w:rsidRPr="00811215">
        <w:t xml:space="preserve">illing av sentral </w:t>
      </w:r>
      <w:proofErr w:type="spellStart"/>
      <w:r w:rsidR="165A7B10" w:rsidRPr="00811215">
        <w:t>vs</w:t>
      </w:r>
      <w:proofErr w:type="spellEnd"/>
      <w:r w:rsidR="165A7B10" w:rsidRPr="00811215">
        <w:t xml:space="preserve"> lokal lønnsdannelse og </w:t>
      </w:r>
      <w:r w:rsidR="7A70FE84" w:rsidRPr="00811215">
        <w:t>en realitetsbasert fremstilling av lønnsfor</w:t>
      </w:r>
      <w:r w:rsidR="1365C6AA" w:rsidRPr="00811215">
        <w:t>s</w:t>
      </w:r>
      <w:r w:rsidR="7A70FE84" w:rsidRPr="00811215">
        <w:t>kjeller</w:t>
      </w:r>
      <w:r w:rsidR="02E2604B" w:rsidRPr="00811215">
        <w:t xml:space="preserve"> og </w:t>
      </w:r>
      <w:r w:rsidR="7A70FE84" w:rsidRPr="00811215">
        <w:t xml:space="preserve">sammenpresset </w:t>
      </w:r>
      <w:r w:rsidR="054F9CC2" w:rsidRPr="00811215">
        <w:t xml:space="preserve">lønnsstruktur i </w:t>
      </w:r>
      <w:r w:rsidR="3B71634F" w:rsidRPr="00811215">
        <w:t>offentlig sektor</w:t>
      </w:r>
      <w:r w:rsidR="054F9CC2" w:rsidRPr="00811215">
        <w:t xml:space="preserve">. Utvalget konkluderer med at lavlønn er et </w:t>
      </w:r>
      <w:r w:rsidR="590C60FE" w:rsidRPr="00811215">
        <w:t xml:space="preserve">lite utbredt problem </w:t>
      </w:r>
      <w:r w:rsidR="105B0F01" w:rsidRPr="00811215">
        <w:t>i Norge</w:t>
      </w:r>
      <w:r w:rsidR="3B71634F" w:rsidRPr="00811215">
        <w:t xml:space="preserve">, og at </w:t>
      </w:r>
      <w:r w:rsidR="330BE288" w:rsidRPr="00811215">
        <w:t>de</w:t>
      </w:r>
      <w:r w:rsidR="6409C9FD" w:rsidRPr="00811215">
        <w:t xml:space="preserve"> fleste er ute av lav lønnskategorien etter et år. </w:t>
      </w:r>
      <w:r w:rsidR="0CF96693" w:rsidRPr="00811215">
        <w:t xml:space="preserve">Utvalget viser også at det er en myte at det er økende lønnsforskjeller i Norge. </w:t>
      </w:r>
      <w:r w:rsidR="10CE5790" w:rsidRPr="00811215">
        <w:t>Lønnsforskjellene økte frem til 2015, men de</w:t>
      </w:r>
      <w:r w:rsidR="26C71861" w:rsidRPr="00811215">
        <w:t>t si</w:t>
      </w:r>
      <w:r w:rsidR="05D727BC" w:rsidRPr="00811215">
        <w:t>ste</w:t>
      </w:r>
      <w:r w:rsidR="26C71861" w:rsidRPr="00811215">
        <w:t xml:space="preserve"> tiåret er dette </w:t>
      </w:r>
      <w:r w:rsidR="22626158" w:rsidRPr="00811215">
        <w:t>ikke tilfellet</w:t>
      </w:r>
      <w:r w:rsidR="41DCF9D5" w:rsidRPr="00811215">
        <w:t>. F</w:t>
      </w:r>
      <w:r w:rsidR="34E7186B" w:rsidRPr="00811215">
        <w:t>ra 2015 har forskjellene vært stabile.</w:t>
      </w:r>
    </w:p>
    <w:p w14:paraId="7E8D5DE2" w14:textId="12C07102" w:rsidR="001E59C0" w:rsidRDefault="004604D1" w:rsidP="004929B2">
      <w:pPr>
        <w:pStyle w:val="Overskrift2"/>
      </w:pPr>
      <w:bookmarkStart w:id="10" w:name="_Toc114065525"/>
      <w:bookmarkStart w:id="11" w:name="_Toc176264501"/>
      <w:r>
        <w:t xml:space="preserve">1.4.2 </w:t>
      </w:r>
      <w:r w:rsidR="00B41820">
        <w:t xml:space="preserve">Fleksibilitet </w:t>
      </w:r>
      <w:r w:rsidR="00C2798C">
        <w:t>og trygghet i arbeidslivet</w:t>
      </w:r>
      <w:r w:rsidR="001E59C0">
        <w:t>.</w:t>
      </w:r>
      <w:bookmarkEnd w:id="10"/>
      <w:bookmarkEnd w:id="11"/>
    </w:p>
    <w:p w14:paraId="69C7269F" w14:textId="2E186047" w:rsidR="002F1A76" w:rsidRDefault="003F0221" w:rsidP="003F0221">
      <w:pPr>
        <w:spacing w:before="240"/>
      </w:pPr>
      <w:r w:rsidRPr="00943512">
        <w:t>Velferdsstaten sikrer den enkelte trygghet for inntekt, sikrer de som ikke kan jobbe og stimulerer samtidig alle som kan til arbeid.</w:t>
      </w:r>
      <w:r w:rsidR="00963C68">
        <w:t xml:space="preserve"> I </w:t>
      </w:r>
      <w:r w:rsidR="003C7642">
        <w:t>partsdialogen med regjering og dialogen med stortingspolitikere har</w:t>
      </w:r>
      <w:r w:rsidRPr="00943512">
        <w:t xml:space="preserve"> </w:t>
      </w:r>
      <w:r w:rsidR="002251A6" w:rsidRPr="00943512">
        <w:t>Akademikerne</w:t>
      </w:r>
      <w:r w:rsidR="00AE7468" w:rsidRPr="00943512">
        <w:t xml:space="preserve"> </w:t>
      </w:r>
      <w:r w:rsidR="009C0834" w:rsidRPr="00943512">
        <w:t>vært opptatt av</w:t>
      </w:r>
      <w:r w:rsidR="00AE7468" w:rsidRPr="00943512">
        <w:t xml:space="preserve"> tiltak som bidrar til </w:t>
      </w:r>
      <w:r w:rsidRPr="00943512">
        <w:t>at flere kommer seg i jobb</w:t>
      </w:r>
      <w:r w:rsidR="009C0834" w:rsidRPr="00943512">
        <w:t xml:space="preserve"> og står lengre i jobb</w:t>
      </w:r>
      <w:r w:rsidRPr="00943512">
        <w:t xml:space="preserve">, </w:t>
      </w:r>
      <w:r w:rsidR="009C0834" w:rsidRPr="00943512">
        <w:t xml:space="preserve">av </w:t>
      </w:r>
      <w:r w:rsidRPr="00943512">
        <w:t>redusert sykefravær</w:t>
      </w:r>
      <w:r w:rsidR="00943512" w:rsidRPr="00943512">
        <w:t xml:space="preserve"> og</w:t>
      </w:r>
      <w:r w:rsidRPr="00943512">
        <w:t xml:space="preserve"> mindre overgang til helserelaterte ytelser som </w:t>
      </w:r>
      <w:r w:rsidR="00B767D1">
        <w:t>arbeidsavklaringspenger (AAP)</w:t>
      </w:r>
      <w:r w:rsidRPr="00943512">
        <w:t xml:space="preserve"> og uføretrygd.</w:t>
      </w:r>
    </w:p>
    <w:p w14:paraId="4C5A0205" w14:textId="6607F16C" w:rsidR="00CE12D3" w:rsidRPr="00CE12D3" w:rsidRDefault="00CE12D3" w:rsidP="003F0221">
      <w:pPr>
        <w:spacing w:before="240"/>
        <w:rPr>
          <w:b/>
          <w:bCs/>
        </w:rPr>
      </w:pPr>
      <w:r w:rsidRPr="00CE12D3">
        <w:rPr>
          <w:b/>
          <w:bCs/>
        </w:rPr>
        <w:t xml:space="preserve">Oppfølging av </w:t>
      </w:r>
      <w:r w:rsidR="002E65BF">
        <w:rPr>
          <w:b/>
          <w:bCs/>
        </w:rPr>
        <w:t>S</w:t>
      </w:r>
      <w:r w:rsidRPr="00CE12D3">
        <w:rPr>
          <w:b/>
          <w:bCs/>
        </w:rPr>
        <w:t>ysselsettingsutvalget</w:t>
      </w:r>
    </w:p>
    <w:p w14:paraId="0CD652A3" w14:textId="6E4E635B" w:rsidR="00226158" w:rsidRPr="002835FE" w:rsidRDefault="6C49B180" w:rsidP="003F0221">
      <w:pPr>
        <w:spacing w:before="240"/>
      </w:pPr>
      <w:r>
        <w:t xml:space="preserve">Akademikerne har tatt til orde for at </w:t>
      </w:r>
      <w:r w:rsidR="3FA7E0EA">
        <w:t xml:space="preserve">forslagene </w:t>
      </w:r>
      <w:r w:rsidR="3EFF7CF5">
        <w:t>det var bred enighet om i Sysselsettingsutvalgets del 2 må følges opp.</w:t>
      </w:r>
      <w:r w:rsidR="5F5B34E2">
        <w:t xml:space="preserve"> </w:t>
      </w:r>
      <w:r w:rsidR="4ADB8EA2">
        <w:t xml:space="preserve">Viktig i denne sammenheng er tiltak som </w:t>
      </w:r>
      <w:r w:rsidR="010AC081">
        <w:t>inneb</w:t>
      </w:r>
      <w:r w:rsidR="2EBDB718">
        <w:t>æ</w:t>
      </w:r>
      <w:r w:rsidR="010AC081">
        <w:t xml:space="preserve">rer aktivitet i form av </w:t>
      </w:r>
      <w:r w:rsidR="2B121CBD">
        <w:t>opplæring eller arbeid</w:t>
      </w:r>
      <w:r w:rsidR="2EBDB718">
        <w:t>.</w:t>
      </w:r>
      <w:r w:rsidR="37572F2D">
        <w:t xml:space="preserve"> «</w:t>
      </w:r>
      <w:proofErr w:type="spellStart"/>
      <w:r w:rsidR="37572F2D">
        <w:t>Demedikalisering</w:t>
      </w:r>
      <w:proofErr w:type="spellEnd"/>
      <w:r w:rsidR="37572F2D">
        <w:t>»</w:t>
      </w:r>
      <w:r w:rsidR="141BCB5C">
        <w:t xml:space="preserve">, har vært sentralt i våre innspill til </w:t>
      </w:r>
      <w:r w:rsidR="60164945">
        <w:t>stortingsmelding</w:t>
      </w:r>
      <w:r w:rsidR="61D6BD30">
        <w:t xml:space="preserve"> om arbeidsmarkedet/arbeidsinkludering</w:t>
      </w:r>
      <w:r w:rsidR="15331827">
        <w:t xml:space="preserve">. </w:t>
      </w:r>
      <w:r w:rsidR="00341F96">
        <w:t xml:space="preserve">Videre har vi vektlagt at </w:t>
      </w:r>
      <w:r w:rsidR="00CD5C91">
        <w:t>kompetanse</w:t>
      </w:r>
      <w:r w:rsidR="00472284">
        <w:t xml:space="preserve">rettede tiltak for å få flere </w:t>
      </w:r>
      <w:r w:rsidR="006864A5">
        <w:t>i jobb også må</w:t>
      </w:r>
      <w:r w:rsidR="00314412">
        <w:t xml:space="preserve"> </w:t>
      </w:r>
      <w:r w:rsidR="008837BE">
        <w:t xml:space="preserve">innebære mulighet for høyere utdanning. </w:t>
      </w:r>
      <w:r w:rsidR="0DD6D940">
        <w:t xml:space="preserve">Akademikerne har støttet </w:t>
      </w:r>
      <w:r w:rsidR="1C422528">
        <w:t xml:space="preserve">myndighetenes </w:t>
      </w:r>
      <w:r w:rsidR="6584993D">
        <w:t xml:space="preserve">forsøk med arbeidsorientert </w:t>
      </w:r>
      <w:r w:rsidR="5ECFA00E">
        <w:t>uføretrygd</w:t>
      </w:r>
      <w:r w:rsidR="301DCAD7">
        <w:t xml:space="preserve">. Forsøket ble avbrutt underveis </w:t>
      </w:r>
      <w:r w:rsidR="37A40631">
        <w:t>som følge av budsjettforliket mellom regjeringspartiene og SV</w:t>
      </w:r>
      <w:r w:rsidR="00AD69B5">
        <w:t>.</w:t>
      </w:r>
      <w:r w:rsidR="00171000">
        <w:t xml:space="preserve"> </w:t>
      </w:r>
      <w:r w:rsidR="002835FE">
        <w:t xml:space="preserve"> </w:t>
      </w:r>
    </w:p>
    <w:p w14:paraId="2E56E55A" w14:textId="337B5DD6" w:rsidR="00E3329E" w:rsidRPr="00E3329E" w:rsidRDefault="00E3329E" w:rsidP="00E3329E">
      <w:pPr>
        <w:rPr>
          <w:b/>
          <w:bCs/>
        </w:rPr>
      </w:pPr>
      <w:r w:rsidRPr="00E3329E">
        <w:rPr>
          <w:b/>
          <w:bCs/>
        </w:rPr>
        <w:lastRenderedPageBreak/>
        <w:t>IA-avtalen</w:t>
      </w:r>
    </w:p>
    <w:p w14:paraId="142E131A" w14:textId="22FDA440" w:rsidR="00935C16" w:rsidRPr="00A17CD8" w:rsidRDefault="15B97B4E" w:rsidP="003F0221">
      <w:pPr>
        <w:spacing w:before="240"/>
      </w:pPr>
      <w:r>
        <w:t xml:space="preserve">Myndighetene og hovedorganisasjonene ble i november 2022 enige om å </w:t>
      </w:r>
      <w:r w:rsidR="761C8A9A">
        <w:t xml:space="preserve">forlenge </w:t>
      </w:r>
      <w:r>
        <w:t xml:space="preserve">IA avtalen for to år. Avtalen </w:t>
      </w:r>
      <w:r w:rsidR="3CDEAD88">
        <w:t>utløper i 2024, reforhandling skal etter planen skje høsten 2024</w:t>
      </w:r>
      <w:r w:rsidR="00F466DA">
        <w:t xml:space="preserve">, </w:t>
      </w:r>
      <w:r w:rsidR="00517DD9">
        <w:t>dato for sluttføring er satt til</w:t>
      </w:r>
      <w:r w:rsidR="00DA2764">
        <w:t xml:space="preserve"> 12. november. </w:t>
      </w:r>
      <w:r w:rsidR="761353E0">
        <w:t xml:space="preserve">Akademikerne har </w:t>
      </w:r>
      <w:r w:rsidR="26B83968">
        <w:t xml:space="preserve">i </w:t>
      </w:r>
      <w:r w:rsidR="761353E0">
        <w:t>oppfølging</w:t>
      </w:r>
      <w:r w:rsidR="26B83968">
        <w:t>en</w:t>
      </w:r>
      <w:r w:rsidR="761353E0">
        <w:t xml:space="preserve"> av IA avtalen lagt vekt på </w:t>
      </w:r>
      <w:r w:rsidR="1FFDF8E4">
        <w:t xml:space="preserve">at forebyggende arbeidsmiljøarbeid er det sentrale bidraget fra partenes side all den tid om lag 40 </w:t>
      </w:r>
      <w:r w:rsidR="12F118BD">
        <w:t>p</w:t>
      </w:r>
      <w:r w:rsidR="71DC7C2F">
        <w:t>rosent</w:t>
      </w:r>
      <w:r w:rsidR="12F118BD">
        <w:t xml:space="preserve"> av sykefraværet er arbeidsrelatert. Organisasjonenes opplæring av tillitsvalgte i forebyggende arbeidsmiljøarbeid/IA er </w:t>
      </w:r>
      <w:r w:rsidR="71DC7C2F">
        <w:t xml:space="preserve">en sentral forpliktelse. </w:t>
      </w:r>
      <w:r w:rsidR="40625CC0">
        <w:t xml:space="preserve">Styret er regelmessig forelagt tilbakemeldinger på medlemsorganisasjonenes </w:t>
      </w:r>
      <w:r w:rsidR="3444ABCD">
        <w:t xml:space="preserve">aktivitet på området. Flertallet av organisasjonene tar opp IA/arbeidsmiljøarbeid i sin tillitsvalgtopplæring. </w:t>
      </w:r>
    </w:p>
    <w:p w14:paraId="24C5D8BD" w14:textId="59329660" w:rsidR="00D34019" w:rsidRPr="00D34019" w:rsidRDefault="00D34019" w:rsidP="003F0221">
      <w:pPr>
        <w:spacing w:before="240"/>
        <w:rPr>
          <w:b/>
          <w:bCs/>
        </w:rPr>
      </w:pPr>
      <w:r w:rsidRPr="00D34019">
        <w:rPr>
          <w:b/>
          <w:bCs/>
        </w:rPr>
        <w:t>Innleie</w:t>
      </w:r>
    </w:p>
    <w:p w14:paraId="2DDDF9F4" w14:textId="155EECAB" w:rsidR="0036115A" w:rsidRDefault="32FE82FF" w:rsidP="003F0221">
      <w:pPr>
        <w:spacing w:before="240"/>
      </w:pPr>
      <w:r>
        <w:t>I perioden er det gjennomført en rekke endringer i arbeids</w:t>
      </w:r>
      <w:r w:rsidR="11F93E7B">
        <w:t xml:space="preserve">miljølovens bestemmelser. </w:t>
      </w:r>
      <w:r w:rsidR="5759AF99">
        <w:t xml:space="preserve">Akademikerne har stilt seg bak endringer i arbeidstakerbegrepet, </w:t>
      </w:r>
      <w:r w:rsidR="2B7970FF">
        <w:t xml:space="preserve">skille mellom </w:t>
      </w:r>
      <w:proofErr w:type="gramStart"/>
      <w:r w:rsidR="2B7970FF">
        <w:t>innleie</w:t>
      </w:r>
      <w:proofErr w:type="gramEnd"/>
      <w:r w:rsidR="2B7970FF">
        <w:t xml:space="preserve"> og entreprise</w:t>
      </w:r>
      <w:r w:rsidR="55CBC166">
        <w:t xml:space="preserve"> og </w:t>
      </w:r>
      <w:r w:rsidR="1C1688F3">
        <w:t>utvidet arbeidsgiveransvar i konsern</w:t>
      </w:r>
      <w:r w:rsidR="00561614">
        <w:t>.</w:t>
      </w:r>
      <w:r w:rsidR="1C1688F3">
        <w:t xml:space="preserve"> </w:t>
      </w:r>
      <w:r w:rsidR="55CBC166">
        <w:t xml:space="preserve">Akademikerne </w:t>
      </w:r>
      <w:r w:rsidR="09CF781C">
        <w:t xml:space="preserve">var negativ til en generell innstramming i innleieadgangen ved </w:t>
      </w:r>
      <w:r w:rsidR="00143960">
        <w:t>midlertidig</w:t>
      </w:r>
      <w:r w:rsidR="09CF781C">
        <w:t xml:space="preserve"> arbeids</w:t>
      </w:r>
      <w:r w:rsidR="20C4184E">
        <w:t>k</w:t>
      </w:r>
      <w:r w:rsidR="09CF781C">
        <w:t xml:space="preserve">raftbehov da dette ble behandlet i </w:t>
      </w:r>
      <w:r w:rsidR="58A159F3">
        <w:t xml:space="preserve">Stortinget på slutten av 2022. Akademikerne la </w:t>
      </w:r>
      <w:r w:rsidR="70E2D685">
        <w:t xml:space="preserve">særlig </w:t>
      </w:r>
      <w:r w:rsidR="58A159F3">
        <w:t xml:space="preserve">vekt på uheldige følger for </w:t>
      </w:r>
      <w:r w:rsidR="70E2D685">
        <w:t>rådgiver- og konsulentnæringen. Vi lykkes delvis med å</w:t>
      </w:r>
      <w:r w:rsidR="02F19BEE">
        <w:t xml:space="preserve"> få gehør for disse utfordringene da </w:t>
      </w:r>
      <w:r w:rsidR="00524A66">
        <w:t>S</w:t>
      </w:r>
      <w:r w:rsidR="02F19BEE">
        <w:t xml:space="preserve">tortinget vedtok en egen </w:t>
      </w:r>
      <w:r w:rsidR="3EEF6086">
        <w:t>unntaksmulighet</w:t>
      </w:r>
      <w:r w:rsidR="000823C4">
        <w:t xml:space="preserve"> for spesialister</w:t>
      </w:r>
      <w:r w:rsidR="3EEF6086">
        <w:t xml:space="preserve"> </w:t>
      </w:r>
      <w:r w:rsidR="6801B57A">
        <w:t xml:space="preserve">gjennom forskrift. Etter at forskriften ble iverksatt </w:t>
      </w:r>
      <w:r w:rsidR="2252E060">
        <w:t xml:space="preserve">1. april 2023 </w:t>
      </w:r>
      <w:r w:rsidR="0BF25ADC">
        <w:t xml:space="preserve">har det oppstått en </w:t>
      </w:r>
      <w:r w:rsidR="0048740F">
        <w:t>diskusjon</w:t>
      </w:r>
      <w:r w:rsidR="0BF25ADC">
        <w:t xml:space="preserve"> om reguleringen for rådgivere-/konsulenter i enkeltpersonforetak</w:t>
      </w:r>
      <w:r w:rsidR="309C6886">
        <w:t xml:space="preserve"> og </w:t>
      </w:r>
      <w:r w:rsidR="0D8E1BF2">
        <w:t>såkalte «meg selv AS»</w:t>
      </w:r>
      <w:r w:rsidR="26B13FC1">
        <w:t xml:space="preserve"> siden disse ikke kan benyttes ved innleiebehov, kun </w:t>
      </w:r>
      <w:r w:rsidR="03645B25">
        <w:t>til oppdragsforhold</w:t>
      </w:r>
      <w:r w:rsidR="20C4184E">
        <w:t xml:space="preserve">. </w:t>
      </w:r>
      <w:r w:rsidR="006050C2">
        <w:t xml:space="preserve"> Akademikerne vil </w:t>
      </w:r>
      <w:r w:rsidR="000823C4">
        <w:t xml:space="preserve">i første omgang </w:t>
      </w:r>
      <w:r w:rsidR="006050C2">
        <w:t>jobbe videre med</w:t>
      </w:r>
      <w:r w:rsidR="00027F5D">
        <w:t xml:space="preserve"> </w:t>
      </w:r>
      <w:r w:rsidR="000823C4">
        <w:t>å utvide kunnskapsgrunnlaget rundt hvilke utfordringer denne gruppen opplever</w:t>
      </w:r>
      <w:r w:rsidR="006050C2">
        <w:t xml:space="preserve">. </w:t>
      </w:r>
    </w:p>
    <w:p w14:paraId="5BD9F445" w14:textId="22874968" w:rsidR="002D73E6" w:rsidRPr="00D31C44" w:rsidRDefault="002D73E6" w:rsidP="003F0221">
      <w:pPr>
        <w:spacing w:before="240"/>
        <w:rPr>
          <w:b/>
          <w:bCs/>
        </w:rPr>
      </w:pPr>
      <w:r w:rsidRPr="00D31C44">
        <w:rPr>
          <w:b/>
          <w:bCs/>
        </w:rPr>
        <w:t>Praksisarbeid</w:t>
      </w:r>
    </w:p>
    <w:p w14:paraId="07D3AB8A" w14:textId="5C78467C" w:rsidR="00A248E2" w:rsidRPr="00811215" w:rsidRDefault="401D7CE5" w:rsidP="003F0221">
      <w:pPr>
        <w:spacing w:before="240"/>
      </w:pPr>
      <w:r w:rsidRPr="00811215">
        <w:t xml:space="preserve">Akademikerne har gjennom hele perioden jobbet for </w:t>
      </w:r>
      <w:r w:rsidR="6347918E" w:rsidRPr="00811215">
        <w:t>å få til en innstramming i reglene om midlertidig ansettelse i praksisarbeid.</w:t>
      </w:r>
      <w:r w:rsidR="58A718A5" w:rsidRPr="00811215">
        <w:t xml:space="preserve"> Dagens rettstilstand åpner for at blant annet leger i spesialisering kan ansettes </w:t>
      </w:r>
      <w:r w:rsidR="00D31C44" w:rsidRPr="00811215">
        <w:t>midlertidig</w:t>
      </w:r>
      <w:r w:rsidR="58A718A5" w:rsidRPr="00811215">
        <w:t xml:space="preserve">. Stortingsflertallet </w:t>
      </w:r>
      <w:r w:rsidR="04F9A646" w:rsidRPr="00811215">
        <w:t xml:space="preserve">vedtok i 2022 </w:t>
      </w:r>
      <w:r w:rsidR="01F6DEF9" w:rsidRPr="00811215">
        <w:t>å be</w:t>
      </w:r>
      <w:r w:rsidR="3C821AAC" w:rsidRPr="00811215">
        <w:t xml:space="preserve"> regjeringen følge opp saken. Myndighetene har varslet at saken vil komme på høring høsten 2024.</w:t>
      </w:r>
    </w:p>
    <w:p w14:paraId="30BE94D7" w14:textId="32151F0B" w:rsidR="00BE7470" w:rsidRPr="006A7444" w:rsidRDefault="006A7444" w:rsidP="003F0221">
      <w:pPr>
        <w:spacing w:before="240"/>
        <w:rPr>
          <w:b/>
          <w:bCs/>
        </w:rPr>
      </w:pPr>
      <w:r w:rsidRPr="006A7444">
        <w:rPr>
          <w:b/>
          <w:bCs/>
        </w:rPr>
        <w:t>Pensjonsreformen</w:t>
      </w:r>
    </w:p>
    <w:p w14:paraId="3A15D08E" w14:textId="2A321701" w:rsidR="00BE7470" w:rsidRPr="007D765C" w:rsidRDefault="28A8E5B1" w:rsidP="003F0221">
      <w:pPr>
        <w:spacing w:before="240"/>
      </w:pPr>
      <w:r>
        <w:t xml:space="preserve">Akademikerne </w:t>
      </w:r>
      <w:r w:rsidR="4CADD124">
        <w:t>hadde tett dialog med myndigheter og p</w:t>
      </w:r>
      <w:r w:rsidR="270B8126">
        <w:t>a</w:t>
      </w:r>
      <w:r w:rsidR="4CADD124">
        <w:t xml:space="preserve">rtigruppene på stortinget i forbindelse </w:t>
      </w:r>
      <w:r w:rsidR="03A8841F">
        <w:t>m</w:t>
      </w:r>
      <w:r w:rsidR="4CADD124">
        <w:t xml:space="preserve">ed </w:t>
      </w:r>
      <w:r w:rsidR="4C270C6D">
        <w:t>ev</w:t>
      </w:r>
      <w:r w:rsidR="5BA586AA">
        <w:t>a</w:t>
      </w:r>
      <w:r w:rsidR="4C270C6D">
        <w:t>lueringen av pensjonsreformen</w:t>
      </w:r>
      <w:r w:rsidR="4E516F74">
        <w:t xml:space="preserve">. </w:t>
      </w:r>
      <w:r w:rsidR="1DA91957">
        <w:t>Det</w:t>
      </w:r>
      <w:r w:rsidR="496BB48A">
        <w:t xml:space="preserve"> ble gjennomført</w:t>
      </w:r>
      <w:r w:rsidR="78C01DFB">
        <w:t xml:space="preserve"> dialog/møter</w:t>
      </w:r>
      <w:r w:rsidR="1DA91957">
        <w:t xml:space="preserve"> med </w:t>
      </w:r>
      <w:r w:rsidR="48592650">
        <w:t xml:space="preserve">de fleste </w:t>
      </w:r>
      <w:r w:rsidR="1DA91957">
        <w:t>partigruppe</w:t>
      </w:r>
      <w:r w:rsidR="67F3BB0D">
        <w:t xml:space="preserve">ne på </w:t>
      </w:r>
      <w:r w:rsidR="4A1CF5A9">
        <w:t>S</w:t>
      </w:r>
      <w:r w:rsidR="066FA06C">
        <w:t>tortinget</w:t>
      </w:r>
      <w:r w:rsidR="1DA91957">
        <w:t xml:space="preserve">. </w:t>
      </w:r>
      <w:r w:rsidR="58B15B34">
        <w:t xml:space="preserve">Regjeringen la </w:t>
      </w:r>
      <w:r w:rsidR="012D6A43">
        <w:t>frem stortingsmelding</w:t>
      </w:r>
      <w:r w:rsidR="58B15B34">
        <w:t xml:space="preserve"> om oppfølging av pensjonsreformen i desember 2023. </w:t>
      </w:r>
      <w:r w:rsidR="1DA91957">
        <w:t xml:space="preserve">Akademikerne støttet i hovedsak </w:t>
      </w:r>
      <w:r w:rsidR="58B15B34">
        <w:t>konklusjonene</w:t>
      </w:r>
      <w:r w:rsidR="794ADD5B">
        <w:t xml:space="preserve"> i et bred</w:t>
      </w:r>
      <w:r w:rsidR="166C0974">
        <w:t>t</w:t>
      </w:r>
      <w:r w:rsidR="794ADD5B">
        <w:t xml:space="preserve"> </w:t>
      </w:r>
      <w:r w:rsidR="166C0974">
        <w:t>stortings</w:t>
      </w:r>
      <w:r w:rsidR="794ADD5B">
        <w:t xml:space="preserve">forliket om folketrygdens alderspensjon det nærmeste tiår. </w:t>
      </w:r>
      <w:r w:rsidR="339AC78A">
        <w:t xml:space="preserve">For Akademikerne har </w:t>
      </w:r>
      <w:r w:rsidR="3ACDD029">
        <w:t xml:space="preserve">vektlegging av arbeidslinjen og </w:t>
      </w:r>
      <w:r w:rsidR="278D4CF1">
        <w:t>sammenheng i aldersgrenser for ulike ytelser/</w:t>
      </w:r>
      <w:r w:rsidR="0E45C13B">
        <w:t>stillingsvern</w:t>
      </w:r>
      <w:r w:rsidR="278D4CF1">
        <w:t xml:space="preserve"> vært viktig. </w:t>
      </w:r>
      <w:r w:rsidR="14FDAF13">
        <w:t xml:space="preserve">Stortinget har vedtatt at også </w:t>
      </w:r>
      <w:r w:rsidR="0E45C13B">
        <w:t>aldersgrensen</w:t>
      </w:r>
      <w:r w:rsidR="14FDAF13">
        <w:t xml:space="preserve"> for stillingsvernet i staten skal heves, dette har lenge vært en viktig målsetting for Akademikerne</w:t>
      </w:r>
      <w:r w:rsidR="62F9204F">
        <w:t xml:space="preserve">.  </w:t>
      </w:r>
    </w:p>
    <w:p w14:paraId="6788C65D" w14:textId="6D60845D" w:rsidR="00552415" w:rsidRDefault="00DC306E" w:rsidP="00552415">
      <w:pPr>
        <w:spacing w:before="240"/>
      </w:pPr>
      <w:r>
        <w:lastRenderedPageBreak/>
        <w:t>Akademikerne jobber for bedre rammebetingelser for næringsdrivende</w:t>
      </w:r>
      <w:r w:rsidR="00D1651A">
        <w:t>.</w:t>
      </w:r>
      <w:r>
        <w:t xml:space="preserve"> </w:t>
      </w:r>
      <w:r w:rsidR="00B971D7">
        <w:t>Enkeltpersonforetak</w:t>
      </w:r>
      <w:r w:rsidR="003F0221" w:rsidRPr="00181538">
        <w:t xml:space="preserve"> har i dag dårligere pensjonsspar</w:t>
      </w:r>
      <w:r w:rsidR="000C13D0">
        <w:t>emuligheter</w:t>
      </w:r>
      <w:r w:rsidR="00920FA7">
        <w:t xml:space="preserve"> </w:t>
      </w:r>
      <w:r w:rsidR="00C90E06">
        <w:t>på inntekt over 7,1 G</w:t>
      </w:r>
      <w:r w:rsidR="003F0221" w:rsidRPr="00181538">
        <w:t xml:space="preserve"> og </w:t>
      </w:r>
      <w:r w:rsidR="001C545F">
        <w:t xml:space="preserve">lavere </w:t>
      </w:r>
      <w:r w:rsidR="003F0221" w:rsidRPr="00181538">
        <w:t>sykepengedekning enn ansatte arbeidstakere.</w:t>
      </w:r>
      <w:r w:rsidR="00180D72">
        <w:t xml:space="preserve"> </w:t>
      </w:r>
      <w:r w:rsidR="00E33FD2">
        <w:t xml:space="preserve">Akademikerne </w:t>
      </w:r>
      <w:r w:rsidR="00CF3268">
        <w:t xml:space="preserve">har i perioden </w:t>
      </w:r>
      <w:r w:rsidR="008B66CF">
        <w:t xml:space="preserve">jobbet </w:t>
      </w:r>
      <w:r w:rsidR="00004329">
        <w:t xml:space="preserve">opp mot </w:t>
      </w:r>
      <w:r w:rsidR="00EA62F9">
        <w:t xml:space="preserve">storting og regjering </w:t>
      </w:r>
      <w:r w:rsidR="00327667">
        <w:t xml:space="preserve">for å styrke de </w:t>
      </w:r>
      <w:r w:rsidR="003F68F1">
        <w:t>næringsdrivende rettigheter på disse områdene</w:t>
      </w:r>
      <w:r w:rsidR="00552415">
        <w:t xml:space="preserve">. </w:t>
      </w:r>
    </w:p>
    <w:p w14:paraId="3DE0DBB4" w14:textId="50119CA9" w:rsidR="00200180" w:rsidRPr="00FE5E33" w:rsidRDefault="00FE5E33" w:rsidP="000B6075">
      <w:pPr>
        <w:rPr>
          <w:b/>
          <w:bCs/>
        </w:rPr>
      </w:pPr>
      <w:r w:rsidRPr="00FE5E33">
        <w:rPr>
          <w:b/>
          <w:bCs/>
        </w:rPr>
        <w:t>Hjemmekontor</w:t>
      </w:r>
    </w:p>
    <w:p w14:paraId="30294540" w14:textId="77777777" w:rsidR="001F5CFC" w:rsidRDefault="364DEEFE" w:rsidP="36C74D5F">
      <w:r>
        <w:t xml:space="preserve">Akademikerne </w:t>
      </w:r>
      <w:r w:rsidR="3C434C7D">
        <w:t>har videreført arbeidet for å sikre arbeidstakere gode rammer for bruk av hjemmekontor. Særlig har vi jobbet for at</w:t>
      </w:r>
      <w:r>
        <w:t xml:space="preserve"> reglene for yrkesskadedekning må oppdateres og tilpasses dagens fleksible, digitale arbeidsliv.</w:t>
      </w:r>
      <w:r w:rsidR="61D063C8">
        <w:t xml:space="preserve"> Arbeidet har både vært av politisk og </w:t>
      </w:r>
      <w:r w:rsidR="012ABA13">
        <w:t>juridisk</w:t>
      </w:r>
      <w:r w:rsidR="61D063C8">
        <w:t xml:space="preserve"> art, herunder har Akademikerne trådt</w:t>
      </w:r>
      <w:r w:rsidR="0C9F49C9">
        <w:t>e</w:t>
      </w:r>
      <w:r w:rsidR="61D063C8">
        <w:t xml:space="preserve"> inn som partshjelper i sak for Høyesterett om</w:t>
      </w:r>
      <w:r w:rsidR="15AA4A59">
        <w:t xml:space="preserve"> yrkesskadedekning ved skade i lunsjen under hjemmearbeid</w:t>
      </w:r>
      <w:r w:rsidR="12F9C841">
        <w:t>.</w:t>
      </w:r>
    </w:p>
    <w:p w14:paraId="3E226EF2" w14:textId="192468F4" w:rsidR="00C27EE4" w:rsidRDefault="001F5CFC" w:rsidP="36C74D5F">
      <w:pPr>
        <w:rPr>
          <w:highlight w:val="yellow"/>
        </w:rPr>
      </w:pPr>
      <w:r>
        <w:t>I</w:t>
      </w:r>
      <w:r w:rsidR="009211BD">
        <w:t xml:space="preserve"> september 2024 avsa Høyesterett dom </w:t>
      </w:r>
      <w:r w:rsidR="00F73264">
        <w:t xml:space="preserve">i saken. Som for tidligere instanser ble også denne dommen avsagt under </w:t>
      </w:r>
      <w:r w:rsidR="009211BD">
        <w:t>dissens</w:t>
      </w:r>
      <w:r w:rsidR="001E57E8">
        <w:t xml:space="preserve"> (</w:t>
      </w:r>
      <w:r w:rsidR="004C75DB">
        <w:t>i</w:t>
      </w:r>
      <w:r w:rsidR="001E57E8">
        <w:t xml:space="preserve"> Høyesterett med sterk dissens 3-2)</w:t>
      </w:r>
      <w:r w:rsidR="009211BD">
        <w:t>. Flertallet</w:t>
      </w:r>
      <w:r w:rsidR="008B3A90">
        <w:t xml:space="preserve"> </w:t>
      </w:r>
      <w:r w:rsidR="00B36A1A">
        <w:t>kom til at den ansatte ikke hadde rett til yrkesskadedekning fra folketrygden</w:t>
      </w:r>
      <w:r w:rsidR="005229C1">
        <w:t xml:space="preserve">, i motsetning til hva tilfellet ville vært om skaden hadde skjedd i </w:t>
      </w:r>
      <w:r w:rsidR="006A501A">
        <w:t>kontorlokalet til arbeidsgiveren</w:t>
      </w:r>
      <w:r w:rsidR="000B4EEE">
        <w:t xml:space="preserve">. </w:t>
      </w:r>
      <w:r w:rsidR="004367A6">
        <w:t>For f</w:t>
      </w:r>
      <w:r w:rsidR="001123FC">
        <w:t xml:space="preserve">lertallet var det avgjørende at skaden </w:t>
      </w:r>
      <w:r w:rsidR="004367A6">
        <w:t>skjedde i lunsjpausen</w:t>
      </w:r>
      <w:r w:rsidR="00C549F9">
        <w:t xml:space="preserve"> </w:t>
      </w:r>
      <w:r w:rsidR="00740B9B">
        <w:t xml:space="preserve">hjemmefra </w:t>
      </w:r>
      <w:r w:rsidR="00C549F9">
        <w:t>hvor man ikke var</w:t>
      </w:r>
      <w:r w:rsidR="004367A6">
        <w:t xml:space="preserve"> «i arbeid»</w:t>
      </w:r>
      <w:r w:rsidR="00740B9B">
        <w:t xml:space="preserve">. Det ble </w:t>
      </w:r>
      <w:r w:rsidR="004C75DB">
        <w:t xml:space="preserve">blant annet vist til </w:t>
      </w:r>
      <w:r w:rsidR="00053F03">
        <w:t>over seksti år gamle lovforarbeider</w:t>
      </w:r>
      <w:r w:rsidR="004367A6">
        <w:t xml:space="preserve">. </w:t>
      </w:r>
      <w:r w:rsidR="00053F03">
        <w:t xml:space="preserve">Dommen viser at yrkesskadereglene er utdaterte og hvor viktig det nå er at lovgiver </w:t>
      </w:r>
      <w:r>
        <w:t xml:space="preserve">snarest </w:t>
      </w:r>
      <w:r w:rsidR="00053F03">
        <w:t>oppdaterer regelverket i tråd med samfunnsutviklingen.</w:t>
      </w:r>
    </w:p>
    <w:p w14:paraId="3D50D0B4" w14:textId="0E05D7FA" w:rsidR="009B7D09" w:rsidRPr="00D25C9F" w:rsidRDefault="2F633802" w:rsidP="000B6075">
      <w:r>
        <w:t>F</w:t>
      </w:r>
      <w:r w:rsidR="550EA719">
        <w:t xml:space="preserve">or å få </w:t>
      </w:r>
      <w:r w:rsidR="4A885C78">
        <w:t>bedre</w:t>
      </w:r>
      <w:r w:rsidR="550EA719">
        <w:t xml:space="preserve"> kunnska</w:t>
      </w:r>
      <w:r w:rsidR="1BCF0E94">
        <w:t>p</w:t>
      </w:r>
      <w:r w:rsidR="550EA719">
        <w:t xml:space="preserve">sgrunnlag </w:t>
      </w:r>
      <w:r w:rsidR="16DE804A">
        <w:t xml:space="preserve">om bruk av hjemmekontor og </w:t>
      </w:r>
      <w:r>
        <w:t xml:space="preserve">utfordringer knyttet til </w:t>
      </w:r>
      <w:r w:rsidR="16DE804A">
        <w:t xml:space="preserve">det juridiske rammeverket ved </w:t>
      </w:r>
      <w:r w:rsidR="15088398">
        <w:t xml:space="preserve">slik arbeidsform, har </w:t>
      </w:r>
      <w:r w:rsidR="02829E3C">
        <w:t>Akademikerne</w:t>
      </w:r>
      <w:r w:rsidR="4885F162">
        <w:t xml:space="preserve"> </w:t>
      </w:r>
      <w:r w:rsidR="607813DC">
        <w:t xml:space="preserve">hatt temaet oppe i en </w:t>
      </w:r>
      <w:r w:rsidR="1BCF0E94">
        <w:t xml:space="preserve">rekke </w:t>
      </w:r>
      <w:r w:rsidR="002E03A4">
        <w:t>a</w:t>
      </w:r>
      <w:r w:rsidR="1B1887B3">
        <w:t xml:space="preserve">kademikerpanel og </w:t>
      </w:r>
      <w:r w:rsidR="607813DC">
        <w:t>også innhentet flere</w:t>
      </w:r>
      <w:r w:rsidR="0BD7959D">
        <w:t xml:space="preserve"> </w:t>
      </w:r>
      <w:r w:rsidR="64207A34">
        <w:t>ekstern</w:t>
      </w:r>
      <w:r w:rsidR="224C326F">
        <w:t>e</w:t>
      </w:r>
      <w:r w:rsidR="64207A34">
        <w:t xml:space="preserve"> juridisk</w:t>
      </w:r>
      <w:r w:rsidR="224C326F">
        <w:t>e</w:t>
      </w:r>
      <w:r w:rsidR="1BCF0E94">
        <w:t xml:space="preserve"> </w:t>
      </w:r>
      <w:r w:rsidR="224C326F">
        <w:t xml:space="preserve">utredninger </w:t>
      </w:r>
      <w:r w:rsidR="64207A34">
        <w:t>(</w:t>
      </w:r>
      <w:r w:rsidR="734F3CB4">
        <w:t>se nærmere</w:t>
      </w:r>
      <w:r w:rsidR="64207A34">
        <w:t xml:space="preserve"> </w:t>
      </w:r>
      <w:proofErr w:type="spellStart"/>
      <w:r w:rsidR="64207A34">
        <w:t>pkt</w:t>
      </w:r>
      <w:proofErr w:type="spellEnd"/>
      <w:r w:rsidR="64207A34">
        <w:t xml:space="preserve"> </w:t>
      </w:r>
      <w:r w:rsidR="1A3D95AA">
        <w:t>1.5</w:t>
      </w:r>
      <w:r w:rsidR="64207A34">
        <w:t>)</w:t>
      </w:r>
      <w:r w:rsidR="224C326F">
        <w:t xml:space="preserve">. I tillegg </w:t>
      </w:r>
      <w:r w:rsidR="607813DC">
        <w:t xml:space="preserve">følger Akademikerne temaet </w:t>
      </w:r>
      <w:r w:rsidR="1CED5C7A">
        <w:t xml:space="preserve">tett når dette </w:t>
      </w:r>
      <w:r w:rsidR="7569B305">
        <w:t xml:space="preserve">omtales og behandles </w:t>
      </w:r>
      <w:r w:rsidR="567200B7">
        <w:t>i andre sammenhenger.</w:t>
      </w:r>
    </w:p>
    <w:p w14:paraId="5811ABD2" w14:textId="4C3C3DFA" w:rsidR="004929B2" w:rsidRDefault="004604D1" w:rsidP="00C27EE4">
      <w:pPr>
        <w:pStyle w:val="Overskrift2"/>
      </w:pPr>
      <w:bookmarkStart w:id="12" w:name="_Toc176264502"/>
      <w:r>
        <w:t xml:space="preserve">1.4 3 </w:t>
      </w:r>
      <w:r w:rsidR="004929B2">
        <w:t>Kunnskap og kompetanse for økt verdiskaping</w:t>
      </w:r>
      <w:bookmarkEnd w:id="12"/>
    </w:p>
    <w:p w14:paraId="283F252C" w14:textId="2C9871E0" w:rsidR="00947E8D" w:rsidRDefault="005C4566" w:rsidP="005C4566">
      <w:r>
        <w:t xml:space="preserve">Akademikerne </w:t>
      </w:r>
      <w:r w:rsidR="00E64B07">
        <w:t>har i perioden særlig pri</w:t>
      </w:r>
      <w:r w:rsidR="00FA2CDF">
        <w:t>oritert arbeidet for gode rammevilkår for forsk</w:t>
      </w:r>
      <w:r w:rsidR="45008DE4">
        <w:t>n</w:t>
      </w:r>
      <w:r w:rsidR="00FA2CDF">
        <w:t xml:space="preserve">ing </w:t>
      </w:r>
      <w:r w:rsidR="639F951E">
        <w:t>og utvikling (F</w:t>
      </w:r>
      <w:r w:rsidR="00605C07">
        <w:t>o</w:t>
      </w:r>
      <w:r w:rsidR="639F951E">
        <w:t xml:space="preserve">U) </w:t>
      </w:r>
      <w:r w:rsidR="00FA2CDF">
        <w:t>i næringslivet</w:t>
      </w:r>
      <w:r w:rsidR="0023553E">
        <w:t xml:space="preserve">. </w:t>
      </w:r>
      <w:r>
        <w:t>F</w:t>
      </w:r>
      <w:r w:rsidR="00605C07">
        <w:t>o</w:t>
      </w:r>
      <w:r w:rsidR="2DD5527C">
        <w:t xml:space="preserve">U </w:t>
      </w:r>
      <w:r>
        <w:t xml:space="preserve">i næringslivet bidrar til økt verdiskaping og utvikling av nye produkter, tjenester og prosesser. Samarbeid mellom næringsliv og akademia fører til overføring av kunnskap og kompetanse mellom sektorer, og akselererer innovasjon og teknologisk utvikling. </w:t>
      </w:r>
    </w:p>
    <w:p w14:paraId="7F94145D" w14:textId="6EC4243A" w:rsidR="00BA2081" w:rsidRPr="00BA2081" w:rsidRDefault="00BA2081" w:rsidP="005C4566">
      <w:pPr>
        <w:rPr>
          <w:b/>
          <w:bCs/>
        </w:rPr>
      </w:pPr>
      <w:r w:rsidRPr="2147F47E">
        <w:rPr>
          <w:b/>
          <w:bCs/>
        </w:rPr>
        <w:t>Satsing på økt forsk</w:t>
      </w:r>
      <w:r w:rsidR="1DA26C20" w:rsidRPr="2147F47E">
        <w:rPr>
          <w:b/>
          <w:bCs/>
        </w:rPr>
        <w:t>n</w:t>
      </w:r>
      <w:r w:rsidRPr="2147F47E">
        <w:rPr>
          <w:b/>
          <w:bCs/>
        </w:rPr>
        <w:t>ing i næringslivet</w:t>
      </w:r>
    </w:p>
    <w:p w14:paraId="41F7D6D5" w14:textId="0E0C0D90" w:rsidR="67E8A214" w:rsidRDefault="67E8A214">
      <w:r>
        <w:t xml:space="preserve">Regjeringen la i april 2024 frem </w:t>
      </w:r>
      <w:r w:rsidR="37A3D4CA">
        <w:t>«</w:t>
      </w:r>
      <w:r w:rsidR="06BC27F1">
        <w:t>Strategi for å øke næringslivets investeringer i forskning og utvikling</w:t>
      </w:r>
      <w:r w:rsidR="37A3D4CA">
        <w:t>»</w:t>
      </w:r>
      <w:r>
        <w:t xml:space="preserve">. Akademikerne </w:t>
      </w:r>
      <w:r w:rsidR="237B65B0">
        <w:t>har vært en pådriver i dette arbeidet</w:t>
      </w:r>
      <w:r w:rsidR="06B08A7A">
        <w:t>,</w:t>
      </w:r>
      <w:r w:rsidR="237B65B0">
        <w:t xml:space="preserve"> både </w:t>
      </w:r>
      <w:r>
        <w:t>gjennom deltakelse i referansegruppe</w:t>
      </w:r>
      <w:r w:rsidR="29712C18">
        <w:t>n</w:t>
      </w:r>
      <w:r w:rsidR="237B65B0">
        <w:t xml:space="preserve"> og </w:t>
      </w:r>
      <w:r w:rsidR="15F0CD47">
        <w:t xml:space="preserve">i </w:t>
      </w:r>
      <w:r w:rsidR="237B65B0">
        <w:t xml:space="preserve">direkte </w:t>
      </w:r>
      <w:r w:rsidR="2D341D21">
        <w:t>dialog med</w:t>
      </w:r>
      <w:r w:rsidR="237B65B0">
        <w:t xml:space="preserve"> </w:t>
      </w:r>
      <w:r w:rsidR="323E3D51">
        <w:t>næringsministeren.</w:t>
      </w:r>
      <w:r w:rsidR="32E3869D" w:rsidRPr="36C74D5F">
        <w:rPr>
          <w:rFonts w:ascii="Times New Roman" w:eastAsia="Times New Roman" w:hAnsi="Times New Roman" w:cs="Times New Roman"/>
        </w:rPr>
        <w:t xml:space="preserve"> </w:t>
      </w:r>
      <w:r w:rsidR="0720E9E8" w:rsidRPr="36C74D5F">
        <w:rPr>
          <w:rFonts w:ascii="Times New Roman" w:eastAsia="Times New Roman" w:hAnsi="Times New Roman" w:cs="Times New Roman"/>
        </w:rPr>
        <w:t>N</w:t>
      </w:r>
      <w:r w:rsidR="32E3869D" w:rsidRPr="36C74D5F">
        <w:rPr>
          <w:rFonts w:ascii="Times New Roman" w:eastAsia="Times New Roman" w:hAnsi="Times New Roman" w:cs="Times New Roman"/>
        </w:rPr>
        <w:t>æringslivets behov for kompetanse</w:t>
      </w:r>
      <w:r w:rsidR="135923B1" w:rsidRPr="36C74D5F">
        <w:rPr>
          <w:rFonts w:ascii="Times New Roman" w:eastAsia="Times New Roman" w:hAnsi="Times New Roman" w:cs="Times New Roman"/>
        </w:rPr>
        <w:t xml:space="preserve"> og da spesielt</w:t>
      </w:r>
      <w:r w:rsidR="32E3869D" w:rsidRPr="36C74D5F">
        <w:rPr>
          <w:rFonts w:ascii="Times New Roman" w:eastAsia="Times New Roman" w:hAnsi="Times New Roman" w:cs="Times New Roman"/>
        </w:rPr>
        <w:t xml:space="preserve"> forskningskompetanse</w:t>
      </w:r>
      <w:r w:rsidR="65D6E6E7" w:rsidRPr="36C74D5F">
        <w:rPr>
          <w:rFonts w:ascii="Times New Roman" w:eastAsia="Times New Roman" w:hAnsi="Times New Roman" w:cs="Times New Roman"/>
        </w:rPr>
        <w:t xml:space="preserve"> og </w:t>
      </w:r>
      <w:r w:rsidR="2E42BE32" w:rsidRPr="36C74D5F">
        <w:rPr>
          <w:rFonts w:ascii="Times New Roman" w:eastAsia="Times New Roman" w:hAnsi="Times New Roman" w:cs="Times New Roman"/>
        </w:rPr>
        <w:t>bruken av offentlige anskaffelser som virkemiddel for å fremme F</w:t>
      </w:r>
      <w:r w:rsidR="144E3D8B" w:rsidRPr="36C74D5F">
        <w:rPr>
          <w:rFonts w:ascii="Times New Roman" w:eastAsia="Times New Roman" w:hAnsi="Times New Roman" w:cs="Times New Roman"/>
        </w:rPr>
        <w:t>o</w:t>
      </w:r>
      <w:r w:rsidR="2E42BE32" w:rsidRPr="36C74D5F">
        <w:rPr>
          <w:rFonts w:ascii="Times New Roman" w:eastAsia="Times New Roman" w:hAnsi="Times New Roman" w:cs="Times New Roman"/>
        </w:rPr>
        <w:t>U</w:t>
      </w:r>
      <w:r w:rsidR="3ADFE1E4" w:rsidRPr="36C74D5F">
        <w:rPr>
          <w:rFonts w:ascii="Times New Roman" w:eastAsia="Times New Roman" w:hAnsi="Times New Roman" w:cs="Times New Roman"/>
        </w:rPr>
        <w:t xml:space="preserve"> er </w:t>
      </w:r>
      <w:r>
        <w:t xml:space="preserve">løftet frem som </w:t>
      </w:r>
      <w:r w:rsidR="1C139E5E">
        <w:t>egne</w:t>
      </w:r>
      <w:r>
        <w:t xml:space="preserve"> innsatsområde</w:t>
      </w:r>
      <w:r w:rsidR="3733AE33">
        <w:t>r</w:t>
      </w:r>
      <w:r w:rsidR="496BB48A">
        <w:t xml:space="preserve"> blant annet etter innspill fra Akademikerne</w:t>
      </w:r>
      <w:r w:rsidR="31157DEB">
        <w:t xml:space="preserve">. </w:t>
      </w:r>
      <w:r w:rsidR="4E61FEC4">
        <w:t>Akademikerne</w:t>
      </w:r>
      <w:r w:rsidR="7DF71631">
        <w:t xml:space="preserve"> vil fortsette å legge press på regjeringen for at </w:t>
      </w:r>
      <w:r w:rsidR="596CF546">
        <w:t xml:space="preserve">strategien </w:t>
      </w:r>
      <w:r w:rsidR="7DF71631">
        <w:t>skal følges opp med midler og konkrete tiltak</w:t>
      </w:r>
      <w:r w:rsidR="593B9E94">
        <w:t>.</w:t>
      </w:r>
    </w:p>
    <w:p w14:paraId="08EFBE76" w14:textId="610541E6" w:rsidR="00BA2081" w:rsidRPr="00BA2081" w:rsidRDefault="00BA2081" w:rsidP="005C4566">
      <w:pPr>
        <w:rPr>
          <w:b/>
          <w:bCs/>
        </w:rPr>
      </w:pPr>
      <w:r>
        <w:rPr>
          <w:b/>
          <w:bCs/>
        </w:rPr>
        <w:lastRenderedPageBreak/>
        <w:t xml:space="preserve">Ekstra </w:t>
      </w:r>
      <w:r w:rsidR="002B2DF8">
        <w:rPr>
          <w:b/>
          <w:bCs/>
        </w:rPr>
        <w:t>arbeidsgiveravgift</w:t>
      </w:r>
    </w:p>
    <w:p w14:paraId="23BE2A99" w14:textId="15D4F6F8" w:rsidR="00A576EF" w:rsidRPr="00861A89" w:rsidRDefault="4CD190E2" w:rsidP="005C4566">
      <w:r>
        <w:t>Akademikerne har priorit</w:t>
      </w:r>
      <w:r w:rsidR="42B6AD13">
        <w:t xml:space="preserve">ert høyt arbeidet mot den </w:t>
      </w:r>
      <w:r>
        <w:t>ekstra a</w:t>
      </w:r>
      <w:r w:rsidR="5D9EB41D">
        <w:t>rbeidsgiveravgift</w:t>
      </w:r>
      <w:r w:rsidR="496BB48A">
        <w:t>en for årslønn over 750</w:t>
      </w:r>
      <w:r w:rsidR="3BB4C2FF">
        <w:t> </w:t>
      </w:r>
      <w:r w:rsidR="496BB48A">
        <w:t>000</w:t>
      </w:r>
      <w:r w:rsidR="3BB4C2FF">
        <w:t xml:space="preserve"> </w:t>
      </w:r>
      <w:r w:rsidR="496BB48A">
        <w:t>kr</w:t>
      </w:r>
      <w:r w:rsidR="56CB7EA4">
        <w:t>,</w:t>
      </w:r>
      <w:r>
        <w:t xml:space="preserve"> som regjeringen innførte i statsbudsjettet for 2023. </w:t>
      </w:r>
      <w:r w:rsidR="1FC86467">
        <w:t>Saken har vært tatt opp i alle relevante politiske sammenhenger og Akademikerne har vært synlige i media på saken.</w:t>
      </w:r>
      <w:r w:rsidR="635F426C">
        <w:t xml:space="preserve"> Samarbeid med opposisjonen og andre arbeidslivsaktører som NHO og Abelia, samt samarbeidet med medlemsforeningene har vært viktig for å få gjennomslag. Regjeringen </w:t>
      </w:r>
      <w:r w:rsidR="596CF546">
        <w:t xml:space="preserve">har snudd og </w:t>
      </w:r>
      <w:r w:rsidR="2A78E622">
        <w:t>fjerner avgiften</w:t>
      </w:r>
      <w:r w:rsidR="5EADA221">
        <w:t xml:space="preserve"> fra </w:t>
      </w:r>
      <w:r w:rsidR="1C4D3DEA">
        <w:t xml:space="preserve">og </w:t>
      </w:r>
      <w:r w:rsidR="5EADA221">
        <w:t>med 2025</w:t>
      </w:r>
      <w:r w:rsidR="2A78E622">
        <w:t>.</w:t>
      </w:r>
    </w:p>
    <w:p w14:paraId="0C39B516" w14:textId="1B025162" w:rsidR="00BA2081" w:rsidRPr="002B2DF8" w:rsidRDefault="002B2DF8" w:rsidP="005C4566">
      <w:pPr>
        <w:rPr>
          <w:b/>
          <w:bCs/>
        </w:rPr>
      </w:pPr>
      <w:r w:rsidRPr="002B2DF8">
        <w:rPr>
          <w:b/>
          <w:bCs/>
        </w:rPr>
        <w:t>Virkemiddelapparatet 2.0</w:t>
      </w:r>
    </w:p>
    <w:p w14:paraId="3A30AB81" w14:textId="2D92C1E0" w:rsidR="006E362F" w:rsidRDefault="491C6316" w:rsidP="005C4566">
      <w:r>
        <w:t xml:space="preserve">Akademikerne har også </w:t>
      </w:r>
      <w:r w:rsidR="2B5C7445">
        <w:t>vært aktiv som medlem av</w:t>
      </w:r>
      <w:r>
        <w:t xml:space="preserve"> </w:t>
      </w:r>
      <w:proofErr w:type="spellStart"/>
      <w:r>
        <w:t>NFDs</w:t>
      </w:r>
      <w:proofErr w:type="spellEnd"/>
      <w:r>
        <w:t xml:space="preserve"> referansegruppe i utviklingen av det næringsrettede virkemiddelapparatet, kalt VMA 2.0. For Akademikerne har det vært viktig å sikre et mer helhetlig og brukervennlig virkemiddelapparat</w:t>
      </w:r>
      <w:r w:rsidR="22C1FF85">
        <w:t xml:space="preserve"> </w:t>
      </w:r>
      <w:r w:rsidR="690C68FD">
        <w:t>som er tilgjengelige for flere aktører i næringslivet.</w:t>
      </w:r>
    </w:p>
    <w:p w14:paraId="7CFF8F2A" w14:textId="410B672C" w:rsidR="00EB2682" w:rsidRDefault="25A461C9" w:rsidP="0550FDBF">
      <w:r>
        <w:t xml:space="preserve">Akademikerne </w:t>
      </w:r>
      <w:r w:rsidR="19D503FE">
        <w:t xml:space="preserve">har </w:t>
      </w:r>
      <w:r w:rsidR="3D5F917E">
        <w:t>vært en pådriver for økte</w:t>
      </w:r>
      <w:r>
        <w:t xml:space="preserve"> offentlige FoU-investeringe</w:t>
      </w:r>
      <w:r w:rsidR="663E47D3">
        <w:t>r</w:t>
      </w:r>
      <w:r w:rsidR="7FEBA828">
        <w:t xml:space="preserve">, </w:t>
      </w:r>
      <w:r w:rsidR="6A8E840C">
        <w:t>og</w:t>
      </w:r>
      <w:r w:rsidR="5EA9DE20">
        <w:t xml:space="preserve"> </w:t>
      </w:r>
      <w:r w:rsidR="7FEBA828">
        <w:t>særlig</w:t>
      </w:r>
      <w:r>
        <w:t xml:space="preserve"> gjennom næringsrettede ordninger</w:t>
      </w:r>
      <w:r w:rsidR="0B6F1E04">
        <w:t xml:space="preserve"> som </w:t>
      </w:r>
      <w:r w:rsidR="1481EAC2">
        <w:t>Innovasjonsprosjekter i næringslivet (</w:t>
      </w:r>
      <w:r w:rsidR="0B6F1E04">
        <w:t>IPN</w:t>
      </w:r>
      <w:r w:rsidR="24ABEC21">
        <w:t>)</w:t>
      </w:r>
      <w:r w:rsidR="0B6F1E04">
        <w:t xml:space="preserve"> og </w:t>
      </w:r>
      <w:r w:rsidR="6EEE1255">
        <w:t xml:space="preserve">ordningen for grønn omstilling, </w:t>
      </w:r>
      <w:r w:rsidR="24BB8C91">
        <w:t>G</w:t>
      </w:r>
      <w:r w:rsidR="0B6F1E04">
        <w:t>rønn plattform</w:t>
      </w:r>
      <w:r w:rsidR="00257015">
        <w:t xml:space="preserve">. </w:t>
      </w:r>
      <w:r w:rsidR="51E670CC">
        <w:t xml:space="preserve">Akademikerne har fått </w:t>
      </w:r>
      <w:r w:rsidR="739C714C">
        <w:t xml:space="preserve">gjennomslag for at ordningen </w:t>
      </w:r>
      <w:r w:rsidR="6A7428D2">
        <w:t>som var et motkon</w:t>
      </w:r>
      <w:r w:rsidR="764D070A">
        <w:t>junkturtiltak under koronaen, v</w:t>
      </w:r>
      <w:r w:rsidR="739C714C">
        <w:t>idereføres</w:t>
      </w:r>
      <w:r w:rsidR="59497D98">
        <w:t>.</w:t>
      </w:r>
    </w:p>
    <w:p w14:paraId="7E6E7B45" w14:textId="589702B8" w:rsidR="00A576EF" w:rsidRPr="008A00B9" w:rsidRDefault="00A576EF" w:rsidP="005C4566">
      <w:pPr>
        <w:rPr>
          <w:b/>
          <w:bCs/>
          <w:color w:val="FF0000"/>
        </w:rPr>
      </w:pPr>
      <w:r w:rsidRPr="005F4591">
        <w:rPr>
          <w:b/>
          <w:bCs/>
        </w:rPr>
        <w:t>Opsjonsbeskat</w:t>
      </w:r>
      <w:r w:rsidR="00D1651A" w:rsidRPr="005F4591">
        <w:rPr>
          <w:b/>
          <w:bCs/>
        </w:rPr>
        <w:t>ning</w:t>
      </w:r>
    </w:p>
    <w:p w14:paraId="32C65A7A" w14:textId="07619AF2" w:rsidR="00083F05" w:rsidRPr="00083F05" w:rsidRDefault="00083F05" w:rsidP="005C4566">
      <w:r w:rsidRPr="00083F05">
        <w:t xml:space="preserve">Akademikerne har </w:t>
      </w:r>
      <w:r w:rsidR="00E46842">
        <w:t>jobbet aktivt</w:t>
      </w:r>
      <w:r w:rsidRPr="00083F05">
        <w:t xml:space="preserve"> for å forbedre opsjonsskatten slik at det blir enklere for oppstarts</w:t>
      </w:r>
      <w:r w:rsidR="00EF04AA">
        <w:t>- og vekst</w:t>
      </w:r>
      <w:r w:rsidRPr="00083F05">
        <w:t xml:space="preserve">virksomheter å tiltrekke seg folk. </w:t>
      </w:r>
      <w:r w:rsidR="00B11EFC" w:rsidRPr="00B11EFC">
        <w:t xml:space="preserve">Stortinget </w:t>
      </w:r>
      <w:r w:rsidR="0046386E">
        <w:t xml:space="preserve">vedtok </w:t>
      </w:r>
      <w:r w:rsidR="00B11EFC" w:rsidRPr="00B11EFC">
        <w:t>i </w:t>
      </w:r>
      <w:r w:rsidR="00B11EFC">
        <w:t>juni 2023</w:t>
      </w:r>
      <w:r w:rsidR="00B11EFC" w:rsidRPr="00B11EFC">
        <w:t xml:space="preserve"> å be regjeringen gjøre endringer i opsjonsskatteregelverket slik at den skal gjelde for bedrifter som har maksimalt 150 ansatte, har vært i drift i </w:t>
      </w:r>
      <w:r w:rsidR="00D223B2">
        <w:t xml:space="preserve">inntil </w:t>
      </w:r>
      <w:r w:rsidR="00B11EFC" w:rsidRPr="00B11EFC">
        <w:t xml:space="preserve">12 år og </w:t>
      </w:r>
      <w:r w:rsidR="00CA4045">
        <w:t xml:space="preserve">med </w:t>
      </w:r>
      <w:r w:rsidR="00B11EFC" w:rsidRPr="00B11EFC">
        <w:t xml:space="preserve">en balansesum på maks 200 millioner kroner. Stortinget </w:t>
      </w:r>
      <w:r w:rsidR="00713742">
        <w:t xml:space="preserve">har bedt </w:t>
      </w:r>
      <w:r w:rsidR="00B11EFC" w:rsidRPr="00B11EFC">
        <w:t>regjeringen fremme dette når den legger frem forslag til statsbudsjett for 2025. Tidligere var grensen 50 ansatte.</w:t>
      </w:r>
    </w:p>
    <w:p w14:paraId="0FA01CA8" w14:textId="75237DA4" w:rsidR="002B2DF8" w:rsidRPr="002B2DF8" w:rsidRDefault="002B2DF8" w:rsidP="005C4566">
      <w:pPr>
        <w:rPr>
          <w:b/>
          <w:bCs/>
        </w:rPr>
      </w:pPr>
      <w:r w:rsidRPr="002B2DF8">
        <w:rPr>
          <w:b/>
          <w:bCs/>
        </w:rPr>
        <w:t>Studieplasser</w:t>
      </w:r>
    </w:p>
    <w:p w14:paraId="718FF2B2" w14:textId="21BDF657" w:rsidR="002C1125" w:rsidRDefault="002C1125" w:rsidP="005C4566">
      <w:r w:rsidRPr="002C1125">
        <w:t>Akademikerne har gjennom innspill til statsbudsjettet bedt om flere studieplasser innenfor samfunnskritiske områder s</w:t>
      </w:r>
      <w:r w:rsidR="00F7173F">
        <w:t>o</w:t>
      </w:r>
      <w:r w:rsidRPr="002C1125">
        <w:t>m medisin, IKT og veterinærstudier. I budsjettet for 2024 ble det bevilget 60 nye studieplasser i medisin, 100 nye studieplasser i IKT-utdanninger, og i RNB for 2024 ble det bevilget midler til ti nye studieplasser innenfor veterinærstudiet. De nye studieplassene er ikke tilstrekkelig til å dekke behovet for kompetanse, men er et skritt i riktig retning.</w:t>
      </w:r>
    </w:p>
    <w:p w14:paraId="2F21D3DA" w14:textId="74FA65E1" w:rsidR="004A0FD9" w:rsidRDefault="00C71F8A" w:rsidP="005C4566">
      <w:pPr>
        <w:rPr>
          <w:b/>
          <w:bCs/>
        </w:rPr>
      </w:pPr>
      <w:r>
        <w:rPr>
          <w:b/>
          <w:bCs/>
        </w:rPr>
        <w:t>Livslang læring</w:t>
      </w:r>
    </w:p>
    <w:p w14:paraId="7ADDB566" w14:textId="41D86EDA" w:rsidR="009461E2" w:rsidRDefault="005A9AF1" w:rsidP="009461E2">
      <w:r>
        <w:t xml:space="preserve">Etter- og videreutdanning har vært et satsingsområde for Akademikerne i flere år. </w:t>
      </w:r>
      <w:r w:rsidR="153B1158">
        <w:t>Regjeringen</w:t>
      </w:r>
      <w:r w:rsidR="0C038898">
        <w:t xml:space="preserve"> har satt </w:t>
      </w:r>
      <w:r w:rsidR="20939778">
        <w:t xml:space="preserve">ned </w:t>
      </w:r>
      <w:r w:rsidR="0C038898">
        <w:t>et offentlig</w:t>
      </w:r>
      <w:r w:rsidR="153B1158">
        <w:t xml:space="preserve"> partssammensatt</w:t>
      </w:r>
      <w:r w:rsidR="0C038898">
        <w:t xml:space="preserve"> utvalg, </w:t>
      </w:r>
      <w:r w:rsidR="3356B4D6">
        <w:t>Kompetansereformutvalget</w:t>
      </w:r>
      <w:r w:rsidR="153B1158">
        <w:t>, som skal</w:t>
      </w:r>
      <w:r w:rsidR="3356B4D6">
        <w:t xml:space="preserve"> </w:t>
      </w:r>
      <w:r w:rsidR="153B1158">
        <w:t xml:space="preserve">utrede </w:t>
      </w:r>
      <w:r w:rsidR="153B1158">
        <w:lastRenderedPageBreak/>
        <w:t>hvordan partene kan legge bedre til rette for omstilling og læring i arbeidslivet</w:t>
      </w:r>
      <w:r w:rsidR="459E027E">
        <w:t>. M</w:t>
      </w:r>
      <w:r w:rsidR="153B1158">
        <w:t>ål</w:t>
      </w:r>
      <w:r w:rsidR="2995BB72">
        <w:t>et</w:t>
      </w:r>
      <w:r w:rsidR="153B1158">
        <w:t xml:space="preserve"> </w:t>
      </w:r>
      <w:r w:rsidR="459E027E">
        <w:t>er</w:t>
      </w:r>
      <w:r w:rsidR="153B1158">
        <w:t xml:space="preserve"> høy stabil sysselsetting, å motvirke økende ulikhet og sikre kompetansen arbeidslivet trenger.</w:t>
      </w:r>
    </w:p>
    <w:p w14:paraId="23D82B4D" w14:textId="389775E9" w:rsidR="008176FC" w:rsidRDefault="446E8BDB" w:rsidP="005C4566">
      <w:r>
        <w:t>Utvalget</w:t>
      </w:r>
      <w:r w:rsidR="65FD9402">
        <w:t>, som</w:t>
      </w:r>
      <w:r>
        <w:t xml:space="preserve"> ledes av </w:t>
      </w:r>
      <w:r w:rsidR="3A53E95B">
        <w:t xml:space="preserve">tidligere </w:t>
      </w:r>
      <w:r w:rsidR="2AC9EC93">
        <w:t xml:space="preserve">Stortingspresident og statsråd Dag Terje Andersen, skal </w:t>
      </w:r>
      <w:r w:rsidR="60CDA5B4">
        <w:t>levere</w:t>
      </w:r>
      <w:r w:rsidR="57997565">
        <w:t xml:space="preserve"> sin </w:t>
      </w:r>
      <w:r w:rsidR="103A2F77">
        <w:t>utredning</w:t>
      </w:r>
      <w:r w:rsidR="57997565">
        <w:t xml:space="preserve"> innen 15. desember </w:t>
      </w:r>
      <w:r w:rsidR="03272DDE">
        <w:t xml:space="preserve">2024. </w:t>
      </w:r>
      <w:r w:rsidR="3C3EB9B9">
        <w:t>Seniorrådgiver Joakim Østbye deltar i utvalget på vegne av Akademikerne.</w:t>
      </w:r>
    </w:p>
    <w:p w14:paraId="35D3880E" w14:textId="70375CB3" w:rsidR="000F081F" w:rsidRPr="00E20D89" w:rsidRDefault="003969FB" w:rsidP="005C4566">
      <w:r>
        <w:t xml:space="preserve">Utsynsmeldingen ble lagt fram av regjeringen mars 2023 og vedtatt av </w:t>
      </w:r>
      <w:r w:rsidR="004866A4">
        <w:t>Stortinge</w:t>
      </w:r>
      <w:r w:rsidR="00A03B87">
        <w:t>t</w:t>
      </w:r>
      <w:r w:rsidR="004866A4">
        <w:t xml:space="preserve"> </w:t>
      </w:r>
      <w:r w:rsidR="007B2319">
        <w:t>juni</w:t>
      </w:r>
      <w:r w:rsidR="004866A4">
        <w:t xml:space="preserve"> 2023</w:t>
      </w:r>
      <w:r w:rsidR="0067588A">
        <w:t>.</w:t>
      </w:r>
      <w:r w:rsidR="00A03B87">
        <w:t xml:space="preserve"> </w:t>
      </w:r>
      <w:r w:rsidR="0007214D">
        <w:t>Her kom det blant annet e</w:t>
      </w:r>
      <w:r w:rsidR="00A03B87" w:rsidRPr="00A03B87">
        <w:t xml:space="preserve">ndringer i finansieringssystemet </w:t>
      </w:r>
      <w:r w:rsidR="0007214D">
        <w:t>for</w:t>
      </w:r>
      <w:r w:rsidR="00A03B87" w:rsidRPr="00A03B87">
        <w:t xml:space="preserve"> UH-sektoren og endring i egenbetalingsforskriften som til sammen vil gjøre det mer attraktivt for UH-institusjonene å tilby </w:t>
      </w:r>
      <w:r w:rsidR="000A5931">
        <w:t>videre</w:t>
      </w:r>
      <w:r w:rsidR="00A03B87" w:rsidRPr="00A03B87">
        <w:t>utdanning.</w:t>
      </w:r>
    </w:p>
    <w:p w14:paraId="02A5C5BA" w14:textId="55AD92D3" w:rsidR="004929B2" w:rsidRDefault="004604D1" w:rsidP="00720944">
      <w:pPr>
        <w:pStyle w:val="Overskrift2"/>
      </w:pPr>
      <w:bookmarkStart w:id="13" w:name="_Toc176264503"/>
      <w:r>
        <w:t xml:space="preserve">1.4.4 </w:t>
      </w:r>
      <w:r w:rsidR="009F2D74">
        <w:t>Høyere utdanning tilgjengelig for alle</w:t>
      </w:r>
      <w:bookmarkEnd w:id="13"/>
    </w:p>
    <w:p w14:paraId="64A07F4F" w14:textId="77777777" w:rsidR="00A25A3D" w:rsidRPr="00BD4345" w:rsidRDefault="00A25A3D" w:rsidP="00A25A3D">
      <w:pPr>
        <w:rPr>
          <w:rStyle w:val="normaltextrun"/>
          <w:b/>
          <w:bCs/>
        </w:rPr>
      </w:pPr>
      <w:r w:rsidRPr="00BD4345">
        <w:rPr>
          <w:rStyle w:val="normaltextrun"/>
          <w:b/>
          <w:bCs/>
        </w:rPr>
        <w:t>Økt studiestøtte</w:t>
      </w:r>
    </w:p>
    <w:p w14:paraId="0F03D52F" w14:textId="77777777" w:rsidR="0019675B" w:rsidRDefault="00E972B5" w:rsidP="00257357">
      <w:pPr>
        <w:rPr>
          <w:rStyle w:val="normaltextrun"/>
        </w:rPr>
      </w:pPr>
      <w:r>
        <w:rPr>
          <w:rStyle w:val="normaltextrun"/>
        </w:rPr>
        <w:t>H</w:t>
      </w:r>
      <w:r w:rsidR="001B684B">
        <w:rPr>
          <w:rStyle w:val="normaltextrun"/>
        </w:rPr>
        <w:t xml:space="preserve">øyere utdanning må være tilgjengelig for alle, uavhengig av økonomiske forutsetninger og sosial bakgrunn. Akademikerne er bekymret for at flere vil velge bort studier om man ikke øker studiestøtten. Dette rammer spesielt de som </w:t>
      </w:r>
      <w:r w:rsidR="0076646B">
        <w:rPr>
          <w:rStyle w:val="normaltextrun"/>
        </w:rPr>
        <w:t>ikke har mulighet for finansiell støtte hjemmefra</w:t>
      </w:r>
      <w:r w:rsidR="001B684B">
        <w:rPr>
          <w:rStyle w:val="normaltextrun"/>
        </w:rPr>
        <w:t xml:space="preserve">. </w:t>
      </w:r>
      <w:r w:rsidR="00693875">
        <w:rPr>
          <w:rStyle w:val="normaltextrun"/>
        </w:rPr>
        <w:t>Budskapet har vært at s</w:t>
      </w:r>
      <w:r w:rsidR="001B684B">
        <w:rPr>
          <w:rStyle w:val="normaltextrun"/>
        </w:rPr>
        <w:t xml:space="preserve">tudiestøtten </w:t>
      </w:r>
      <w:r w:rsidR="0076646B">
        <w:rPr>
          <w:rStyle w:val="normaltextrun"/>
        </w:rPr>
        <w:t>må</w:t>
      </w:r>
      <w:r w:rsidR="001B684B">
        <w:rPr>
          <w:rStyle w:val="normaltextrun"/>
        </w:rPr>
        <w:t xml:space="preserve"> økes</w:t>
      </w:r>
      <w:r w:rsidR="00542127">
        <w:rPr>
          <w:rStyle w:val="normaltextrun"/>
        </w:rPr>
        <w:t xml:space="preserve"> til 1,5</w:t>
      </w:r>
      <w:r w:rsidR="00327ED6">
        <w:rPr>
          <w:rStyle w:val="normaltextrun"/>
        </w:rPr>
        <w:t xml:space="preserve"> </w:t>
      </w:r>
      <w:r w:rsidR="00542127">
        <w:rPr>
          <w:rStyle w:val="normaltextrun"/>
        </w:rPr>
        <w:t>G</w:t>
      </w:r>
      <w:r w:rsidR="001B684B">
        <w:rPr>
          <w:rStyle w:val="normaltextrun"/>
        </w:rPr>
        <w:t xml:space="preserve"> og knyttes til grunnbeløpet i folketrygden for å skape forutsigbarhet.</w:t>
      </w:r>
      <w:r w:rsidR="00257357">
        <w:rPr>
          <w:rStyle w:val="normaltextrun"/>
        </w:rPr>
        <w:t xml:space="preserve"> Dette har få</w:t>
      </w:r>
      <w:r w:rsidR="0019675B">
        <w:rPr>
          <w:rStyle w:val="normaltextrun"/>
        </w:rPr>
        <w:t>tt gehør hos mange og v</w:t>
      </w:r>
      <w:r w:rsidR="00F62240" w:rsidRPr="2DB9502A">
        <w:rPr>
          <w:rStyle w:val="normaltextrun"/>
        </w:rPr>
        <w:t xml:space="preserve">i ser at stadig flere aktører og partier nå </w:t>
      </w:r>
      <w:r w:rsidR="00542127" w:rsidRPr="2DB9502A">
        <w:rPr>
          <w:rStyle w:val="normaltextrun"/>
        </w:rPr>
        <w:t xml:space="preserve">setter mål om at studiestøtten må </w:t>
      </w:r>
      <w:r w:rsidR="00B43F68">
        <w:rPr>
          <w:rStyle w:val="normaltextrun"/>
        </w:rPr>
        <w:t xml:space="preserve">knyttes til </w:t>
      </w:r>
      <w:r w:rsidR="00F57E41">
        <w:rPr>
          <w:rStyle w:val="normaltextrun"/>
        </w:rPr>
        <w:t xml:space="preserve">G og </w:t>
      </w:r>
      <w:r w:rsidR="00542127" w:rsidRPr="2DB9502A">
        <w:rPr>
          <w:rStyle w:val="normaltextrun"/>
        </w:rPr>
        <w:t>økes til 1,5</w:t>
      </w:r>
      <w:r w:rsidR="00C008ED">
        <w:rPr>
          <w:rStyle w:val="normaltextrun"/>
        </w:rPr>
        <w:t xml:space="preserve"> </w:t>
      </w:r>
      <w:r w:rsidR="00542127" w:rsidRPr="2DB9502A">
        <w:rPr>
          <w:rStyle w:val="normaltextrun"/>
        </w:rPr>
        <w:t>G.</w:t>
      </w:r>
      <w:r w:rsidR="00522FF2" w:rsidRPr="2DB9502A">
        <w:rPr>
          <w:rStyle w:val="normaltextrun"/>
        </w:rPr>
        <w:t xml:space="preserve"> </w:t>
      </w:r>
    </w:p>
    <w:p w14:paraId="1EF82CD2" w14:textId="2C58C10B" w:rsidR="007E6D07" w:rsidRPr="00201E54" w:rsidRDefault="00E356EB" w:rsidP="00257357">
      <w:r w:rsidRPr="2DB9502A">
        <w:rPr>
          <w:rStyle w:val="normaltextrun"/>
        </w:rPr>
        <w:t xml:space="preserve">Som grunnlag for arbeidet har </w:t>
      </w:r>
      <w:r w:rsidR="00B224E4">
        <w:t>Akademikerne</w:t>
      </w:r>
      <w:r w:rsidR="00254DAC">
        <w:t xml:space="preserve"> fått utarbeidet en rapport om studiestøttens kjøpekraft</w:t>
      </w:r>
      <w:r>
        <w:t xml:space="preserve"> (SØA)</w:t>
      </w:r>
      <w:r w:rsidR="00254DAC">
        <w:t xml:space="preserve">. Rapporten ble lansert </w:t>
      </w:r>
      <w:r w:rsidR="00B224E4">
        <w:t>på</w:t>
      </w:r>
      <w:r w:rsidR="00254DAC">
        <w:t xml:space="preserve"> et frokostseminar </w:t>
      </w:r>
      <w:r w:rsidR="00B224E4">
        <w:t xml:space="preserve">med </w:t>
      </w:r>
      <w:r w:rsidR="00254DAC">
        <w:t xml:space="preserve">politikere </w:t>
      </w:r>
      <w:r w:rsidR="00B224E4">
        <w:t>og studentledere</w:t>
      </w:r>
      <w:r w:rsidR="00542127">
        <w:t>. Det</w:t>
      </w:r>
      <w:r w:rsidR="00AC14A1">
        <w:t xml:space="preserve"> er sendt </w:t>
      </w:r>
      <w:r w:rsidR="2D6BE120">
        <w:t xml:space="preserve">innspill til </w:t>
      </w:r>
      <w:r w:rsidR="00AC14A1">
        <w:t xml:space="preserve">stortingspolitikere og </w:t>
      </w:r>
      <w:r w:rsidR="5F0ECA2C">
        <w:t xml:space="preserve">studiestøtte er </w:t>
      </w:r>
      <w:r w:rsidR="00AC14A1">
        <w:t>tatt opp i møter med politikere og</w:t>
      </w:r>
      <w:r w:rsidR="00D00141">
        <w:t xml:space="preserve"> i</w:t>
      </w:r>
      <w:r w:rsidR="00AC14A1">
        <w:t xml:space="preserve"> møter med partienes programkomiteer. </w:t>
      </w:r>
      <w:r w:rsidR="000B42ED">
        <w:t>Akademikerne har hatt et godt samarbeid med medlemsforeningen</w:t>
      </w:r>
      <w:r w:rsidR="00C77802">
        <w:t>e</w:t>
      </w:r>
      <w:r w:rsidR="000B42ED">
        <w:t>s</w:t>
      </w:r>
      <w:r w:rsidR="00C91AAF">
        <w:t xml:space="preserve"> studentledere og med NSO i denne saken</w:t>
      </w:r>
      <w:r w:rsidR="00464D8F">
        <w:t>.</w:t>
      </w:r>
      <w:r w:rsidR="000B42ED">
        <w:t xml:space="preserve"> </w:t>
      </w:r>
    </w:p>
    <w:p w14:paraId="31B0B410" w14:textId="2FAC6267" w:rsidR="725CAC7C" w:rsidRDefault="725CAC7C">
      <w:r>
        <w:t xml:space="preserve">Akademikerne har også pekt på behovet for å øke stipendandelen for norske studenter i utlandet. Dette gjelder spesielt for studier der det er for få studieplasser i </w:t>
      </w:r>
      <w:r w:rsidR="00CE5C85">
        <w:t>Norge</w:t>
      </w:r>
      <w:r>
        <w:t xml:space="preserve"> og samfunnet er avhen</w:t>
      </w:r>
      <w:r w:rsidR="77F669A4">
        <w:t xml:space="preserve">gig av at unge studerer i utlandet. </w:t>
      </w:r>
      <w:r w:rsidR="709D040C">
        <w:t>I</w:t>
      </w:r>
      <w:r w:rsidR="40131534">
        <w:t xml:space="preserve"> 2023 innførte </w:t>
      </w:r>
      <w:r w:rsidR="5BF2D616">
        <w:t xml:space="preserve">regjeringen </w:t>
      </w:r>
      <w:r w:rsidR="40131534">
        <w:t xml:space="preserve">skolepenger for studenter fra land utenfor EU/EØS. Dette har Akademikerne vært kritiske til og </w:t>
      </w:r>
      <w:r w:rsidR="7CF2A441">
        <w:t xml:space="preserve">spilt inn at dette må reverseres. </w:t>
      </w:r>
    </w:p>
    <w:p w14:paraId="6133ED25" w14:textId="7485F54A" w:rsidR="00BD4345" w:rsidRPr="00BD4345" w:rsidRDefault="00BD4345" w:rsidP="00C91AAF">
      <w:pPr>
        <w:rPr>
          <w:rFonts w:eastAsia="Calibri"/>
          <w:b/>
          <w:bCs/>
          <w:lang w:eastAsia="nb-NO"/>
        </w:rPr>
      </w:pPr>
      <w:r>
        <w:rPr>
          <w:rFonts w:eastAsia="Calibri"/>
          <w:b/>
          <w:bCs/>
          <w:lang w:eastAsia="nb-NO"/>
        </w:rPr>
        <w:t>Opptak til høyere utdanning</w:t>
      </w:r>
    </w:p>
    <w:p w14:paraId="67E77709" w14:textId="02EF1C56" w:rsidR="0026295C" w:rsidRDefault="00FA0CD2" w:rsidP="00C91AAF">
      <w:pPr>
        <w:rPr>
          <w:rFonts w:eastAsia="Calibri"/>
          <w:lang w:eastAsia="nb-NO"/>
        </w:rPr>
      </w:pPr>
      <w:r w:rsidRPr="2DB9502A">
        <w:rPr>
          <w:rFonts w:eastAsia="Calibri"/>
          <w:lang w:eastAsia="nb-NO"/>
        </w:rPr>
        <w:t xml:space="preserve">Akademikerne har </w:t>
      </w:r>
      <w:r w:rsidR="00C91AAF" w:rsidRPr="2DB9502A">
        <w:rPr>
          <w:rFonts w:eastAsia="Calibri"/>
          <w:lang w:eastAsia="nb-NO"/>
        </w:rPr>
        <w:t xml:space="preserve">prioritert å </w:t>
      </w:r>
      <w:r w:rsidR="00A072A1" w:rsidRPr="2DB9502A">
        <w:rPr>
          <w:rFonts w:eastAsia="Calibri"/>
          <w:lang w:eastAsia="nb-NO"/>
        </w:rPr>
        <w:t>jobbe</w:t>
      </w:r>
      <w:r w:rsidR="00C91AAF" w:rsidRPr="2DB9502A">
        <w:rPr>
          <w:rFonts w:eastAsia="Calibri"/>
          <w:lang w:eastAsia="nb-NO"/>
        </w:rPr>
        <w:t xml:space="preserve"> </w:t>
      </w:r>
      <w:r w:rsidR="008B2F12" w:rsidRPr="2DB9502A">
        <w:rPr>
          <w:rFonts w:eastAsia="Calibri"/>
          <w:lang w:eastAsia="nb-NO"/>
        </w:rPr>
        <w:t>inn mot prosessen med utvikling av et</w:t>
      </w:r>
      <w:r w:rsidRPr="2DB9502A">
        <w:rPr>
          <w:rFonts w:eastAsia="Calibri"/>
          <w:lang w:eastAsia="nb-NO"/>
        </w:rPr>
        <w:t xml:space="preserve"> </w:t>
      </w:r>
      <w:r w:rsidR="008B2F12" w:rsidRPr="2DB9502A">
        <w:rPr>
          <w:rFonts w:eastAsia="Calibri"/>
          <w:lang w:eastAsia="nb-NO"/>
        </w:rPr>
        <w:t>revidert</w:t>
      </w:r>
      <w:r w:rsidRPr="2DB9502A">
        <w:rPr>
          <w:rFonts w:eastAsia="Calibri"/>
          <w:lang w:eastAsia="nb-NO"/>
        </w:rPr>
        <w:t xml:space="preserve"> system for opptak til høyere utdanning.</w:t>
      </w:r>
      <w:r w:rsidR="0026295C" w:rsidRPr="2DB9502A">
        <w:rPr>
          <w:rFonts w:eastAsia="Calibri"/>
          <w:lang w:eastAsia="nb-NO"/>
        </w:rPr>
        <w:t xml:space="preserve"> </w:t>
      </w:r>
      <w:r w:rsidR="008B2F12" w:rsidRPr="2DB9502A">
        <w:rPr>
          <w:rFonts w:eastAsia="Calibri"/>
          <w:lang w:eastAsia="nb-NO"/>
        </w:rPr>
        <w:t>Det er</w:t>
      </w:r>
      <w:r w:rsidR="00FB79BD" w:rsidRPr="2DB9502A">
        <w:rPr>
          <w:rFonts w:eastAsia="Calibri"/>
          <w:lang w:eastAsia="nb-NO"/>
        </w:rPr>
        <w:t xml:space="preserve"> </w:t>
      </w:r>
      <w:r w:rsidR="00067F9E" w:rsidRPr="2DB9502A">
        <w:rPr>
          <w:rFonts w:eastAsia="Calibri"/>
          <w:lang w:eastAsia="nb-NO"/>
        </w:rPr>
        <w:t>i innspillene lagt</w:t>
      </w:r>
      <w:r w:rsidR="00FB79BD" w:rsidRPr="2DB9502A">
        <w:rPr>
          <w:rFonts w:eastAsia="Calibri"/>
          <w:lang w:eastAsia="nb-NO"/>
        </w:rPr>
        <w:t xml:space="preserve"> vekt på at institusjonenes mulighet til å sette nivåkrav </w:t>
      </w:r>
      <w:r w:rsidR="00B505A5" w:rsidRPr="2DB9502A">
        <w:rPr>
          <w:rFonts w:eastAsia="Calibri"/>
          <w:lang w:eastAsia="nb-NO"/>
        </w:rPr>
        <w:t>og at ordningen med ekstrapoeng for realfag og spr</w:t>
      </w:r>
      <w:r w:rsidR="034AA11C" w:rsidRPr="2DB9502A">
        <w:rPr>
          <w:rFonts w:eastAsia="Calibri"/>
          <w:lang w:eastAsia="nb-NO"/>
        </w:rPr>
        <w:t>å</w:t>
      </w:r>
      <w:r w:rsidR="00B505A5" w:rsidRPr="2DB9502A">
        <w:rPr>
          <w:rFonts w:eastAsia="Calibri"/>
          <w:lang w:eastAsia="nb-NO"/>
        </w:rPr>
        <w:t>kfag må opprettholdes</w:t>
      </w:r>
      <w:r w:rsidR="00067F9E" w:rsidRPr="2DB9502A">
        <w:rPr>
          <w:rFonts w:eastAsia="Calibri"/>
          <w:lang w:eastAsia="nb-NO"/>
        </w:rPr>
        <w:t xml:space="preserve">. </w:t>
      </w:r>
      <w:r w:rsidR="00FC319C" w:rsidRPr="2DB9502A">
        <w:rPr>
          <w:rFonts w:eastAsia="Calibri"/>
          <w:lang w:eastAsia="nb-NO"/>
        </w:rPr>
        <w:t>Særlig er det lagt vekt på behovet for kjønnskvoter ved opptak til høyere utdanning.</w:t>
      </w:r>
      <w:r w:rsidR="002A31BD" w:rsidRPr="2DB9502A">
        <w:rPr>
          <w:rFonts w:eastAsia="Calibri"/>
          <w:lang w:eastAsia="nb-NO"/>
        </w:rPr>
        <w:t xml:space="preserve"> Språkpoengene ble ikke videreført i de</w:t>
      </w:r>
      <w:r w:rsidR="000D1190" w:rsidRPr="2DB9502A">
        <w:rPr>
          <w:rFonts w:eastAsia="Calibri"/>
          <w:lang w:eastAsia="nb-NO"/>
        </w:rPr>
        <w:t>n</w:t>
      </w:r>
      <w:r w:rsidR="002A31BD" w:rsidRPr="2DB9502A">
        <w:rPr>
          <w:rFonts w:eastAsia="Calibri"/>
          <w:lang w:eastAsia="nb-NO"/>
        </w:rPr>
        <w:t xml:space="preserve"> nye ordningen, men Akademikerne har fått gjennomslag for </w:t>
      </w:r>
      <w:r w:rsidR="000D1190" w:rsidRPr="2DB9502A">
        <w:rPr>
          <w:rFonts w:eastAsia="Calibri"/>
          <w:lang w:eastAsia="nb-NO"/>
        </w:rPr>
        <w:t xml:space="preserve">de andre punktene, også for at det fortsatt må </w:t>
      </w:r>
      <w:r w:rsidR="00C91AAF" w:rsidRPr="2DB9502A">
        <w:rPr>
          <w:rFonts w:eastAsia="Calibri"/>
          <w:lang w:eastAsia="nb-NO"/>
        </w:rPr>
        <w:t>v</w:t>
      </w:r>
      <w:r w:rsidR="000D1190" w:rsidRPr="2DB9502A">
        <w:rPr>
          <w:rFonts w:eastAsia="Calibri"/>
          <w:lang w:eastAsia="nb-NO"/>
        </w:rPr>
        <w:t>ære</w:t>
      </w:r>
      <w:r w:rsidR="00C91AAF" w:rsidRPr="2DB9502A">
        <w:rPr>
          <w:rFonts w:eastAsia="Calibri"/>
          <w:lang w:eastAsia="nb-NO"/>
        </w:rPr>
        <w:t xml:space="preserve"> </w:t>
      </w:r>
      <w:r w:rsidR="000D1190" w:rsidRPr="2DB9502A">
        <w:rPr>
          <w:rFonts w:eastAsia="Calibri"/>
          <w:lang w:eastAsia="nb-NO"/>
        </w:rPr>
        <w:t>mulig for eleven</w:t>
      </w:r>
      <w:r w:rsidR="00A02F8D">
        <w:rPr>
          <w:rFonts w:eastAsia="Calibri"/>
          <w:lang w:eastAsia="nb-NO"/>
        </w:rPr>
        <w:t>e</w:t>
      </w:r>
      <w:r w:rsidR="000D1190" w:rsidRPr="2DB9502A">
        <w:rPr>
          <w:rFonts w:eastAsia="Calibri"/>
          <w:lang w:eastAsia="nb-NO"/>
        </w:rPr>
        <w:t xml:space="preserve"> å ta opp fag. </w:t>
      </w:r>
    </w:p>
    <w:p w14:paraId="2AC83804" w14:textId="276FB9B0" w:rsidR="009F2D74" w:rsidRDefault="000B6075" w:rsidP="00C14B45">
      <w:pPr>
        <w:pStyle w:val="Overskrift2"/>
      </w:pPr>
      <w:bookmarkStart w:id="14" w:name="_Toc176264504"/>
      <w:r>
        <w:lastRenderedPageBreak/>
        <w:t xml:space="preserve">1.4.5 </w:t>
      </w:r>
      <w:r w:rsidR="009F2D74">
        <w:t>Gode vilkår for ytringsfrihet – gode kår for kunnskap</w:t>
      </w:r>
      <w:bookmarkEnd w:id="14"/>
    </w:p>
    <w:p w14:paraId="6783764E" w14:textId="7C8C96E5" w:rsidR="00B43B30" w:rsidRPr="00D5307F" w:rsidRDefault="004700AE" w:rsidP="006771CE">
      <w:r>
        <w:t xml:space="preserve">I dagens samfunn står vi overfor store utfordringer som krever innovative løsninger og ny kunnskap. For å møte disse utfordringene er det avgjørende at vi har en forsknings- og utdanningssektor som kan operere fritt og uavhengig. </w:t>
      </w:r>
      <w:r w:rsidR="00473972">
        <w:t xml:space="preserve">Akademikerne </w:t>
      </w:r>
      <w:r w:rsidR="5B362BD8">
        <w:t xml:space="preserve">har </w:t>
      </w:r>
      <w:r w:rsidR="00473972">
        <w:t xml:space="preserve">pekt på viktigheten av </w:t>
      </w:r>
      <w:r w:rsidR="00DF24EF">
        <w:t>a</w:t>
      </w:r>
      <w:r w:rsidR="005C32DC">
        <w:t xml:space="preserve">kademisk frihet </w:t>
      </w:r>
      <w:r w:rsidR="00473972">
        <w:t>som</w:t>
      </w:r>
      <w:r w:rsidR="005C32DC">
        <w:t xml:space="preserve"> en forutsetning for at demokratiet skal fungere. </w:t>
      </w:r>
      <w:r w:rsidR="00B55C59">
        <w:t>Forskingsbasert kunnskap må være en del av beslutningsgrunnlaget for politiske beslutning</w:t>
      </w:r>
      <w:r w:rsidR="004C1CF5">
        <w:t>er og må ligge til grunn i</w:t>
      </w:r>
      <w:r w:rsidR="005C32DC">
        <w:t xml:space="preserve"> den offentlige debatten og vurderingene rundt hvilken vei samfunnet skal formes. For å sikre at forskningen kan fortsette å være en motor for samfunnsutviklingen, </w:t>
      </w:r>
      <w:r w:rsidR="00B50BC1">
        <w:t>har Akademikerne vært opptatt av å</w:t>
      </w:r>
      <w:r w:rsidR="005C32DC">
        <w:t xml:space="preserve"> styrke</w:t>
      </w:r>
      <w:r w:rsidR="007F6DE3">
        <w:t xml:space="preserve"> universitetenes rolle og</w:t>
      </w:r>
      <w:r w:rsidR="005C32DC">
        <w:t xml:space="preserve"> rammevilkårene for fri og uavhengig forskning. Dette innebærer blant annet å øke forskningsfinansieringen, sikre akademisk frihet og redusere politisk og økonomisk press på </w:t>
      </w:r>
      <w:r w:rsidR="00955D07">
        <w:t xml:space="preserve">universiteter og </w:t>
      </w:r>
      <w:r w:rsidR="005C32DC">
        <w:t xml:space="preserve">forskningsinstitusjonene. </w:t>
      </w:r>
    </w:p>
    <w:p w14:paraId="08CC512B" w14:textId="10049768" w:rsidR="00BD4345" w:rsidRPr="00BA75EB" w:rsidRDefault="00BA75EB" w:rsidP="006771CE">
      <w:pPr>
        <w:rPr>
          <w:b/>
          <w:bCs/>
        </w:rPr>
      </w:pPr>
      <w:r w:rsidRPr="00BA75EB">
        <w:rPr>
          <w:b/>
          <w:bCs/>
        </w:rPr>
        <w:t>Et sterk</w:t>
      </w:r>
      <w:r w:rsidR="008212A7">
        <w:rPr>
          <w:b/>
          <w:bCs/>
        </w:rPr>
        <w:t>t</w:t>
      </w:r>
      <w:r w:rsidRPr="00BA75EB">
        <w:rPr>
          <w:b/>
          <w:bCs/>
        </w:rPr>
        <w:t xml:space="preserve"> og uavhengig Forskning</w:t>
      </w:r>
      <w:r w:rsidR="00B10794">
        <w:rPr>
          <w:b/>
          <w:bCs/>
        </w:rPr>
        <w:t>s</w:t>
      </w:r>
      <w:r w:rsidRPr="00BA75EB">
        <w:rPr>
          <w:b/>
          <w:bCs/>
        </w:rPr>
        <w:t>råd</w:t>
      </w:r>
    </w:p>
    <w:p w14:paraId="7DC35E79" w14:textId="663498F5" w:rsidR="00875559" w:rsidRPr="00B43B30" w:rsidRDefault="00EB26A7" w:rsidP="006771CE">
      <w:pPr>
        <w:rPr>
          <w:color w:val="FF0000"/>
        </w:rPr>
      </w:pPr>
      <w:r>
        <w:t xml:space="preserve">Regjeringen har satt i gang arbeid med </w:t>
      </w:r>
      <w:r w:rsidR="00C059B6">
        <w:t>en stortingsmelding om forsk</w:t>
      </w:r>
      <w:r w:rsidR="00C82FE0">
        <w:t>n</w:t>
      </w:r>
      <w:r w:rsidR="00C059B6">
        <w:t>ings</w:t>
      </w:r>
      <w:r w:rsidR="00BD6AB6">
        <w:t>s</w:t>
      </w:r>
      <w:r w:rsidR="00C059B6">
        <w:t xml:space="preserve">ystemet. </w:t>
      </w:r>
      <w:r w:rsidR="005A4A15">
        <w:t>Første</w:t>
      </w:r>
      <w:r w:rsidR="009349B9">
        <w:t xml:space="preserve"> fase av arbeidet</w:t>
      </w:r>
      <w:r w:rsidR="00BD6AB6">
        <w:t xml:space="preserve"> </w:t>
      </w:r>
      <w:r w:rsidR="009349B9">
        <w:t>handlet om</w:t>
      </w:r>
      <w:r w:rsidR="00BD6AB6">
        <w:t xml:space="preserve"> Forsk</w:t>
      </w:r>
      <w:r w:rsidR="00C671A7">
        <w:t>n</w:t>
      </w:r>
      <w:r w:rsidR="00BD6AB6">
        <w:t>ingsrådets innretning og rolle.</w:t>
      </w:r>
      <w:r w:rsidR="005414BE">
        <w:t xml:space="preserve"> </w:t>
      </w:r>
      <w:r w:rsidR="008E385F" w:rsidRPr="00B05459">
        <w:t>Regjeringen har over tid tatt til orde for endringer i Forskningsrådet, blant annet å fjerne vedtektene, endre finansieringen av forskningsrådet og flytte oppnevning av styret fra regjering</w:t>
      </w:r>
      <w:r w:rsidR="00F13E3B">
        <w:t>en til Kunnskapsdepartementet.</w:t>
      </w:r>
      <w:r w:rsidR="008E385F" w:rsidRPr="00B05459">
        <w:t xml:space="preserve"> </w:t>
      </w:r>
    </w:p>
    <w:p w14:paraId="45E43CBD" w14:textId="5DB4599A" w:rsidR="006771CE" w:rsidRPr="00B05459" w:rsidRDefault="008E385F" w:rsidP="006771CE">
      <w:r w:rsidRPr="00B05459">
        <w:t xml:space="preserve">Akademikerne har </w:t>
      </w:r>
      <w:r w:rsidR="00B43B30">
        <w:t xml:space="preserve">jobbet for </w:t>
      </w:r>
      <w:r w:rsidR="00F13E3B">
        <w:t>å</w:t>
      </w:r>
      <w:r w:rsidR="00F77A1C">
        <w:t xml:space="preserve"> bevare</w:t>
      </w:r>
      <w:r w:rsidRPr="00B05459">
        <w:t xml:space="preserve"> ett </w:t>
      </w:r>
      <w:r w:rsidR="007C167B">
        <w:t>F</w:t>
      </w:r>
      <w:r w:rsidRPr="00B05459">
        <w:t xml:space="preserve">orskningsråd som er uavhengig og som bidrar til å sikre sammenhengen mellom grunnforskning og anvendt forskning; at vedtekter videreføres; at styret oppnevnes av regjering, ikke departement, for å sikre regjeringens eierskap til Forskningsrådet; og at bedre koordinering fra eiersiden blant annet gjennom færre budsjettposter. </w:t>
      </w:r>
      <w:r w:rsidR="001B335E">
        <w:t>Det er positivt at r</w:t>
      </w:r>
      <w:r w:rsidRPr="00B05459">
        <w:t xml:space="preserve">egjeringen </w:t>
      </w:r>
      <w:r w:rsidR="001B335E">
        <w:t xml:space="preserve">valgte å </w:t>
      </w:r>
      <w:r w:rsidRPr="00B05459">
        <w:t>videreføre Forskningsrådet som ett forskningsråd. Akademikerne har også fått gjennomslag for at vedtektene skal beholdes slik at Forskningsrådet ikke blir et direktorat, men har en uavhengig stilling</w:t>
      </w:r>
      <w:r w:rsidR="00394CAD">
        <w:t>. A</w:t>
      </w:r>
      <w:r w:rsidR="007C167B">
        <w:t xml:space="preserve">ntall budsjettposter er </w:t>
      </w:r>
      <w:r w:rsidR="00394CAD">
        <w:t xml:space="preserve">også </w:t>
      </w:r>
      <w:r w:rsidR="007C167B">
        <w:t>redusert</w:t>
      </w:r>
      <w:r w:rsidRPr="00B05459">
        <w:t xml:space="preserve">. </w:t>
      </w:r>
    </w:p>
    <w:p w14:paraId="7B83D8AF" w14:textId="52EFBC62" w:rsidR="00BA75EB" w:rsidRPr="00B10794" w:rsidRDefault="00B10794" w:rsidP="006771CE">
      <w:pPr>
        <w:rPr>
          <w:b/>
          <w:bCs/>
        </w:rPr>
      </w:pPr>
      <w:r w:rsidRPr="00B10794">
        <w:rPr>
          <w:b/>
          <w:bCs/>
        </w:rPr>
        <w:t>Midler til fri og uavhengig forsk</w:t>
      </w:r>
      <w:r w:rsidR="00020AC2">
        <w:rPr>
          <w:b/>
          <w:bCs/>
        </w:rPr>
        <w:t>n</w:t>
      </w:r>
      <w:r w:rsidRPr="00B10794">
        <w:rPr>
          <w:b/>
          <w:bCs/>
        </w:rPr>
        <w:t>ing</w:t>
      </w:r>
    </w:p>
    <w:p w14:paraId="3629147D" w14:textId="4910E613" w:rsidR="00AE659B" w:rsidRPr="00B05459" w:rsidRDefault="00FB4DAB" w:rsidP="006771CE">
      <w:r>
        <w:t>Akademikerne har bidratt til å f</w:t>
      </w:r>
      <w:r w:rsidR="006771CE" w:rsidRPr="00B05459">
        <w:t xml:space="preserve">orhindre forskningskutt og sikret midler til </w:t>
      </w:r>
      <w:proofErr w:type="spellStart"/>
      <w:r w:rsidR="006771CE" w:rsidRPr="00B05459">
        <w:t>Fripro</w:t>
      </w:r>
      <w:proofErr w:type="spellEnd"/>
      <w:r w:rsidR="006771CE" w:rsidRPr="00B05459">
        <w:t xml:space="preserve">. 1,64 milliarder kroner ble bevilget til Forskningsrådet ved nysalderingen av statsbudsjettet for 2023. Med dette ble underskuddet i Forskningsrådet fjernet og </w:t>
      </w:r>
      <w:proofErr w:type="spellStart"/>
      <w:r w:rsidR="006771CE" w:rsidRPr="00B05459">
        <w:t>Fripro</w:t>
      </w:r>
      <w:proofErr w:type="spellEnd"/>
      <w:r w:rsidR="006D303D">
        <w:t>-</w:t>
      </w:r>
      <w:r w:rsidR="006771CE" w:rsidRPr="00B05459">
        <w:t xml:space="preserve">tildelinger i 2023 reddet. Dette skjedde etter press fra blant andre Akademikerne </w:t>
      </w:r>
      <w:r w:rsidR="003832B1">
        <w:t>overfor regjering og departement</w:t>
      </w:r>
      <w:r w:rsidR="006771CE" w:rsidRPr="00B05459">
        <w:t>, i budsjetthøringer på Stortinget og i medi</w:t>
      </w:r>
      <w:r w:rsidR="003832B1">
        <w:t>a</w:t>
      </w:r>
      <w:r w:rsidR="00D5307F">
        <w:t>.</w:t>
      </w:r>
      <w:r w:rsidR="00394CAD">
        <w:t xml:space="preserve"> </w:t>
      </w:r>
      <w:r w:rsidR="00AE659B">
        <w:t xml:space="preserve">Tema har også vært tatt opp på Akademikernes høstkonferanse og </w:t>
      </w:r>
      <w:proofErr w:type="spellStart"/>
      <w:r w:rsidR="00AE659B">
        <w:t>Arendalsuka</w:t>
      </w:r>
      <w:proofErr w:type="spellEnd"/>
      <w:r w:rsidR="00AE659B">
        <w:t xml:space="preserve"> 2023 og 2024.</w:t>
      </w:r>
    </w:p>
    <w:p w14:paraId="1B87C776" w14:textId="39681C77" w:rsidR="00720944" w:rsidRDefault="008A242D" w:rsidP="00720944">
      <w:pPr>
        <w:pStyle w:val="Overskrift2"/>
      </w:pPr>
      <w:bookmarkStart w:id="15" w:name="_Toc176264505"/>
      <w:r>
        <w:t>1.</w:t>
      </w:r>
      <w:r w:rsidR="00E67ABA">
        <w:t>5</w:t>
      </w:r>
      <w:r w:rsidR="00E37790">
        <w:t xml:space="preserve"> </w:t>
      </w:r>
      <w:r w:rsidR="00720944">
        <w:t>Rapporter og undersøkelser</w:t>
      </w:r>
      <w:bookmarkEnd w:id="15"/>
    </w:p>
    <w:p w14:paraId="519404CF" w14:textId="600D23CF" w:rsidR="00551871" w:rsidRDefault="00720944" w:rsidP="006738FE">
      <w:r>
        <w:t>Akademikerne skal fremme kunnskapsbasert politikk og løsninger. Det prioriteres derfor å sette ut oppdrag eksternt på områder hvor kunnskapsgrunnlaget må styrkes.</w:t>
      </w:r>
      <w:r w:rsidR="004E5132">
        <w:t xml:space="preserve"> Det inkluderer også </w:t>
      </w:r>
      <w:r w:rsidR="004E5132">
        <w:lastRenderedPageBreak/>
        <w:t>juridiske vurderinger.</w:t>
      </w:r>
      <w:r>
        <w:t xml:space="preserve"> </w:t>
      </w:r>
      <w:r w:rsidR="003B340B">
        <w:t xml:space="preserve">I 2023 gjennomførte Menon </w:t>
      </w:r>
      <w:proofErr w:type="spellStart"/>
      <w:r w:rsidR="003B340B">
        <w:t>Economics</w:t>
      </w:r>
      <w:proofErr w:type="spellEnd"/>
      <w:r w:rsidR="003B340B">
        <w:t xml:space="preserve"> </w:t>
      </w:r>
      <w:r w:rsidR="003410A5">
        <w:t xml:space="preserve">på oppdrag fra Akademikerne en </w:t>
      </w:r>
      <w:r w:rsidR="003B340B">
        <w:t>kartl</w:t>
      </w:r>
      <w:r w:rsidR="003410A5">
        <w:t>egging</w:t>
      </w:r>
      <w:r w:rsidR="003B340B">
        <w:t xml:space="preserve"> </w:t>
      </w:r>
      <w:r w:rsidR="00645CD6">
        <w:t xml:space="preserve">av </w:t>
      </w:r>
      <w:r w:rsidR="003B340B">
        <w:t xml:space="preserve">omfanget av rådgivernæringen i Norge og </w:t>
      </w:r>
      <w:r w:rsidR="0010518A">
        <w:t>en vurdering av</w:t>
      </w:r>
      <w:r w:rsidR="003B340B">
        <w:t xml:space="preserve"> mulige konsekvenser av endringene i arbeidsmiljøloven knyttet til </w:t>
      </w:r>
      <w:proofErr w:type="gramStart"/>
      <w:r w:rsidR="003B340B">
        <w:t>innleie</w:t>
      </w:r>
      <w:proofErr w:type="gramEnd"/>
      <w:r w:rsidR="003B340B">
        <w:t xml:space="preserve"> av arbeidskraft </w:t>
      </w:r>
      <w:r w:rsidR="001D5A3D">
        <w:t>(</w:t>
      </w:r>
      <w:hyperlink r:id="rId12">
        <w:r w:rsidR="00797A23" w:rsidRPr="10D03567">
          <w:rPr>
            <w:color w:val="0000FF"/>
            <w:u w:val="single"/>
          </w:rPr>
          <w:t>Oppdragsformer i rådgivernæringen - Menon Economcs</w:t>
        </w:r>
      </w:hyperlink>
      <w:r w:rsidR="001D5A3D" w:rsidRPr="10D03567">
        <w:rPr>
          <w:color w:val="0000FF"/>
          <w:u w:val="single"/>
        </w:rPr>
        <w:t>)</w:t>
      </w:r>
      <w:r w:rsidR="00C06907">
        <w:t>. Menon har videre på oppdrag fra Akademikerne kartlagt attraktiviteten av kommunale og fylkeskommunale fagmiljøer i Norge</w:t>
      </w:r>
      <w:r w:rsidR="00697EE3">
        <w:t xml:space="preserve"> </w:t>
      </w:r>
      <w:r w:rsidR="001D5A3D">
        <w:t>(</w:t>
      </w:r>
      <w:hyperlink r:id="rId13">
        <w:r w:rsidR="00697EE3" w:rsidRPr="10D03567">
          <w:rPr>
            <w:color w:val="0000FF"/>
            <w:u w:val="single"/>
          </w:rPr>
          <w:t>Menon-rapport-Størrelse-teller.pdf (akademikerne.s3.amazonaws.com)</w:t>
        </w:r>
      </w:hyperlink>
      <w:r w:rsidR="00C06907">
        <w:t>.</w:t>
      </w:r>
      <w:r w:rsidR="006179F3">
        <w:t xml:space="preserve"> </w:t>
      </w:r>
      <w:r w:rsidR="00E356EB">
        <w:t xml:space="preserve">Akademikerne har </w:t>
      </w:r>
      <w:r w:rsidR="0010518A">
        <w:t xml:space="preserve">også </w:t>
      </w:r>
      <w:r w:rsidR="00E356EB">
        <w:t xml:space="preserve">fått utarbeidet en rapport </w:t>
      </w:r>
      <w:r w:rsidR="00F07D13">
        <w:t xml:space="preserve">med analyse av </w:t>
      </w:r>
      <w:r w:rsidR="00E356EB">
        <w:t>om studiestøttens kjøpekraft</w:t>
      </w:r>
      <w:r w:rsidR="00F07D13">
        <w:t xml:space="preserve"> over tid</w:t>
      </w:r>
      <w:r w:rsidR="00E356EB">
        <w:t xml:space="preserve">. Analysen ble </w:t>
      </w:r>
      <w:r w:rsidR="00F07D13">
        <w:t xml:space="preserve">utført </w:t>
      </w:r>
      <w:r w:rsidR="00E356EB">
        <w:t>av Samfunnsøkonomisk analyse</w:t>
      </w:r>
      <w:r w:rsidR="001D5A3D">
        <w:t xml:space="preserve"> (</w:t>
      </w:r>
      <w:hyperlink r:id="rId14">
        <w:r w:rsidR="001D5A3D" w:rsidRPr="10D03567">
          <w:rPr>
            <w:rStyle w:val="Hyperkobling"/>
          </w:rPr>
          <w:t>https://www.samfunnsokonomisk-analyse.no/nye-prosjekter/2024/4/10/studiestttens-kjpekraft</w:t>
        </w:r>
      </w:hyperlink>
      <w:r w:rsidR="001D5A3D">
        <w:t>).</w:t>
      </w:r>
      <w:r w:rsidR="00B708CD">
        <w:t xml:space="preserve"> </w:t>
      </w:r>
      <w:r w:rsidR="00014C33">
        <w:t>Høsten 2024</w:t>
      </w:r>
      <w:r w:rsidR="00551871">
        <w:t xml:space="preserve"> </w:t>
      </w:r>
      <w:r w:rsidR="00AB3535">
        <w:t>ble det satt i gang et arbeid med</w:t>
      </w:r>
      <w:r w:rsidR="00551871">
        <w:t xml:space="preserve"> å etablere </w:t>
      </w:r>
      <w:r w:rsidR="00C65CE2">
        <w:t xml:space="preserve">prosjekt knyttet til </w:t>
      </w:r>
      <w:r w:rsidR="00551871">
        <w:t xml:space="preserve">norske kunnskapsorganisasjoners samspill med KI. </w:t>
      </w:r>
      <w:r w:rsidR="00AB3535">
        <w:t xml:space="preserve">Oppdraget er gitt til </w:t>
      </w:r>
      <w:r w:rsidR="13B3A37D">
        <w:t>SINTEF.</w:t>
      </w:r>
      <w:r w:rsidR="00C65CE2">
        <w:t xml:space="preserve"> </w:t>
      </w:r>
    </w:p>
    <w:p w14:paraId="21AD8EFA" w14:textId="0E8CEF9F" w:rsidR="00AA1757" w:rsidRDefault="00AA1757" w:rsidP="006738FE">
      <w:r>
        <w:t xml:space="preserve">Akademikerne har i perioden </w:t>
      </w:r>
      <w:r w:rsidR="007F54F0">
        <w:t xml:space="preserve">fått gjort </w:t>
      </w:r>
      <w:r w:rsidR="06E56D58">
        <w:t xml:space="preserve">to </w:t>
      </w:r>
      <w:r w:rsidR="007F54F0">
        <w:t xml:space="preserve">juridisk </w:t>
      </w:r>
      <w:r w:rsidR="00076EF2" w:rsidRPr="00076EF2">
        <w:t xml:space="preserve">utredninger om hjemmekontor utenlands (skatt og yrkesskade mv) </w:t>
      </w:r>
      <w:r w:rsidR="00061BFB">
        <w:t>og</w:t>
      </w:r>
      <w:r w:rsidR="00076EF2" w:rsidRPr="00076EF2">
        <w:t xml:space="preserve"> presenterte </w:t>
      </w:r>
      <w:r w:rsidR="003307AE">
        <w:t>disse for foreningene</w:t>
      </w:r>
      <w:r w:rsidR="00061BFB">
        <w:t xml:space="preserve">. </w:t>
      </w:r>
    </w:p>
    <w:p w14:paraId="42FBB6EF" w14:textId="377BEB9E" w:rsidR="00720944" w:rsidRDefault="00720944" w:rsidP="006738FE">
      <w:r>
        <w:t xml:space="preserve">I tillegg </w:t>
      </w:r>
      <w:r w:rsidR="0065173D">
        <w:t xml:space="preserve">til eksterne oppdrag </w:t>
      </w:r>
      <w:r>
        <w:t>gjennomføres ulike spørreundersøkelser i egen regi.</w:t>
      </w:r>
      <w:r w:rsidR="00467EF9">
        <w:t xml:space="preserve"> </w:t>
      </w:r>
      <w:r>
        <w:t xml:space="preserve"> </w:t>
      </w:r>
      <w:r w:rsidR="006738FE">
        <w:t xml:space="preserve">Akademikerne har etablert et akademikerpanel i samarbeid med Respons analyse. Panelet består av et utvalg personer med høyere utdanning, drøye </w:t>
      </w:r>
      <w:r w:rsidR="00860DA6">
        <w:t>1</w:t>
      </w:r>
      <w:r w:rsidR="006738FE">
        <w:t>000 respondenter</w:t>
      </w:r>
      <w:r w:rsidR="00471010">
        <w:t xml:space="preserve"> og </w:t>
      </w:r>
      <w:r w:rsidR="006E19DB">
        <w:t xml:space="preserve">gir oppdatert </w:t>
      </w:r>
      <w:r w:rsidR="006738FE">
        <w:t>kunnskap om de til enhver tid viktigste politiske spørsmålene for Akademikerne</w:t>
      </w:r>
      <w:r w:rsidR="006E19DB">
        <w:t xml:space="preserve">. </w:t>
      </w:r>
    </w:p>
    <w:p w14:paraId="44522DCA" w14:textId="55E168CC" w:rsidR="00426CBF" w:rsidRDefault="00426CBF" w:rsidP="006738FE">
      <w:r w:rsidRPr="00426CBF">
        <w:t>Kunnskaps</w:t>
      </w:r>
      <w:r>
        <w:t>grunnlaget</w:t>
      </w:r>
      <w:r w:rsidRPr="00426CBF">
        <w:t xml:space="preserve"> benyttes til politikkutvikling, presenteres på konferanser og seminarer der det er relevant, og danner utgangspunkt for medieoppslag.</w:t>
      </w:r>
    </w:p>
    <w:p w14:paraId="2F0EF80B" w14:textId="580EC266" w:rsidR="008A242D" w:rsidRDefault="008A242D" w:rsidP="008A242D">
      <w:pPr>
        <w:pStyle w:val="Overskrift2"/>
      </w:pPr>
      <w:bookmarkStart w:id="16" w:name="_Toc176264506"/>
      <w:r>
        <w:t>1.</w:t>
      </w:r>
      <w:r w:rsidR="00E67ABA">
        <w:t>6</w:t>
      </w:r>
      <w:r w:rsidRPr="008A242D">
        <w:t xml:space="preserve"> </w:t>
      </w:r>
      <w:r>
        <w:t>Akademikerprisen</w:t>
      </w:r>
      <w:bookmarkEnd w:id="16"/>
    </w:p>
    <w:p w14:paraId="68233323" w14:textId="631FF9F8" w:rsidR="007E1DE6" w:rsidRDefault="008A242D" w:rsidP="164D3C38">
      <w:pPr>
        <w:rPr>
          <w:rFonts w:eastAsia="Calibri"/>
        </w:rPr>
      </w:pPr>
      <w:r w:rsidRPr="00ED6220">
        <w:t xml:space="preserve">Akademikerprisen deles </w:t>
      </w:r>
      <w:r>
        <w:t xml:space="preserve">ut </w:t>
      </w:r>
      <w:r w:rsidRPr="00ED6220">
        <w:t xml:space="preserve">årlig </w:t>
      </w:r>
      <w:r w:rsidR="0065552B" w:rsidRPr="164D3C38">
        <w:rPr>
          <w:rFonts w:eastAsia="Calibri"/>
        </w:rPr>
        <w:t>under</w:t>
      </w:r>
      <w:r w:rsidRPr="006B654E">
        <w:rPr>
          <w:rFonts w:eastAsia="Calibri"/>
        </w:rPr>
        <w:t xml:space="preserve"> Akademikernes høstkonferanse. </w:t>
      </w:r>
      <w:r w:rsidR="5B0B40E1" w:rsidRPr="006B654E">
        <w:rPr>
          <w:rFonts w:eastAsia="Calibri"/>
        </w:rPr>
        <w:t>I 202</w:t>
      </w:r>
      <w:r w:rsidR="00482EDC">
        <w:rPr>
          <w:rFonts w:eastAsia="Calibri"/>
        </w:rPr>
        <w:t>3</w:t>
      </w:r>
      <w:r w:rsidR="5B0B40E1" w:rsidRPr="006B654E">
        <w:rPr>
          <w:rFonts w:eastAsia="Calibri"/>
        </w:rPr>
        <w:t xml:space="preserve"> ble den tildelt </w:t>
      </w:r>
      <w:r w:rsidR="00005869" w:rsidRPr="00005869">
        <w:rPr>
          <w:rFonts w:eastAsia="Calibri"/>
        </w:rPr>
        <w:t>professor Anne Sverdrup-Thygeson ved NMBU</w:t>
      </w:r>
      <w:r w:rsidR="00005869">
        <w:rPr>
          <w:rFonts w:eastAsia="Calibri"/>
        </w:rPr>
        <w:t>. Hun har</w:t>
      </w:r>
      <w:r w:rsidR="007E1DE6" w:rsidRPr="007E1DE6">
        <w:rPr>
          <w:rFonts w:eastAsia="Calibri"/>
        </w:rPr>
        <w:t xml:space="preserve"> utmerke</w:t>
      </w:r>
      <w:r w:rsidR="00005869">
        <w:rPr>
          <w:rFonts w:eastAsia="Calibri"/>
        </w:rPr>
        <w:t>t</w:t>
      </w:r>
      <w:r w:rsidR="007E1DE6" w:rsidRPr="007E1DE6">
        <w:rPr>
          <w:rFonts w:eastAsia="Calibri"/>
        </w:rPr>
        <w:t xml:space="preserve"> seg både med en omfattende forskning og vitenskapelig produksjon, og en bred formidling i samfunnet. Hun har i Norge tatt rollen som en sentral formidler av hvordan artsmangfold og bærekraft henger sammen</w:t>
      </w:r>
      <w:r w:rsidR="00005869">
        <w:rPr>
          <w:rFonts w:eastAsia="Calibri"/>
        </w:rPr>
        <w:t>.</w:t>
      </w:r>
    </w:p>
    <w:p w14:paraId="201A4A35" w14:textId="3BCEC757" w:rsidR="5B0B40E1" w:rsidRPr="0089459D" w:rsidRDefault="5B0B40E1" w:rsidP="10D03567">
      <w:pPr>
        <w:rPr>
          <w:rFonts w:eastAsiaTheme="minorEastAsia"/>
        </w:rPr>
      </w:pPr>
      <w:r w:rsidRPr="0089459D">
        <w:rPr>
          <w:rFonts w:eastAsiaTheme="minorEastAsia"/>
        </w:rPr>
        <w:t>I</w:t>
      </w:r>
      <w:r w:rsidRPr="0089459D">
        <w:rPr>
          <w:rFonts w:eastAsiaTheme="minorEastAsia"/>
          <w:color w:val="211D1E"/>
        </w:rPr>
        <w:t xml:space="preserve"> 202</w:t>
      </w:r>
      <w:r w:rsidR="00482EDC" w:rsidRPr="0089459D">
        <w:rPr>
          <w:rFonts w:eastAsiaTheme="minorEastAsia"/>
          <w:color w:val="211D1E"/>
        </w:rPr>
        <w:t>4</w:t>
      </w:r>
      <w:r w:rsidRPr="0089459D">
        <w:rPr>
          <w:rFonts w:eastAsiaTheme="minorEastAsia"/>
          <w:color w:val="211D1E"/>
        </w:rPr>
        <w:t xml:space="preserve"> </w:t>
      </w:r>
      <w:r w:rsidR="005A3A60" w:rsidRPr="0089459D">
        <w:rPr>
          <w:rFonts w:eastAsiaTheme="minorEastAsia"/>
          <w:color w:val="211D1E"/>
        </w:rPr>
        <w:t>er</w:t>
      </w:r>
      <w:r w:rsidRPr="0089459D">
        <w:rPr>
          <w:rFonts w:eastAsiaTheme="minorEastAsia"/>
          <w:color w:val="211D1E"/>
        </w:rPr>
        <w:t xml:space="preserve"> vinneren </w:t>
      </w:r>
      <w:r w:rsidR="34B8EFD0" w:rsidRPr="0089459D">
        <w:rPr>
          <w:rFonts w:eastAsiaTheme="minorEastAsia"/>
          <w:color w:val="211D1E"/>
        </w:rPr>
        <w:t xml:space="preserve">Steinar Holden, </w:t>
      </w:r>
      <w:r w:rsidR="34B8EFD0" w:rsidRPr="0089459D">
        <w:rPr>
          <w:rFonts w:eastAsiaTheme="minorEastAsia"/>
          <w:color w:val="474747"/>
          <w:sz w:val="21"/>
          <w:szCs w:val="21"/>
        </w:rPr>
        <w:t>professor ved Økonomisk institutt ved Universitetet i Oslo.</w:t>
      </w:r>
      <w:r w:rsidR="429159F9" w:rsidRPr="0089459D">
        <w:rPr>
          <w:rFonts w:eastAsiaTheme="minorEastAsia"/>
          <w:color w:val="474747"/>
          <w:sz w:val="21"/>
          <w:szCs w:val="21"/>
        </w:rPr>
        <w:t xml:space="preserve"> </w:t>
      </w:r>
      <w:r w:rsidR="429159F9" w:rsidRPr="0089459D">
        <w:rPr>
          <w:rFonts w:eastAsiaTheme="minorEastAsia"/>
        </w:rPr>
        <w:t xml:space="preserve">Prisvinners viktigste arbeidsfelt er innen lønnsfastsettelse, penge- og finanspolitikk, makroøkonomi og arbeidsmarked. Holden </w:t>
      </w:r>
      <w:r w:rsidR="5C88AB2F" w:rsidRPr="0089459D">
        <w:rPr>
          <w:rFonts w:eastAsiaTheme="minorEastAsia"/>
        </w:rPr>
        <w:t xml:space="preserve">er en anerkjent forsker, </w:t>
      </w:r>
      <w:r w:rsidR="7F1671A2" w:rsidRPr="0089459D">
        <w:rPr>
          <w:rFonts w:eastAsiaTheme="minorEastAsia"/>
        </w:rPr>
        <w:t xml:space="preserve">en sterk </w:t>
      </w:r>
      <w:r w:rsidR="5C88AB2F" w:rsidRPr="0089459D">
        <w:rPr>
          <w:rFonts w:eastAsiaTheme="minorEastAsia"/>
        </w:rPr>
        <w:t xml:space="preserve">formidler </w:t>
      </w:r>
      <w:r w:rsidR="15FF6C2F" w:rsidRPr="0089459D">
        <w:rPr>
          <w:rFonts w:eastAsiaTheme="minorEastAsia"/>
        </w:rPr>
        <w:t xml:space="preserve">på ulike arenaer, </w:t>
      </w:r>
      <w:r w:rsidR="5C88AB2F" w:rsidRPr="0089459D">
        <w:rPr>
          <w:rFonts w:eastAsiaTheme="minorEastAsia"/>
        </w:rPr>
        <w:t xml:space="preserve">og </w:t>
      </w:r>
      <w:r w:rsidR="31DB69B5" w:rsidRPr="0089459D">
        <w:rPr>
          <w:rFonts w:eastAsiaTheme="minorEastAsia"/>
        </w:rPr>
        <w:t xml:space="preserve">har vært utvalgsleder for en rekke offentlige utredninger. </w:t>
      </w:r>
    </w:p>
    <w:p w14:paraId="4795AD37" w14:textId="34587FCC" w:rsidR="008A242D" w:rsidRDefault="00C5113F" w:rsidP="006B654E">
      <w:pPr>
        <w:spacing w:line="257" w:lineRule="auto"/>
        <w:rPr>
          <w:rFonts w:eastAsia="Calibri" w:cstheme="minorHAnsi"/>
        </w:rPr>
      </w:pPr>
      <w:r>
        <w:rPr>
          <w:rFonts w:eastAsia="Calibri" w:cstheme="minorHAnsi"/>
        </w:rPr>
        <w:t>Akademiker</w:t>
      </w:r>
      <w:r w:rsidR="5B0B40E1" w:rsidRPr="006B654E">
        <w:rPr>
          <w:rFonts w:eastAsia="Calibri" w:cstheme="minorHAnsi"/>
        </w:rPr>
        <w:t xml:space="preserve">prisen </w:t>
      </w:r>
      <w:r>
        <w:rPr>
          <w:rFonts w:eastAsia="Calibri" w:cstheme="minorHAnsi"/>
        </w:rPr>
        <w:t xml:space="preserve">gis til akademikere som har </w:t>
      </w:r>
      <w:r w:rsidRPr="00181E51">
        <w:t>utmerket seg med sin forskning, kunnskapsformidling eller bidrag til akademisk frihet.</w:t>
      </w:r>
      <w:r>
        <w:t xml:space="preserve"> </w:t>
      </w:r>
      <w:r w:rsidR="000E41AB">
        <w:rPr>
          <w:rFonts w:eastAsia="Calibri" w:cstheme="minorHAnsi"/>
        </w:rPr>
        <w:t xml:space="preserve">Prisen </w:t>
      </w:r>
      <w:r w:rsidR="007721E8">
        <w:rPr>
          <w:rFonts w:eastAsia="Calibri" w:cstheme="minorHAnsi"/>
        </w:rPr>
        <w:t xml:space="preserve">er blitt godt kjent og </w:t>
      </w:r>
      <w:r w:rsidR="00005869">
        <w:rPr>
          <w:rFonts w:eastAsia="Calibri" w:cstheme="minorHAnsi"/>
        </w:rPr>
        <w:t>bidrar</w:t>
      </w:r>
      <w:r w:rsidR="5B0B40E1" w:rsidRPr="006B654E">
        <w:rPr>
          <w:rFonts w:eastAsia="Calibri" w:cstheme="minorHAnsi"/>
        </w:rPr>
        <w:t xml:space="preserve"> bygge opp Akademikernes identitet og synlighet</w:t>
      </w:r>
      <w:r>
        <w:rPr>
          <w:rFonts w:eastAsia="Calibri" w:cstheme="minorHAnsi"/>
        </w:rPr>
        <w:t>.</w:t>
      </w:r>
    </w:p>
    <w:p w14:paraId="11DDD0C8" w14:textId="77777777" w:rsidR="00157A5B" w:rsidRPr="00ED6220" w:rsidRDefault="00157A5B" w:rsidP="006B654E">
      <w:pPr>
        <w:spacing w:line="257" w:lineRule="auto"/>
        <w:rPr>
          <w:rFonts w:ascii="Calibri" w:eastAsia="Calibri" w:hAnsi="Calibri" w:cs="Calibri"/>
        </w:rPr>
      </w:pPr>
    </w:p>
    <w:p w14:paraId="65CA7363" w14:textId="75D95E48" w:rsidR="00736E8E" w:rsidRDefault="37E23E58" w:rsidP="00157A5B">
      <w:pPr>
        <w:pStyle w:val="Overskrift1"/>
      </w:pPr>
      <w:r>
        <w:lastRenderedPageBreak/>
        <w:t xml:space="preserve"> </w:t>
      </w:r>
      <w:bookmarkStart w:id="17" w:name="_Toc176264507"/>
      <w:r w:rsidR="00175A7E">
        <w:t xml:space="preserve">2. </w:t>
      </w:r>
      <w:r w:rsidR="00736E8E">
        <w:t>Lønn og tariff</w:t>
      </w:r>
      <w:bookmarkEnd w:id="17"/>
    </w:p>
    <w:p w14:paraId="7E1C1425" w14:textId="3B81B325" w:rsidR="002D2994" w:rsidRPr="00B655C6" w:rsidRDefault="002D2994" w:rsidP="002D2994">
      <w:pPr>
        <w:pStyle w:val="Overskrift2"/>
      </w:pPr>
      <w:bookmarkStart w:id="18" w:name="_Toc176264508"/>
      <w:r>
        <w:t>2.1 Saker som særlig har preget tariffpolitikken i perioden</w:t>
      </w:r>
      <w:bookmarkEnd w:id="18"/>
      <w:r>
        <w:t xml:space="preserve"> </w:t>
      </w:r>
    </w:p>
    <w:p w14:paraId="5E3C68B4" w14:textId="0C27CAB4" w:rsidR="002D2994" w:rsidRPr="006F2CBC" w:rsidRDefault="002D2994" w:rsidP="006F2CBC">
      <w:pPr>
        <w:rPr>
          <w:b/>
          <w:bCs/>
        </w:rPr>
      </w:pPr>
      <w:r w:rsidRPr="006F2CBC">
        <w:rPr>
          <w:b/>
          <w:bCs/>
        </w:rPr>
        <w:t xml:space="preserve">Offentlig tjenestepensjon </w:t>
      </w:r>
      <w:r w:rsidR="3243D802" w:rsidRPr="006F2CBC">
        <w:rPr>
          <w:b/>
          <w:bCs/>
        </w:rPr>
        <w:t>(OFTP)</w:t>
      </w:r>
    </w:p>
    <w:p w14:paraId="0F8DDE30" w14:textId="7A608489" w:rsidR="002D2994" w:rsidRDefault="002D2994" w:rsidP="00B84341">
      <w:pPr>
        <w:rPr>
          <w:rFonts w:eastAsia="Times New Roman"/>
        </w:rPr>
      </w:pPr>
      <w:r w:rsidRPr="73E0304A">
        <w:rPr>
          <w:rFonts w:eastAsia="Times New Roman"/>
        </w:rPr>
        <w:t xml:space="preserve">Partene i offentlig sektor forhandlet i 2018 frem en ny pensjonsløsning med tilhørende overgangsordninger. Premissene for utforming av ny pensjonsløsning </w:t>
      </w:r>
      <w:proofErr w:type="gramStart"/>
      <w:r w:rsidRPr="73E0304A">
        <w:rPr>
          <w:rFonts w:eastAsia="Times New Roman"/>
        </w:rPr>
        <w:t>fremgår</w:t>
      </w:r>
      <w:proofErr w:type="gramEnd"/>
      <w:r w:rsidRPr="73E0304A">
        <w:rPr>
          <w:rFonts w:eastAsia="Times New Roman"/>
        </w:rPr>
        <w:t xml:space="preserve"> av avtale av 3. mars 2018 inngått mellom Arbeids- og sosialdepartementet, KS, Spekter, Akademikerne, LO, </w:t>
      </w:r>
      <w:proofErr w:type="spellStart"/>
      <w:r w:rsidRPr="73E0304A">
        <w:rPr>
          <w:rFonts w:eastAsia="Times New Roman"/>
        </w:rPr>
        <w:t>Unio</w:t>
      </w:r>
      <w:proofErr w:type="spellEnd"/>
      <w:r w:rsidRPr="73E0304A">
        <w:rPr>
          <w:rFonts w:eastAsia="Times New Roman"/>
        </w:rPr>
        <w:t xml:space="preserve"> og YS.</w:t>
      </w:r>
      <w:r w:rsidR="001728A3" w:rsidRPr="73E0304A">
        <w:rPr>
          <w:rFonts w:eastAsia="Times New Roman"/>
        </w:rPr>
        <w:t xml:space="preserve"> </w:t>
      </w:r>
      <w:r w:rsidRPr="73E0304A">
        <w:rPr>
          <w:rFonts w:eastAsia="Times New Roman"/>
        </w:rPr>
        <w:t xml:space="preserve">I </w:t>
      </w:r>
      <w:r w:rsidR="19794C9A" w:rsidRPr="73E0304A">
        <w:rPr>
          <w:rFonts w:eastAsia="Times New Roman"/>
        </w:rPr>
        <w:t>mars 2022</w:t>
      </w:r>
      <w:r w:rsidRPr="73E0304A">
        <w:rPr>
          <w:rFonts w:eastAsia="Times New Roman"/>
        </w:rPr>
        <w:t xml:space="preserve"> startet dialogen mellom staten og partene i arbeidslivet opp igjen</w:t>
      </w:r>
      <w:r w:rsidR="001728A3" w:rsidRPr="73E0304A">
        <w:rPr>
          <w:rFonts w:eastAsia="Times New Roman"/>
        </w:rPr>
        <w:t xml:space="preserve"> for å følge opp</w:t>
      </w:r>
      <w:r w:rsidRPr="73E0304A">
        <w:rPr>
          <w:rFonts w:eastAsia="Times New Roman"/>
        </w:rPr>
        <w:t xml:space="preserve"> gjenstående temaer. Dette dreier seg om AFP-ordningen i offentlig sektor, samt tilpasninger i </w:t>
      </w:r>
      <w:proofErr w:type="spellStart"/>
      <w:r w:rsidRPr="73E0304A">
        <w:rPr>
          <w:rFonts w:eastAsia="Times New Roman"/>
        </w:rPr>
        <w:t>oftp</w:t>
      </w:r>
      <w:proofErr w:type="spellEnd"/>
      <w:r w:rsidRPr="73E0304A">
        <w:rPr>
          <w:rFonts w:eastAsia="Times New Roman"/>
        </w:rPr>
        <w:t xml:space="preserve"> for personer født i 1963 eller senere og som har særaldersgrense.</w:t>
      </w:r>
      <w:r w:rsidR="590940DD" w:rsidRPr="73E0304A">
        <w:rPr>
          <w:rFonts w:eastAsia="Times New Roman"/>
        </w:rPr>
        <w:t xml:space="preserve"> Dialogen med partene foregikk frem til avtale om tilpasninger </w:t>
      </w:r>
      <w:r w:rsidR="063C6107" w:rsidRPr="73E0304A">
        <w:rPr>
          <w:rFonts w:eastAsia="Times New Roman"/>
        </w:rPr>
        <w:t xml:space="preserve">ble ferdigforhandlet og </w:t>
      </w:r>
      <w:r w:rsidR="590940DD" w:rsidRPr="73E0304A">
        <w:rPr>
          <w:rFonts w:eastAsia="Times New Roman"/>
        </w:rPr>
        <w:t xml:space="preserve">signert av partene 25. </w:t>
      </w:r>
      <w:r w:rsidR="357C7A20" w:rsidRPr="73E0304A">
        <w:rPr>
          <w:rFonts w:eastAsia="Times New Roman"/>
        </w:rPr>
        <w:t>A</w:t>
      </w:r>
      <w:r w:rsidR="590940DD" w:rsidRPr="73E0304A">
        <w:rPr>
          <w:rFonts w:eastAsia="Times New Roman"/>
        </w:rPr>
        <w:t>ugust</w:t>
      </w:r>
      <w:r w:rsidR="00E67367">
        <w:rPr>
          <w:rFonts w:eastAsia="Times New Roman"/>
        </w:rPr>
        <w:t xml:space="preserve"> </w:t>
      </w:r>
      <w:r w:rsidR="357C7A20" w:rsidRPr="73E0304A">
        <w:rPr>
          <w:rFonts w:eastAsia="Times New Roman"/>
        </w:rPr>
        <w:t xml:space="preserve">2023.  </w:t>
      </w:r>
    </w:p>
    <w:p w14:paraId="50918C56" w14:textId="27FC4E4C" w:rsidR="002D2994" w:rsidRPr="00D05F19" w:rsidRDefault="00B0722B" w:rsidP="00D05F19">
      <w:pPr>
        <w:rPr>
          <w:rFonts w:eastAsia="Times New Roman"/>
          <w:b/>
          <w:bCs/>
        </w:rPr>
      </w:pPr>
      <w:r w:rsidRPr="00D05F19">
        <w:rPr>
          <w:rFonts w:eastAsia="Times New Roman"/>
          <w:b/>
          <w:bCs/>
        </w:rPr>
        <w:t>S</w:t>
      </w:r>
      <w:r w:rsidR="002D2994" w:rsidRPr="00D05F19">
        <w:rPr>
          <w:rFonts w:eastAsia="Times New Roman"/>
          <w:b/>
          <w:bCs/>
        </w:rPr>
        <w:t>æraldersgrenser</w:t>
      </w:r>
    </w:p>
    <w:p w14:paraId="145EBDF1" w14:textId="149CD2C1" w:rsidR="002D2994" w:rsidRDefault="6A930C72" w:rsidP="00B84341">
      <w:pPr>
        <w:rPr>
          <w:rFonts w:eastAsia="Times New Roman"/>
        </w:rPr>
      </w:pPr>
      <w:r w:rsidRPr="73E0304A">
        <w:rPr>
          <w:rFonts w:eastAsia="Times New Roman"/>
        </w:rPr>
        <w:t xml:space="preserve">Arbeids- og inkluderingsdepartementet ønsket å </w:t>
      </w:r>
      <w:r w:rsidR="002D2994" w:rsidRPr="73E0304A">
        <w:rPr>
          <w:rFonts w:eastAsia="Times New Roman"/>
        </w:rPr>
        <w:t xml:space="preserve">se regelverket for pensjon for ansatte med særaldersgrenser i sammenheng med spørsmålet om hvilke yrkesgrupper som skal omfattes av særaldersgrenser. Dette har samtlige parter på arbeidstakersiden uttrykt skepsis mot, og viser til avtalen fra 2018 som sier at regelverket for beregning av pensjon skal på plass før videre dialog om omfanget av særaldersgrensene. </w:t>
      </w:r>
      <w:r w:rsidR="00F541F9" w:rsidRPr="73E0304A">
        <w:rPr>
          <w:rFonts w:eastAsia="Times New Roman"/>
        </w:rPr>
        <w:t>A</w:t>
      </w:r>
      <w:r w:rsidR="002D2994" w:rsidRPr="73E0304A">
        <w:rPr>
          <w:rFonts w:eastAsia="Times New Roman"/>
        </w:rPr>
        <w:t xml:space="preserve">rbeidet med regelverket </w:t>
      </w:r>
      <w:r w:rsidR="2C563CFC" w:rsidRPr="73E0304A">
        <w:rPr>
          <w:rFonts w:eastAsia="Times New Roman"/>
        </w:rPr>
        <w:t xml:space="preserve">ble ferdigforhandlet 25. </w:t>
      </w:r>
      <w:r w:rsidR="00DB5D43">
        <w:rPr>
          <w:rFonts w:eastAsia="Times New Roman"/>
        </w:rPr>
        <w:t>a</w:t>
      </w:r>
      <w:r w:rsidR="2C563CFC" w:rsidRPr="73E0304A">
        <w:rPr>
          <w:rFonts w:eastAsia="Times New Roman"/>
        </w:rPr>
        <w:t xml:space="preserve">ugust 2023. </w:t>
      </w:r>
    </w:p>
    <w:p w14:paraId="6720AAC7" w14:textId="1E8A1E69" w:rsidR="002D2994" w:rsidRDefault="2C563CFC" w:rsidP="00B84341">
      <w:pPr>
        <w:rPr>
          <w:rFonts w:eastAsia="Times New Roman"/>
        </w:rPr>
      </w:pPr>
      <w:r w:rsidRPr="73E0304A">
        <w:rPr>
          <w:rFonts w:eastAsia="Times New Roman"/>
        </w:rPr>
        <w:t xml:space="preserve">I denne avtalen </w:t>
      </w:r>
      <w:r w:rsidR="4C29F4A2" w:rsidRPr="73E0304A">
        <w:rPr>
          <w:rFonts w:eastAsia="Times New Roman"/>
        </w:rPr>
        <w:t xml:space="preserve">løste ikke partene problemstillingene knyttet til ansatte som fortsatt har pliktig fratreden (forsvarsansatte). I august-avtalen ble partene derfor enige om å gjennomføre en prosess for å avklare særregler for de som har plikt fratreden ved aldersgrensen. Denne prosessen skulle etter planen avsluttes innen 1. juli, men </w:t>
      </w:r>
      <w:r w:rsidR="2F961CCF" w:rsidRPr="73E0304A">
        <w:rPr>
          <w:rFonts w:eastAsia="Times New Roman"/>
        </w:rPr>
        <w:t>er per nå utsatt til forhandling høsten 2024</w:t>
      </w:r>
      <w:r w:rsidR="41193746" w:rsidRPr="73E0304A">
        <w:rPr>
          <w:rFonts w:eastAsia="Times New Roman"/>
        </w:rPr>
        <w:t xml:space="preserve">, og med frist 1. oktober. </w:t>
      </w:r>
    </w:p>
    <w:p w14:paraId="5313B606" w14:textId="03442E43" w:rsidR="002D2994" w:rsidRDefault="00D7590A" w:rsidP="00B84341">
      <w:pPr>
        <w:rPr>
          <w:rFonts w:eastAsia="Times New Roman"/>
        </w:rPr>
      </w:pPr>
      <w:r w:rsidRPr="73E0304A">
        <w:rPr>
          <w:rFonts w:eastAsia="Times New Roman"/>
        </w:rPr>
        <w:t>Parallelt</w:t>
      </w:r>
      <w:r w:rsidR="244B6798" w:rsidRPr="73E0304A">
        <w:rPr>
          <w:rFonts w:eastAsia="Times New Roman"/>
        </w:rPr>
        <w:t xml:space="preserve"> med forhandlinger om tilpasning av </w:t>
      </w:r>
      <w:proofErr w:type="spellStart"/>
      <w:r w:rsidR="244B6798" w:rsidRPr="73E0304A">
        <w:rPr>
          <w:rFonts w:eastAsia="Times New Roman"/>
        </w:rPr>
        <w:t>oftp</w:t>
      </w:r>
      <w:proofErr w:type="spellEnd"/>
      <w:r w:rsidR="244B6798" w:rsidRPr="73E0304A">
        <w:rPr>
          <w:rFonts w:eastAsia="Times New Roman"/>
        </w:rPr>
        <w:t xml:space="preserve"> for ansatte med særaldersgrenser, ønsket departementet å se nærmere på behovet for fremtidige </w:t>
      </w:r>
      <w:r w:rsidR="002D2994" w:rsidRPr="73E0304A">
        <w:rPr>
          <w:rFonts w:eastAsia="Times New Roman"/>
        </w:rPr>
        <w:t xml:space="preserve">særaldersgrenser. </w:t>
      </w:r>
      <w:r w:rsidR="5CB956FE" w:rsidRPr="73E0304A">
        <w:rPr>
          <w:rFonts w:eastAsia="Times New Roman"/>
        </w:rPr>
        <w:t xml:space="preserve">Departementet nedsatte en arbeidsgruppe, ledet av Pål Molander og sammensatt av </w:t>
      </w:r>
      <w:r w:rsidR="60CA54E2" w:rsidRPr="73E0304A">
        <w:rPr>
          <w:rFonts w:eastAsia="Times New Roman"/>
        </w:rPr>
        <w:t xml:space="preserve">forskere og uavhengige eksperter. Arbeidsgruppen fikk innspill fra partene i arbeidslivet fortløpende enten i møter eller skriftlig. Arbeidsgruppen leverte sin endelige rapport i juni 2023, og rapporten ligger ute på regjeringens nettsider: </w:t>
      </w:r>
      <w:hyperlink r:id="rId15" w:history="1">
        <w:r w:rsidR="548AE754" w:rsidRPr="73E0304A">
          <w:rPr>
            <w:rStyle w:val="Hyperkobling"/>
            <w:rFonts w:eastAsia="Times New Roman"/>
          </w:rPr>
          <w:t>https://www.regjeringen.no/contentassets/56f57d5936c24f56bb62ceebd250d3d0/saraldersgrenser-for-og-na-og-en-vurdering-av-det-framtidige-behovet.-arbeidsgrupperapport-juni-2023.pdf</w:t>
        </w:r>
      </w:hyperlink>
    </w:p>
    <w:p w14:paraId="363AD9D3" w14:textId="11082C59" w:rsidR="002D2994" w:rsidRPr="00D05F19" w:rsidRDefault="002D2994" w:rsidP="00D05F19">
      <w:pPr>
        <w:rPr>
          <w:rFonts w:eastAsia="Times New Roman"/>
          <w:b/>
          <w:bCs/>
        </w:rPr>
      </w:pPr>
      <w:r w:rsidRPr="00D05F19">
        <w:rPr>
          <w:rFonts w:eastAsia="Times New Roman"/>
          <w:b/>
          <w:bCs/>
        </w:rPr>
        <w:t>AFP i offentlig sektor</w:t>
      </w:r>
    </w:p>
    <w:p w14:paraId="3E4B049F" w14:textId="7627B046" w:rsidR="00D67745" w:rsidRDefault="76588F28" w:rsidP="00760017">
      <w:r w:rsidRPr="73E0304A">
        <w:rPr>
          <w:rFonts w:eastAsia="Times New Roman"/>
        </w:rPr>
        <w:lastRenderedPageBreak/>
        <w:t>Regelverket</w:t>
      </w:r>
      <w:r w:rsidR="002D2994" w:rsidRPr="73E0304A">
        <w:rPr>
          <w:rFonts w:eastAsia="Times New Roman"/>
        </w:rPr>
        <w:t xml:space="preserve"> for ny AFP i offentlig sektor </w:t>
      </w:r>
      <w:r w:rsidR="76D6CE18" w:rsidRPr="73E0304A">
        <w:rPr>
          <w:rFonts w:eastAsia="Times New Roman"/>
        </w:rPr>
        <w:t xml:space="preserve">kom på høring </w:t>
      </w:r>
      <w:r w:rsidR="364460CF" w:rsidRPr="73E0304A">
        <w:rPr>
          <w:rFonts w:eastAsia="Times New Roman"/>
        </w:rPr>
        <w:t xml:space="preserve">i november 2022. Akademikerne ga sitt høringsinnspill </w:t>
      </w:r>
      <w:r w:rsidR="199CDEF5" w:rsidRPr="73E0304A">
        <w:rPr>
          <w:rFonts w:eastAsia="Times New Roman"/>
        </w:rPr>
        <w:t xml:space="preserve">i februar 2023, </w:t>
      </w:r>
      <w:r w:rsidR="364460CF" w:rsidRPr="73E0304A">
        <w:rPr>
          <w:rFonts w:eastAsia="Times New Roman"/>
        </w:rPr>
        <w:t xml:space="preserve">sammen med </w:t>
      </w:r>
      <w:r w:rsidR="0671006A" w:rsidRPr="73E0304A">
        <w:rPr>
          <w:rFonts w:eastAsia="Times New Roman"/>
        </w:rPr>
        <w:t xml:space="preserve">LO, </w:t>
      </w:r>
      <w:proofErr w:type="spellStart"/>
      <w:r w:rsidR="0671006A" w:rsidRPr="73E0304A">
        <w:rPr>
          <w:rFonts w:eastAsia="Times New Roman"/>
        </w:rPr>
        <w:t>Unio</w:t>
      </w:r>
      <w:proofErr w:type="spellEnd"/>
      <w:r w:rsidR="0671006A" w:rsidRPr="73E0304A">
        <w:rPr>
          <w:rFonts w:eastAsia="Times New Roman"/>
        </w:rPr>
        <w:t xml:space="preserve"> og YS</w:t>
      </w:r>
      <w:r w:rsidR="3DB9EEE1" w:rsidRPr="73E0304A">
        <w:rPr>
          <w:rFonts w:eastAsia="Times New Roman"/>
        </w:rPr>
        <w:t xml:space="preserve">. </w:t>
      </w:r>
      <w:r w:rsidR="0F3638E3" w:rsidRPr="73E0304A">
        <w:rPr>
          <w:rFonts w:eastAsia="Times New Roman"/>
        </w:rPr>
        <w:t xml:space="preserve">Høringen ble fulgt opp av departementet ved en lovproposisjon til Stortinget i desember 2023. </w:t>
      </w:r>
      <w:r w:rsidR="48DCE4ED" w:rsidRPr="73E0304A">
        <w:rPr>
          <w:rFonts w:eastAsia="Times New Roman"/>
        </w:rPr>
        <w:t>Lovendringene om nye AFP-regler for medlemmer i Statens Pensjonskasse mv, ble vedtatt i Stortinget i mars 2024</w:t>
      </w:r>
      <w:r w:rsidR="2C6EC5B2" w:rsidRPr="73E0304A">
        <w:rPr>
          <w:rFonts w:eastAsia="Times New Roman"/>
        </w:rPr>
        <w:t xml:space="preserve">. Nye regler for ansatte født i 1963 eller senere, trer i kraft fra og med 1. januar 2025. </w:t>
      </w:r>
      <w:r w:rsidR="00111D93">
        <w:t xml:space="preserve">2.2 </w:t>
      </w:r>
      <w:r w:rsidR="00D67745">
        <w:t>Akademikernes utvalg og samarbeidsorgan</w:t>
      </w:r>
    </w:p>
    <w:p w14:paraId="39E4BC2D" w14:textId="4BBAFADD" w:rsidR="00637FAF" w:rsidRDefault="00637FAF" w:rsidP="00637FAF">
      <w:pPr>
        <w:pStyle w:val="Overskrift2"/>
      </w:pPr>
      <w:bookmarkStart w:id="19" w:name="_Toc176264509"/>
      <w:r>
        <w:t>2.2 Akademikernes utvalg</w:t>
      </w:r>
      <w:bookmarkEnd w:id="19"/>
      <w:r>
        <w:t xml:space="preserve"> </w:t>
      </w:r>
    </w:p>
    <w:p w14:paraId="31B60AA4" w14:textId="357A8FA0" w:rsidR="001F588A" w:rsidRPr="001B0E8A" w:rsidRDefault="001F588A" w:rsidP="00B84341">
      <w:r>
        <w:t xml:space="preserve">Akademikerne har tre forhandlingsutvalg: Akademikerne stat (statlig tariffområde), Akademikerne kommune (KS, Oslo kommune og Samfunnsbedriftene) og Akademikerne Helse (Spekter helse/helseforetakene). Forhandlingsutvalgene fremste oppgave er å gjennomføre forhandlinger om tariffavtaler knyttet til lønns- og arbeidsvilkår for medlemmene i sektorene, men tar også opp ulike </w:t>
      </w:r>
      <w:r w:rsidR="7F522BD3">
        <w:t>tariff</w:t>
      </w:r>
      <w:r>
        <w:t xml:space="preserve">politiske problemstillinger knyttet til sektorene. </w:t>
      </w:r>
    </w:p>
    <w:p w14:paraId="1CFCB829" w14:textId="51F8A97A" w:rsidR="00527C2F" w:rsidRPr="00D67745" w:rsidRDefault="00527C2F" w:rsidP="00B84341">
      <w:r w:rsidRPr="00266331">
        <w:rPr>
          <w:rFonts w:ascii="Times New Roman" w:hAnsi="Times New Roman"/>
        </w:rPr>
        <w:t>Forhandlingsutvalgene</w:t>
      </w:r>
      <w:r w:rsidR="00B05459">
        <w:rPr>
          <w:rFonts w:ascii="Times New Roman" w:hAnsi="Times New Roman"/>
        </w:rPr>
        <w:t xml:space="preserve"> </w:t>
      </w:r>
      <w:r w:rsidRPr="00266331">
        <w:rPr>
          <w:rFonts w:ascii="Times New Roman" w:hAnsi="Times New Roman"/>
        </w:rPr>
        <w:t>har hatt følgende valgte ledere og nestledere i perioden:</w:t>
      </w:r>
    </w:p>
    <w:p w14:paraId="2631AB80" w14:textId="77777777" w:rsidR="00527C2F" w:rsidRPr="00D36CA2" w:rsidRDefault="00527C2F" w:rsidP="00527C2F">
      <w:pPr>
        <w:keepNext/>
        <w:spacing w:before="180" w:after="60"/>
        <w:rPr>
          <w:rFonts w:ascii="Times New Roman" w:hAnsi="Times New Roman"/>
          <w:b/>
          <w:sz w:val="24"/>
          <w:u w:val="single"/>
        </w:rPr>
      </w:pPr>
      <w:r w:rsidRPr="00D36CA2">
        <w:rPr>
          <w:rFonts w:ascii="Times New Roman" w:hAnsi="Times New Roman"/>
          <w:b/>
          <w:sz w:val="24"/>
          <w:u w:val="single"/>
        </w:rPr>
        <w:t>Akademikerne stat</w:t>
      </w:r>
    </w:p>
    <w:p w14:paraId="5A8D2697" w14:textId="25A521F5" w:rsidR="00527C2F" w:rsidRPr="00D36CA2" w:rsidRDefault="00527C2F" w:rsidP="00527C2F">
      <w:pPr>
        <w:spacing w:after="0"/>
        <w:rPr>
          <w:rFonts w:ascii="Times New Roman" w:hAnsi="Times New Roman"/>
        </w:rPr>
      </w:pPr>
      <w:r w:rsidRPr="31CFD013">
        <w:rPr>
          <w:rFonts w:ascii="Times New Roman" w:hAnsi="Times New Roman"/>
        </w:rPr>
        <w:t xml:space="preserve">Leder Kari </w:t>
      </w:r>
      <w:r w:rsidR="63BAE88F" w:rsidRPr="31CFD013">
        <w:rPr>
          <w:rFonts w:ascii="Times New Roman" w:hAnsi="Times New Roman"/>
        </w:rPr>
        <w:t>Tønnes</w:t>
      </w:r>
      <w:r w:rsidR="4CAC0337" w:rsidRPr="31CFD013">
        <w:rPr>
          <w:rFonts w:ascii="Times New Roman" w:hAnsi="Times New Roman"/>
        </w:rPr>
        <w:t>s</w:t>
      </w:r>
      <w:r w:rsidR="63BAE88F" w:rsidRPr="31CFD013">
        <w:rPr>
          <w:rFonts w:ascii="Times New Roman" w:hAnsi="Times New Roman"/>
        </w:rPr>
        <w:t xml:space="preserve">en </w:t>
      </w:r>
      <w:r w:rsidR="69544EEA" w:rsidRPr="31CFD013">
        <w:rPr>
          <w:rFonts w:ascii="Times New Roman" w:hAnsi="Times New Roman"/>
        </w:rPr>
        <w:t>Nor</w:t>
      </w:r>
      <w:r w:rsidR="253A2509" w:rsidRPr="31CFD013">
        <w:rPr>
          <w:rFonts w:ascii="Times New Roman" w:hAnsi="Times New Roman"/>
        </w:rPr>
        <w:t>d</w:t>
      </w:r>
      <w:r w:rsidR="69544EEA" w:rsidRPr="31CFD013">
        <w:rPr>
          <w:rFonts w:ascii="Times New Roman" w:hAnsi="Times New Roman"/>
        </w:rPr>
        <w:t>li</w:t>
      </w:r>
      <w:r w:rsidRPr="31CFD013">
        <w:rPr>
          <w:rFonts w:ascii="Times New Roman" w:hAnsi="Times New Roman"/>
        </w:rPr>
        <w:t xml:space="preserve">, Tekna </w:t>
      </w:r>
    </w:p>
    <w:p w14:paraId="740E4791" w14:textId="6E2621BD" w:rsidR="00527C2F" w:rsidRPr="000B3986" w:rsidRDefault="00527C2F" w:rsidP="00527C2F">
      <w:pPr>
        <w:spacing w:after="0"/>
        <w:rPr>
          <w:rFonts w:ascii="Times New Roman" w:hAnsi="Times New Roman"/>
        </w:rPr>
      </w:pPr>
      <w:r w:rsidRPr="31CFD013">
        <w:rPr>
          <w:rFonts w:ascii="Times New Roman" w:hAnsi="Times New Roman"/>
        </w:rPr>
        <w:t xml:space="preserve">Nestleder </w:t>
      </w:r>
      <w:r w:rsidR="3D624779" w:rsidRPr="31CFD013">
        <w:rPr>
          <w:rFonts w:ascii="Times New Roman" w:hAnsi="Times New Roman"/>
        </w:rPr>
        <w:t>Christer Wiik</w:t>
      </w:r>
      <w:r w:rsidR="6D131E87" w:rsidRPr="31CFD013">
        <w:rPr>
          <w:rFonts w:ascii="Times New Roman" w:hAnsi="Times New Roman"/>
        </w:rPr>
        <w:t xml:space="preserve"> </w:t>
      </w:r>
      <w:r w:rsidR="3D624779" w:rsidRPr="31CFD013">
        <w:rPr>
          <w:rFonts w:ascii="Times New Roman" w:hAnsi="Times New Roman"/>
        </w:rPr>
        <w:t xml:space="preserve">Aram, Samfunnsviterne </w:t>
      </w:r>
    </w:p>
    <w:p w14:paraId="62DC8846" w14:textId="77777777" w:rsidR="00527C2F" w:rsidRPr="00E33361" w:rsidRDefault="00527C2F" w:rsidP="00527C2F">
      <w:pPr>
        <w:keepNext/>
        <w:spacing w:before="180" w:after="60"/>
        <w:rPr>
          <w:rFonts w:ascii="Times New Roman" w:hAnsi="Times New Roman"/>
          <w:b/>
          <w:sz w:val="24"/>
          <w:u w:val="single"/>
        </w:rPr>
      </w:pPr>
      <w:r w:rsidRPr="00E33361">
        <w:rPr>
          <w:rFonts w:ascii="Times New Roman" w:hAnsi="Times New Roman"/>
          <w:b/>
          <w:sz w:val="24"/>
          <w:u w:val="single"/>
        </w:rPr>
        <w:t>Akademikerne kommune</w:t>
      </w:r>
    </w:p>
    <w:p w14:paraId="4164D659" w14:textId="77777777" w:rsidR="00527C2F" w:rsidRPr="00DF7687" w:rsidRDefault="00527C2F" w:rsidP="00527C2F">
      <w:pPr>
        <w:spacing w:after="0"/>
        <w:rPr>
          <w:rFonts w:ascii="Times New Roman" w:hAnsi="Times New Roman"/>
        </w:rPr>
      </w:pPr>
      <w:r w:rsidRPr="12DC08F0">
        <w:rPr>
          <w:rFonts w:ascii="Times New Roman" w:hAnsi="Times New Roman"/>
        </w:rPr>
        <w:t>Leder Tonje Leborg, Norsk Lektorlag</w:t>
      </w:r>
    </w:p>
    <w:p w14:paraId="547FE3E8" w14:textId="3C5F6368" w:rsidR="00527C2F" w:rsidRPr="00DF7687" w:rsidRDefault="00527C2F">
      <w:pPr>
        <w:spacing w:after="0"/>
        <w:rPr>
          <w:rFonts w:ascii="Times New Roman" w:hAnsi="Times New Roman"/>
        </w:rPr>
      </w:pPr>
      <w:r w:rsidRPr="73E0304A">
        <w:rPr>
          <w:rFonts w:ascii="Times New Roman" w:hAnsi="Times New Roman"/>
        </w:rPr>
        <w:t xml:space="preserve">Nestleder </w:t>
      </w:r>
      <w:r w:rsidR="31741E1F" w:rsidRPr="73E0304A">
        <w:rPr>
          <w:rFonts w:ascii="Times New Roman" w:hAnsi="Times New Roman"/>
        </w:rPr>
        <w:t xml:space="preserve">Julius Okkenhaug, Norsk Psykologforening </w:t>
      </w:r>
    </w:p>
    <w:p w14:paraId="49571160" w14:textId="77777777" w:rsidR="00527C2F" w:rsidRPr="00E33361" w:rsidRDefault="00527C2F" w:rsidP="00527C2F">
      <w:pPr>
        <w:keepNext/>
        <w:spacing w:before="180" w:after="60"/>
        <w:rPr>
          <w:rFonts w:ascii="Times New Roman" w:hAnsi="Times New Roman"/>
          <w:b/>
          <w:sz w:val="24"/>
          <w:u w:val="single"/>
        </w:rPr>
      </w:pPr>
      <w:r w:rsidRPr="00E33361">
        <w:rPr>
          <w:rFonts w:ascii="Times New Roman" w:hAnsi="Times New Roman"/>
          <w:b/>
          <w:sz w:val="24"/>
          <w:u w:val="single"/>
        </w:rPr>
        <w:t>Akademikerne helse</w:t>
      </w:r>
    </w:p>
    <w:p w14:paraId="199193BB" w14:textId="77777777" w:rsidR="00F9086B" w:rsidRDefault="00527C2F" w:rsidP="00F9086B">
      <w:pPr>
        <w:spacing w:after="0"/>
        <w:rPr>
          <w:rFonts w:ascii="Times New Roman" w:hAnsi="Times New Roman"/>
        </w:rPr>
      </w:pPr>
      <w:r w:rsidRPr="73E0304A">
        <w:rPr>
          <w:rFonts w:ascii="Times New Roman" w:hAnsi="Times New Roman"/>
        </w:rPr>
        <w:t xml:space="preserve">Leder </w:t>
      </w:r>
      <w:r w:rsidR="2432582C" w:rsidRPr="73E0304A">
        <w:rPr>
          <w:rFonts w:ascii="Times New Roman" w:hAnsi="Times New Roman"/>
        </w:rPr>
        <w:t xml:space="preserve">Anne-Karin Rime, Den norske legeforening </w:t>
      </w:r>
    </w:p>
    <w:p w14:paraId="2524C510" w14:textId="401C5264" w:rsidR="00F9086B" w:rsidRDefault="00527C2F" w:rsidP="00F9086B">
      <w:pPr>
        <w:spacing w:after="0"/>
        <w:rPr>
          <w:rFonts w:ascii="Times New Roman" w:hAnsi="Times New Roman"/>
        </w:rPr>
      </w:pPr>
      <w:r w:rsidRPr="73E0304A">
        <w:rPr>
          <w:rFonts w:ascii="Times New Roman" w:hAnsi="Times New Roman"/>
        </w:rPr>
        <w:t>Nestleder</w:t>
      </w:r>
      <w:r w:rsidR="0074645E">
        <w:rPr>
          <w:rFonts w:ascii="Times New Roman" w:hAnsi="Times New Roman"/>
        </w:rPr>
        <w:t xml:space="preserve"> </w:t>
      </w:r>
      <w:r w:rsidR="17F1C99E" w:rsidRPr="73E0304A">
        <w:rPr>
          <w:rFonts w:ascii="Times New Roman" w:hAnsi="Times New Roman"/>
        </w:rPr>
        <w:t>Rune Frøyland, Norsk Psykologforening</w:t>
      </w:r>
    </w:p>
    <w:p w14:paraId="267C2DDD" w14:textId="77777777" w:rsidR="00D347BE" w:rsidRPr="00D347BE" w:rsidRDefault="00D347BE" w:rsidP="00D347BE">
      <w:pPr>
        <w:pStyle w:val="Listeavsnitt"/>
        <w:ind w:left="750"/>
      </w:pPr>
    </w:p>
    <w:p w14:paraId="05E45B53" w14:textId="111161F2" w:rsidR="001F588A" w:rsidRDefault="17AADDE6" w:rsidP="006752C8">
      <w:pPr>
        <w:pStyle w:val="Overskrift2"/>
      </w:pPr>
      <w:bookmarkStart w:id="20" w:name="_Toc176264510"/>
      <w:r>
        <w:t>2</w:t>
      </w:r>
      <w:r w:rsidR="003C3968">
        <w:t>.2</w:t>
      </w:r>
      <w:r w:rsidR="15C43517">
        <w:t xml:space="preserve">.1 </w:t>
      </w:r>
      <w:r w:rsidR="31493868">
        <w:t>Akademikerne stat</w:t>
      </w:r>
      <w:bookmarkEnd w:id="20"/>
    </w:p>
    <w:p w14:paraId="59AD964A" w14:textId="4BD71635" w:rsidR="49D5ABA2" w:rsidRDefault="49D5ABA2" w:rsidP="5D5DDA90">
      <w:pPr>
        <w:tabs>
          <w:tab w:val="left" w:pos="708"/>
        </w:tabs>
        <w:spacing w:before="200" w:after="0"/>
        <w:rPr>
          <w:rFonts w:ascii="Times New Roman" w:eastAsia="Times New Roman" w:hAnsi="Times New Roman" w:cs="Times New Roman"/>
          <w:b/>
          <w:bCs/>
        </w:rPr>
      </w:pPr>
      <w:r w:rsidRPr="73E0304A">
        <w:rPr>
          <w:rFonts w:ascii="Times New Roman" w:eastAsia="Times New Roman" w:hAnsi="Times New Roman" w:cs="Times New Roman"/>
          <w:b/>
          <w:bCs/>
        </w:rPr>
        <w:t xml:space="preserve">Mellomoppgjøret </w:t>
      </w:r>
      <w:r w:rsidR="1FE9E7E6" w:rsidRPr="73E0304A">
        <w:rPr>
          <w:rFonts w:ascii="Times New Roman" w:eastAsia="Times New Roman" w:hAnsi="Times New Roman" w:cs="Times New Roman"/>
          <w:b/>
          <w:bCs/>
        </w:rPr>
        <w:t>2023</w:t>
      </w:r>
    </w:p>
    <w:p w14:paraId="796C8326" w14:textId="60425925" w:rsidR="49D5ABA2" w:rsidRPr="00142265" w:rsidRDefault="49D5ABA2" w:rsidP="007D7E98">
      <w:r w:rsidRPr="4CAB2F3B">
        <w:rPr>
          <w:rFonts w:eastAsiaTheme="minorEastAsia"/>
        </w:rPr>
        <w:t xml:space="preserve">I </w:t>
      </w:r>
      <w:r>
        <w:t xml:space="preserve">statlig sektor ble Akademikerne og staten enige </w:t>
      </w:r>
      <w:r w:rsidR="3C4ABACE">
        <w:t>gjennom forhandlinger 28. april. Den</w:t>
      </w:r>
      <w:r>
        <w:t xml:space="preserve"> økonomisk</w:t>
      </w:r>
      <w:r w:rsidR="72AE93F7">
        <w:t>e</w:t>
      </w:r>
      <w:r>
        <w:t xml:space="preserve"> ramme</w:t>
      </w:r>
      <w:r w:rsidR="123C5653">
        <w:t xml:space="preserve">n </w:t>
      </w:r>
      <w:r>
        <w:t>tilsvar</w:t>
      </w:r>
      <w:r w:rsidR="05FA5B19">
        <w:t>te</w:t>
      </w:r>
      <w:r>
        <w:t xml:space="preserve"> anslaget i</w:t>
      </w:r>
      <w:r w:rsidR="007D7E98">
        <w:t xml:space="preserve"> </w:t>
      </w:r>
      <w:r>
        <w:t xml:space="preserve">frontfaget på </w:t>
      </w:r>
      <w:r w:rsidR="5E448836">
        <w:t>5,</w:t>
      </w:r>
      <w:r>
        <w:t>2</w:t>
      </w:r>
      <w:r w:rsidR="00F05EBA">
        <w:t xml:space="preserve"> prosent</w:t>
      </w:r>
      <w:r>
        <w:t>. I praksis innebar dette en avsetning til lokale kollektive forhandlinger med</w:t>
      </w:r>
      <w:r w:rsidR="00F541F9">
        <w:t xml:space="preserve"> </w:t>
      </w:r>
      <w:r w:rsidR="5107F8FB">
        <w:t>5,3</w:t>
      </w:r>
      <w:r>
        <w:t xml:space="preserve"> </w:t>
      </w:r>
      <w:r w:rsidR="00F05EBA">
        <w:t>prosent</w:t>
      </w:r>
      <w:r>
        <w:t xml:space="preserve"> </w:t>
      </w:r>
      <w:r w:rsidR="51FD4DC4">
        <w:t xml:space="preserve">gjeldende fra 1. mai. </w:t>
      </w:r>
    </w:p>
    <w:p w14:paraId="39AD0494" w14:textId="30678416" w:rsidR="49D5ABA2" w:rsidRPr="00386E8F" w:rsidRDefault="49D5ABA2" w:rsidP="00386E8F">
      <w:r>
        <w:t>Hovedavtalen i staten</w:t>
      </w:r>
      <w:r w:rsidR="051D7231">
        <w:t xml:space="preserve"> ble</w:t>
      </w:r>
      <w:r>
        <w:t xml:space="preserve"> reforhandlet høsten 202</w:t>
      </w:r>
      <w:r w:rsidR="7A0ABB80">
        <w:t>2. Der ble blant annet bestemmelsene om kom</w:t>
      </w:r>
      <w:r w:rsidR="4FFD4D92">
        <w:t>petanseutvikling og kompetansekartlegging styrket. Loka</w:t>
      </w:r>
      <w:r w:rsidR="7DF44F8E">
        <w:t>l</w:t>
      </w:r>
      <w:r w:rsidR="4FFD4D92">
        <w:t xml:space="preserve"> avtale om medbe</w:t>
      </w:r>
      <w:r w:rsidR="6B8A3F9B">
        <w:t>s</w:t>
      </w:r>
      <w:r w:rsidR="4FFD4D92">
        <w:t>temmelse, tilpasningsavtalen, fikk også en mer sentral ro</w:t>
      </w:r>
      <w:r w:rsidR="075F55E6">
        <w:t xml:space="preserve">lle. </w:t>
      </w:r>
      <w:r w:rsidR="1E3E8000">
        <w:t>Tilpasningsavtalen har nå fått et eget kapittel og bestemmelsene er tydeliggjort og styrket. Hovedavtalen gjelder fram til 31. desember 2025.</w:t>
      </w:r>
    </w:p>
    <w:p w14:paraId="3CD95B9F" w14:textId="658D3C74" w:rsidR="49D5ABA2" w:rsidRPr="00386E8F" w:rsidRDefault="49D5ABA2" w:rsidP="00386E8F">
      <w:pPr>
        <w:rPr>
          <w:b/>
          <w:bCs/>
        </w:rPr>
      </w:pPr>
      <w:proofErr w:type="spellStart"/>
      <w:r w:rsidRPr="4ED8EFE6">
        <w:rPr>
          <w:rFonts w:eastAsia="Calibri"/>
          <w:b/>
          <w:bCs/>
        </w:rPr>
        <w:lastRenderedPageBreak/>
        <w:t>Hovedtariffoppgjøret</w:t>
      </w:r>
      <w:proofErr w:type="spellEnd"/>
      <w:r w:rsidRPr="4ED8EFE6">
        <w:rPr>
          <w:rFonts w:eastAsia="Calibri"/>
          <w:b/>
          <w:bCs/>
        </w:rPr>
        <w:t xml:space="preserve"> </w:t>
      </w:r>
      <w:r w:rsidR="7DB3D570" w:rsidRPr="4ED8EFE6">
        <w:rPr>
          <w:rFonts w:eastAsia="Calibri"/>
          <w:b/>
          <w:bCs/>
        </w:rPr>
        <w:t>2024</w:t>
      </w:r>
    </w:p>
    <w:p w14:paraId="791E933F" w14:textId="6F70599E" w:rsidR="03BD456E" w:rsidRDefault="03BD456E" w:rsidP="2A7DF0B7">
      <w:pPr>
        <w:spacing w:after="160" w:line="257" w:lineRule="auto"/>
        <w:rPr>
          <w:rFonts w:eastAsiaTheme="minorEastAsia"/>
        </w:rPr>
      </w:pPr>
      <w:proofErr w:type="spellStart"/>
      <w:r w:rsidRPr="2A7DF0B7">
        <w:rPr>
          <w:rFonts w:eastAsiaTheme="minorEastAsia"/>
        </w:rPr>
        <w:t>Hovedtariffoppgjøret</w:t>
      </w:r>
      <w:proofErr w:type="spellEnd"/>
      <w:r w:rsidRPr="2A7DF0B7">
        <w:rPr>
          <w:rFonts w:eastAsiaTheme="minorEastAsia"/>
        </w:rPr>
        <w:t xml:space="preserve"> i staten startet 22. april. Etter en drøy uke med forhandlinger ble det brudd for alle hovedsammenslutningene 30. april. Meklingen hadde oppstart 2. mai, med meklingsfrist 23. mai. </w:t>
      </w:r>
    </w:p>
    <w:p w14:paraId="01AFB264" w14:textId="6551C719" w:rsidR="03BD456E" w:rsidRDefault="03BD456E" w:rsidP="2A7DF0B7">
      <w:pPr>
        <w:spacing w:after="160" w:line="257" w:lineRule="auto"/>
        <w:rPr>
          <w:rFonts w:eastAsiaTheme="minorEastAsia"/>
        </w:rPr>
      </w:pPr>
      <w:r w:rsidRPr="2A7DF0B7">
        <w:rPr>
          <w:rFonts w:eastAsiaTheme="minorEastAsia"/>
        </w:rPr>
        <w:t xml:space="preserve">Avstanden mellom partene var så stor at riksmekleren ikke så grunnlag for å legge frem en skisse. Staten valgte da å legge frem et siste tilbud. Akademikerne kunne ikke akseptere det fremlagte tilbudet og det ble konstatert brudd i meklingen 24. mai på morgenen. Streik ble iverksatt fra arbeidsdagens begynnelse samme dag. I første uttak var det om lag 1200 medlemmer som var tatt ut. Fra mandag 27. mai trappet Akademikerne opp streiken med uttak av om lag 700 medlemmer. 29. mai varslet Akademikerne nok en opptrapping av streiken med virkning fra mandag 3. juni. Denne opptrappingen omfattet snaut 400. </w:t>
      </w:r>
    </w:p>
    <w:p w14:paraId="0F22AE36" w14:textId="2317EEE8" w:rsidR="03BD456E" w:rsidRDefault="03BD456E" w:rsidP="2A7DF0B7">
      <w:pPr>
        <w:spacing w:after="160" w:line="257" w:lineRule="auto"/>
        <w:rPr>
          <w:rFonts w:eastAsiaTheme="minorEastAsia"/>
        </w:rPr>
      </w:pPr>
      <w:r w:rsidRPr="2A7DF0B7">
        <w:rPr>
          <w:rFonts w:eastAsiaTheme="minorEastAsia"/>
        </w:rPr>
        <w:t xml:space="preserve">Søndag 2. juni kl. 2130, dagen før opptrapping av streiken, ble Akademikerne innkalt til møte hos Arbeids- og inkluderingsministeren. Der informerte statsråden at hun grep inn med lov om tvungen lønnsnemnd. Akademikerne bekreftet at de streikende ville gjenoppta arbeidet fra arbeidsdagens begynnelse mandag 3. juni.  </w:t>
      </w:r>
    </w:p>
    <w:p w14:paraId="41542286" w14:textId="5A476459" w:rsidR="03BD456E" w:rsidRDefault="03BD456E" w:rsidP="2A7DF0B7">
      <w:pPr>
        <w:spacing w:after="160" w:line="257" w:lineRule="auto"/>
        <w:rPr>
          <w:rFonts w:eastAsiaTheme="minorEastAsia"/>
        </w:rPr>
      </w:pPr>
      <w:proofErr w:type="spellStart"/>
      <w:r w:rsidRPr="2A7DF0B7">
        <w:rPr>
          <w:rFonts w:eastAsiaTheme="minorEastAsia"/>
        </w:rPr>
        <w:t>Hovedtariffoppgjøret</w:t>
      </w:r>
      <w:proofErr w:type="spellEnd"/>
      <w:r w:rsidRPr="2A7DF0B7">
        <w:rPr>
          <w:rFonts w:eastAsiaTheme="minorEastAsia"/>
        </w:rPr>
        <w:t xml:space="preserve"> </w:t>
      </w:r>
      <w:r w:rsidR="2866FF37" w:rsidRPr="2A7DF0B7">
        <w:rPr>
          <w:rFonts w:eastAsiaTheme="minorEastAsia"/>
        </w:rPr>
        <w:t xml:space="preserve">2024 </w:t>
      </w:r>
      <w:r w:rsidRPr="2A7DF0B7">
        <w:rPr>
          <w:rFonts w:eastAsiaTheme="minorEastAsia"/>
        </w:rPr>
        <w:t xml:space="preserve">for Akademikerne i staten vil </w:t>
      </w:r>
      <w:r w:rsidR="0D16377D" w:rsidRPr="2A7DF0B7">
        <w:rPr>
          <w:rFonts w:eastAsiaTheme="minorEastAsia"/>
        </w:rPr>
        <w:t xml:space="preserve">dermed </w:t>
      </w:r>
      <w:r w:rsidRPr="2A7DF0B7">
        <w:rPr>
          <w:rFonts w:eastAsiaTheme="minorEastAsia"/>
        </w:rPr>
        <w:t>bl</w:t>
      </w:r>
      <w:r w:rsidR="5140EA78" w:rsidRPr="2A7DF0B7">
        <w:rPr>
          <w:rFonts w:eastAsiaTheme="minorEastAsia"/>
        </w:rPr>
        <w:t>i</w:t>
      </w:r>
      <w:r w:rsidRPr="2A7DF0B7">
        <w:rPr>
          <w:rFonts w:eastAsiaTheme="minorEastAsia"/>
        </w:rPr>
        <w:t xml:space="preserve"> avgjort i Rikslønnsnemnda. Muntlig behandling i Rikslønnsnemnda vil gjennomføres 7. november.  </w:t>
      </w:r>
    </w:p>
    <w:p w14:paraId="00BD5798" w14:textId="7A9E13FC" w:rsidR="001F588A" w:rsidRPr="008B3107" w:rsidRDefault="0011289A" w:rsidP="008B3107">
      <w:pPr>
        <w:pStyle w:val="Overskrift2"/>
      </w:pPr>
      <w:bookmarkStart w:id="21" w:name="_Toc176264511"/>
      <w:r w:rsidRPr="008B3107">
        <w:t>2.2</w:t>
      </w:r>
      <w:r w:rsidR="003C3968" w:rsidRPr="008B3107">
        <w:t>.2</w:t>
      </w:r>
      <w:r w:rsidRPr="008B3107">
        <w:t xml:space="preserve"> </w:t>
      </w:r>
      <w:r w:rsidR="001F588A" w:rsidRPr="008B3107">
        <w:t>Akademikerne kommune</w:t>
      </w:r>
      <w:r w:rsidR="002C3020" w:rsidRPr="008B3107">
        <w:t xml:space="preserve"> - KS</w:t>
      </w:r>
      <w:bookmarkEnd w:id="21"/>
    </w:p>
    <w:p w14:paraId="4D22A21A" w14:textId="073E8807" w:rsidR="2854A89C" w:rsidRPr="008E173A" w:rsidRDefault="652638BF" w:rsidP="005D0CDD">
      <w:pPr>
        <w:rPr>
          <w:rStyle w:val="Overskrift2Tegn"/>
          <w:rFonts w:asciiTheme="minorHAnsi" w:eastAsiaTheme="minorEastAsia" w:hAnsiTheme="minorHAnsi" w:cstheme="minorBidi"/>
          <w:b w:val="0"/>
          <w:bCs/>
          <w:color w:val="auto"/>
          <w:sz w:val="22"/>
          <w:szCs w:val="22"/>
        </w:rPr>
      </w:pPr>
      <w:bookmarkStart w:id="22" w:name="_Toc114065542"/>
      <w:bookmarkStart w:id="23" w:name="_Toc171597689"/>
      <w:bookmarkStart w:id="24" w:name="_Toc175146223"/>
      <w:bookmarkStart w:id="25" w:name="_Toc176264512"/>
      <w:r w:rsidRPr="0601C0E0">
        <w:rPr>
          <w:rStyle w:val="Overskrift2Tegn"/>
          <w:rFonts w:asciiTheme="minorHAnsi" w:eastAsiaTheme="minorEastAsia" w:hAnsiTheme="minorHAnsi" w:cstheme="minorBidi"/>
          <w:bCs/>
          <w:color w:val="auto"/>
          <w:sz w:val="22"/>
          <w:szCs w:val="22"/>
        </w:rPr>
        <w:t>Tariff-forhandlinger</w:t>
      </w:r>
      <w:r w:rsidR="2854A89C" w:rsidRPr="0601C0E0">
        <w:rPr>
          <w:rStyle w:val="Overskrift2Tegn"/>
          <w:rFonts w:asciiTheme="minorHAnsi" w:eastAsiaTheme="minorEastAsia" w:hAnsiTheme="minorHAnsi" w:cstheme="minorBidi"/>
          <w:bCs/>
          <w:color w:val="auto"/>
          <w:sz w:val="22"/>
          <w:szCs w:val="22"/>
        </w:rPr>
        <w:t xml:space="preserve"> </w:t>
      </w:r>
      <w:r w:rsidR="53A44CF6" w:rsidRPr="0601C0E0">
        <w:rPr>
          <w:rStyle w:val="Overskrift2Tegn"/>
          <w:rFonts w:asciiTheme="minorHAnsi" w:eastAsiaTheme="minorEastAsia" w:hAnsiTheme="minorHAnsi" w:cstheme="minorBidi"/>
          <w:bCs/>
          <w:color w:val="auto"/>
          <w:sz w:val="22"/>
          <w:szCs w:val="22"/>
        </w:rPr>
        <w:t>2023</w:t>
      </w:r>
      <w:bookmarkStart w:id="26" w:name="_Toc522810448"/>
      <w:bookmarkEnd w:id="22"/>
      <w:bookmarkEnd w:id="23"/>
      <w:bookmarkEnd w:id="24"/>
      <w:bookmarkEnd w:id="25"/>
    </w:p>
    <w:p w14:paraId="51C9B80E" w14:textId="22988E65" w:rsidR="2854A89C" w:rsidRPr="00B51F48" w:rsidRDefault="6AD65351" w:rsidP="00CC1D07">
      <w:pPr>
        <w:rPr>
          <w:rStyle w:val="Overskrift2Tegn"/>
          <w:rFonts w:asciiTheme="minorHAnsi" w:eastAsiaTheme="minorEastAsia" w:hAnsiTheme="minorHAnsi" w:cstheme="minorBidi"/>
          <w:b w:val="0"/>
          <w:bCs/>
          <w:color w:val="auto"/>
          <w:sz w:val="22"/>
          <w:szCs w:val="22"/>
        </w:rPr>
      </w:pPr>
      <w:r w:rsidRPr="00B51F48">
        <w:t>M</w:t>
      </w:r>
      <w:r w:rsidR="675D002E" w:rsidRPr="00B51F48">
        <w:t xml:space="preserve">ellomoppgjøret </w:t>
      </w:r>
      <w:r w:rsidR="4E8849F8" w:rsidRPr="00B51F48">
        <w:t>endte med</w:t>
      </w:r>
      <w:r w:rsidR="45DFF458" w:rsidRPr="00B51F48">
        <w:t xml:space="preserve"> enighet </w:t>
      </w:r>
      <w:r w:rsidR="1531C71D" w:rsidRPr="00B51F48">
        <w:t>mellom alle</w:t>
      </w:r>
      <w:r w:rsidR="45DFF458" w:rsidRPr="00B51F48">
        <w:t xml:space="preserve"> partene </w:t>
      </w:r>
      <w:r w:rsidR="5C0C1174" w:rsidRPr="00B51F48">
        <w:t xml:space="preserve">sentralt </w:t>
      </w:r>
      <w:r w:rsidR="4B34F0FB" w:rsidRPr="00B51F48">
        <w:t xml:space="preserve">og </w:t>
      </w:r>
      <w:r w:rsidR="5C0C1174" w:rsidRPr="00B51F48">
        <w:t xml:space="preserve">en </w:t>
      </w:r>
      <w:r w:rsidR="25679670" w:rsidRPr="00B51F48">
        <w:t xml:space="preserve">økonomisk </w:t>
      </w:r>
      <w:r w:rsidR="5C0C1174" w:rsidRPr="00B51F48">
        <w:t xml:space="preserve">ramme på </w:t>
      </w:r>
      <w:r w:rsidR="246DCC8D" w:rsidRPr="00B51F48">
        <w:t>5,</w:t>
      </w:r>
      <w:r w:rsidR="22BCC7AE" w:rsidRPr="00B51F48">
        <w:t>4 prosent</w:t>
      </w:r>
      <w:r w:rsidR="7B82CE54" w:rsidRPr="00B51F48">
        <w:t xml:space="preserve"> for lektorene (</w:t>
      </w:r>
      <w:proofErr w:type="spellStart"/>
      <w:r w:rsidR="7B82CE54" w:rsidRPr="00B51F48">
        <w:t>kap</w:t>
      </w:r>
      <w:proofErr w:type="spellEnd"/>
      <w:r w:rsidR="7B82CE54" w:rsidRPr="00B51F48">
        <w:t xml:space="preserve"> 4) med sentral lønnsdannelse</w:t>
      </w:r>
      <w:r w:rsidR="246DCC8D" w:rsidRPr="00B51F48">
        <w:t>.</w:t>
      </w:r>
      <w:r w:rsidR="45DFF458" w:rsidRPr="00B51F48">
        <w:t xml:space="preserve"> </w:t>
      </w:r>
      <w:r w:rsidR="4C8BF4CF">
        <w:t>D</w:t>
      </w:r>
      <w:r w:rsidR="5E8198EF">
        <w:t xml:space="preserve">isse </w:t>
      </w:r>
      <w:r w:rsidR="675D002E">
        <w:t>stillinge</w:t>
      </w:r>
      <w:r w:rsidR="3DCB08F6">
        <w:t>ne</w:t>
      </w:r>
      <w:r w:rsidR="675D002E" w:rsidRPr="00B51F48">
        <w:t xml:space="preserve"> </w:t>
      </w:r>
      <w:r w:rsidR="42E8EA42" w:rsidRPr="00B51F48">
        <w:t xml:space="preserve">ble </w:t>
      </w:r>
      <w:r w:rsidR="675D002E" w:rsidRPr="00B51F48">
        <w:t>gitt lønnstillegg med virkning fra 1. mai 2023 på mellom 26 300 og 43 000 kroner per år</w:t>
      </w:r>
      <w:r w:rsidR="7E6C0C03" w:rsidRPr="00B51F48">
        <w:t xml:space="preserve">. </w:t>
      </w:r>
      <w:r w:rsidR="4DBC07F0" w:rsidRPr="00B51F48">
        <w:t xml:space="preserve">For de fleste av Akademikernes medlemmer i KS-området (kapittel 3 og 5) fastsettes lønnen gjennom </w:t>
      </w:r>
      <w:r w:rsidR="10E3D651" w:rsidRPr="00B51F48">
        <w:t xml:space="preserve">kollektive </w:t>
      </w:r>
      <w:r w:rsidR="4DBC07F0" w:rsidRPr="00B51F48">
        <w:t>lokale lønnsforhandlinger i den enkelte kommune og fylkeskommune uten noen sentral ramme. Virkningsdato for lønnstillegg er 1. mai med mindre annen dato er avtalt.</w:t>
      </w:r>
    </w:p>
    <w:p w14:paraId="5CA453A8" w14:textId="666E5BE9" w:rsidR="2854A89C" w:rsidRPr="00B51F48" w:rsidRDefault="220DB8F6" w:rsidP="00B84341">
      <w:pPr>
        <w:rPr>
          <w:rStyle w:val="Overskrift2Tegn"/>
          <w:rFonts w:asciiTheme="minorHAnsi" w:eastAsiaTheme="minorEastAsia" w:hAnsiTheme="minorHAnsi" w:cstheme="minorBidi"/>
          <w:b w:val="0"/>
          <w:bCs/>
          <w:color w:val="000000"/>
          <w:sz w:val="22"/>
          <w:szCs w:val="22"/>
        </w:rPr>
      </w:pPr>
      <w:bookmarkStart w:id="27" w:name="_Toc114065544"/>
      <w:r w:rsidRPr="00B51F48">
        <w:t>I d</w:t>
      </w:r>
      <w:r w:rsidR="768555A3" w:rsidRPr="00B51F48">
        <w:t>esember 2023</w:t>
      </w:r>
      <w:r w:rsidR="0564D58D" w:rsidRPr="00B51F48">
        <w:t xml:space="preserve"> ble Hovedavtalen reforhandlet</w:t>
      </w:r>
      <w:r w:rsidR="5F646BC8" w:rsidRPr="00B51F48">
        <w:t xml:space="preserve"> </w:t>
      </w:r>
      <w:r w:rsidR="3D7EE1FE">
        <w:t xml:space="preserve">og </w:t>
      </w:r>
      <w:r w:rsidR="0564D58D" w:rsidRPr="00B51F48">
        <w:t xml:space="preserve">partene </w:t>
      </w:r>
      <w:r w:rsidR="4DC8F84E" w:rsidRPr="00B51F48">
        <w:t xml:space="preserve">ble </w:t>
      </w:r>
      <w:r w:rsidR="0564D58D" w:rsidRPr="00B51F48">
        <w:t xml:space="preserve">enige om ny </w:t>
      </w:r>
      <w:r w:rsidR="0564D58D">
        <w:t>avtale</w:t>
      </w:r>
      <w:r w:rsidR="0564D58D" w:rsidRPr="00B51F48">
        <w:t xml:space="preserve"> i KS-området med varighet fra 01.01.202</w:t>
      </w:r>
      <w:r w:rsidR="2C586657" w:rsidRPr="00B51F48">
        <w:t>4</w:t>
      </w:r>
      <w:r w:rsidR="0564D58D" w:rsidRPr="00B51F48">
        <w:t xml:space="preserve"> til 31.12.202</w:t>
      </w:r>
      <w:r w:rsidR="51EFD07D" w:rsidRPr="00B51F48">
        <w:t>5</w:t>
      </w:r>
      <w:r w:rsidR="0564D58D" w:rsidRPr="00B51F48">
        <w:t>.</w:t>
      </w:r>
      <w:r w:rsidR="0E4C540E" w:rsidRPr="00B51F48">
        <w:t xml:space="preserve"> P</w:t>
      </w:r>
      <w:bookmarkEnd w:id="27"/>
      <w:r w:rsidR="0E4C540E" w:rsidRPr="00B51F48">
        <w:t>artene er enige om et sentralt partssamarbeid som i løpet av avtaleperioden blant annet skal se på tillitsvalgtes rettigheter og rammevilkår. I tillegg etableres det også et sentralt samarbeid om digitalisering. Målet er å finne gode løsninger og innretning på samarbeid ved oppstart og gjennomføring av nasjonalt digitaliseringsarbeid.</w:t>
      </w:r>
    </w:p>
    <w:p w14:paraId="1DB05AB9" w14:textId="32E4CD84" w:rsidR="5C782271" w:rsidRPr="00B51F48" w:rsidRDefault="5C782271" w:rsidP="00B84341">
      <w:pPr>
        <w:rPr>
          <w:bCs/>
        </w:rPr>
      </w:pPr>
      <w:r w:rsidRPr="00B51F48">
        <w:rPr>
          <w:bCs/>
        </w:rPr>
        <w:t xml:space="preserve">I </w:t>
      </w:r>
      <w:r w:rsidR="09F5989C" w:rsidRPr="00B51F48">
        <w:rPr>
          <w:bCs/>
        </w:rPr>
        <w:t>desember 2023</w:t>
      </w:r>
      <w:r w:rsidRPr="00B51F48">
        <w:rPr>
          <w:bCs/>
        </w:rPr>
        <w:t xml:space="preserve"> ble ny pensjonsavtale </w:t>
      </w:r>
      <w:r w:rsidR="4F784844" w:rsidRPr="00B51F48">
        <w:rPr>
          <w:bCs/>
        </w:rPr>
        <w:t xml:space="preserve">(SGS2020) </w:t>
      </w:r>
      <w:r w:rsidRPr="00B51F48">
        <w:rPr>
          <w:bCs/>
        </w:rPr>
        <w:t>gjeldende fra 1.</w:t>
      </w:r>
      <w:r w:rsidR="57F4B722" w:rsidRPr="00B51F48">
        <w:rPr>
          <w:bCs/>
        </w:rPr>
        <w:t>1.202</w:t>
      </w:r>
      <w:r w:rsidR="311FC27F" w:rsidRPr="00B51F48">
        <w:rPr>
          <w:bCs/>
        </w:rPr>
        <w:t>4</w:t>
      </w:r>
      <w:r w:rsidR="57F4B722" w:rsidRPr="00B51F48">
        <w:rPr>
          <w:bCs/>
        </w:rPr>
        <w:t xml:space="preserve"> til 31.12.202</w:t>
      </w:r>
      <w:r w:rsidR="25D557C6" w:rsidRPr="00B51F48">
        <w:rPr>
          <w:bCs/>
        </w:rPr>
        <w:t>5</w:t>
      </w:r>
      <w:r w:rsidR="57F4B722" w:rsidRPr="00B51F48">
        <w:rPr>
          <w:bCs/>
        </w:rPr>
        <w:t xml:space="preserve"> </w:t>
      </w:r>
      <w:r w:rsidRPr="00B51F48">
        <w:rPr>
          <w:bCs/>
        </w:rPr>
        <w:t>forhandlet frem</w:t>
      </w:r>
      <w:r w:rsidR="6CA9F97A" w:rsidRPr="00B51F48">
        <w:rPr>
          <w:bCs/>
        </w:rPr>
        <w:t>.</w:t>
      </w:r>
      <w:r w:rsidR="1056D3D4" w:rsidRPr="00B51F48">
        <w:rPr>
          <w:bCs/>
        </w:rPr>
        <w:t xml:space="preserve"> </w:t>
      </w:r>
      <w:r w:rsidR="6AA89A9F" w:rsidRPr="00B51F48">
        <w:rPr>
          <w:bCs/>
        </w:rPr>
        <w:t>En av de viktigste endri</w:t>
      </w:r>
      <w:r w:rsidR="01348DE1" w:rsidRPr="00B51F48">
        <w:rPr>
          <w:bCs/>
        </w:rPr>
        <w:t>ngene var at</w:t>
      </w:r>
      <w:r w:rsidR="6AA89A9F" w:rsidRPr="00B51F48">
        <w:rPr>
          <w:bCs/>
        </w:rPr>
        <w:t xml:space="preserve"> toleransebeløpet for AFP til arbeidstakere født 1962 og tidligere skal reguleres med grunnbeløpet.</w:t>
      </w:r>
      <w:r w:rsidR="4AC29972" w:rsidRPr="00B51F48">
        <w:rPr>
          <w:bCs/>
        </w:rPr>
        <w:t xml:space="preserve"> Partene venter at det vil være behov for endringer i avtaleperioden blant annet som følge av ny AFP for arbeidstakere født 1963 og </w:t>
      </w:r>
      <w:r w:rsidR="4AC29972" w:rsidRPr="00B51F48">
        <w:rPr>
          <w:bCs/>
        </w:rPr>
        <w:lastRenderedPageBreak/>
        <w:t>senere, og ved et eventuelt nytt forlik om pensjonsreform, og har protokollert at slike endringer kan avtales i perioden.</w:t>
      </w:r>
    </w:p>
    <w:p w14:paraId="3477B302" w14:textId="1F2D97C0" w:rsidR="2854A89C" w:rsidRPr="002E26F3" w:rsidRDefault="0966B449" w:rsidP="73E0304A">
      <w:pPr>
        <w:rPr>
          <w:rFonts w:eastAsiaTheme="minorEastAsia"/>
          <w:b/>
          <w:bCs/>
        </w:rPr>
      </w:pPr>
      <w:proofErr w:type="spellStart"/>
      <w:r w:rsidRPr="73E0304A">
        <w:rPr>
          <w:rFonts w:eastAsiaTheme="minorEastAsia"/>
          <w:b/>
          <w:bCs/>
        </w:rPr>
        <w:t>Hovedtariffoppgjøret</w:t>
      </w:r>
      <w:proofErr w:type="spellEnd"/>
      <w:r w:rsidRPr="73E0304A">
        <w:rPr>
          <w:rFonts w:eastAsiaTheme="minorEastAsia"/>
          <w:b/>
          <w:bCs/>
        </w:rPr>
        <w:t xml:space="preserve"> </w:t>
      </w:r>
      <w:r w:rsidR="0AC7EB79" w:rsidRPr="0601C0E0">
        <w:rPr>
          <w:rFonts w:eastAsiaTheme="minorEastAsia"/>
          <w:b/>
          <w:bCs/>
        </w:rPr>
        <w:t>2024</w:t>
      </w:r>
    </w:p>
    <w:p w14:paraId="513ED254" w14:textId="3CADE3DC" w:rsidR="2854A89C" w:rsidRDefault="143EDC4C" w:rsidP="00B84341">
      <w:pPr>
        <w:rPr>
          <w:rFonts w:eastAsiaTheme="minorEastAsia"/>
        </w:rPr>
      </w:pPr>
      <w:r w:rsidRPr="218E8052">
        <w:rPr>
          <w:rFonts w:eastAsiaTheme="minorEastAsia"/>
        </w:rPr>
        <w:t xml:space="preserve">De sentrale forhandlingene for </w:t>
      </w:r>
      <w:proofErr w:type="spellStart"/>
      <w:r w:rsidRPr="218E8052">
        <w:rPr>
          <w:rFonts w:eastAsiaTheme="minorEastAsia"/>
        </w:rPr>
        <w:t>h</w:t>
      </w:r>
      <w:r w:rsidR="7C48098B" w:rsidRPr="218E8052">
        <w:rPr>
          <w:rFonts w:eastAsiaTheme="minorEastAsia"/>
        </w:rPr>
        <w:t>ovedtariffoppgjøret</w:t>
      </w:r>
      <w:proofErr w:type="spellEnd"/>
      <w:r w:rsidR="7C48098B" w:rsidRPr="7E99C30E">
        <w:rPr>
          <w:rFonts w:eastAsiaTheme="minorEastAsia"/>
        </w:rPr>
        <w:t xml:space="preserve"> i KS-området startet </w:t>
      </w:r>
      <w:r w:rsidR="5FF09EEC" w:rsidRPr="04B4171D">
        <w:rPr>
          <w:rFonts w:eastAsiaTheme="minorEastAsia"/>
        </w:rPr>
        <w:t>15</w:t>
      </w:r>
      <w:r w:rsidR="0E0D967A" w:rsidRPr="7E99C30E">
        <w:rPr>
          <w:rFonts w:eastAsiaTheme="minorEastAsia"/>
        </w:rPr>
        <w:t>.</w:t>
      </w:r>
      <w:r w:rsidR="7C48098B" w:rsidRPr="7E99C30E">
        <w:rPr>
          <w:rFonts w:eastAsiaTheme="minorEastAsia"/>
        </w:rPr>
        <w:t xml:space="preserve"> april og ble avsluttet med </w:t>
      </w:r>
      <w:r w:rsidR="7C48098B" w:rsidRPr="53AAA9E3">
        <w:rPr>
          <w:rFonts w:eastAsiaTheme="minorEastAsia"/>
        </w:rPr>
        <w:t>bruddprotokoll</w:t>
      </w:r>
      <w:r w:rsidR="3D42B9B9" w:rsidRPr="53AAA9E3">
        <w:rPr>
          <w:rFonts w:eastAsiaTheme="minorEastAsia"/>
        </w:rPr>
        <w:t xml:space="preserve"> natt</w:t>
      </w:r>
      <w:r w:rsidR="3D42B9B9" w:rsidRPr="2CB6B01F">
        <w:rPr>
          <w:rFonts w:eastAsiaTheme="minorEastAsia"/>
        </w:rPr>
        <w:t xml:space="preserve"> til</w:t>
      </w:r>
      <w:r w:rsidR="7C48098B" w:rsidRPr="2CB6B01F">
        <w:rPr>
          <w:rFonts w:eastAsiaTheme="minorEastAsia"/>
        </w:rPr>
        <w:t xml:space="preserve"> </w:t>
      </w:r>
      <w:r w:rsidR="3D42B9B9" w:rsidRPr="53AAA9E3">
        <w:rPr>
          <w:rFonts w:eastAsiaTheme="minorEastAsia"/>
        </w:rPr>
        <w:t>1. mai</w:t>
      </w:r>
      <w:r w:rsidR="7C48098B" w:rsidRPr="53AAA9E3">
        <w:rPr>
          <w:rFonts w:eastAsiaTheme="minorEastAsia"/>
        </w:rPr>
        <w:t>.</w:t>
      </w:r>
      <w:r w:rsidR="7C48098B" w:rsidRPr="7E99C30E">
        <w:rPr>
          <w:rFonts w:eastAsiaTheme="minorEastAsia"/>
        </w:rPr>
        <w:t xml:space="preserve"> Oppgjøret gikk til mekling </w:t>
      </w:r>
      <w:r w:rsidR="7C48098B" w:rsidRPr="3F837A47">
        <w:rPr>
          <w:rFonts w:eastAsiaTheme="minorEastAsia"/>
        </w:rPr>
        <w:t>me</w:t>
      </w:r>
      <w:r w:rsidR="2B9C1B00" w:rsidRPr="3F837A47">
        <w:rPr>
          <w:rFonts w:eastAsiaTheme="minorEastAsia"/>
        </w:rPr>
        <w:t>llom KS og Akademikerne</w:t>
      </w:r>
      <w:r w:rsidR="39006D5C" w:rsidRPr="3F837A47">
        <w:rPr>
          <w:rFonts w:eastAsiaTheme="minorEastAsia"/>
        </w:rPr>
        <w:t>.</w:t>
      </w:r>
      <w:r w:rsidR="39006D5C" w:rsidRPr="7E99C30E">
        <w:rPr>
          <w:rFonts w:eastAsiaTheme="minorEastAsia"/>
        </w:rPr>
        <w:t xml:space="preserve"> </w:t>
      </w:r>
      <w:r w:rsidR="31C1F4A7" w:rsidRPr="06361151">
        <w:rPr>
          <w:rFonts w:eastAsiaTheme="minorEastAsia"/>
        </w:rPr>
        <w:t xml:space="preserve">Mekling ble gjennomført </w:t>
      </w:r>
      <w:r w:rsidR="31C1F4A7" w:rsidRPr="218E8052">
        <w:rPr>
          <w:rFonts w:eastAsiaTheme="minorEastAsia"/>
        </w:rPr>
        <w:t xml:space="preserve">22. </w:t>
      </w:r>
      <w:r w:rsidR="15CCEF6A" w:rsidRPr="218E8052">
        <w:rPr>
          <w:rFonts w:eastAsiaTheme="minorEastAsia"/>
        </w:rPr>
        <w:t>o</w:t>
      </w:r>
      <w:r w:rsidR="31C1F4A7" w:rsidRPr="218E8052">
        <w:rPr>
          <w:rFonts w:eastAsiaTheme="minorEastAsia"/>
        </w:rPr>
        <w:t xml:space="preserve">g 23. </w:t>
      </w:r>
      <w:r w:rsidR="3ED0A19E" w:rsidRPr="218E8052">
        <w:rPr>
          <w:rFonts w:eastAsiaTheme="minorEastAsia"/>
        </w:rPr>
        <w:t>m</w:t>
      </w:r>
      <w:r w:rsidR="31C1F4A7" w:rsidRPr="218E8052">
        <w:rPr>
          <w:rFonts w:eastAsiaTheme="minorEastAsia"/>
        </w:rPr>
        <w:t>ai hv</w:t>
      </w:r>
      <w:r w:rsidR="5D1810E5" w:rsidRPr="218E8052">
        <w:rPr>
          <w:rFonts w:eastAsiaTheme="minorEastAsia"/>
        </w:rPr>
        <w:t>or partene aksepterte meklerens forslag.</w:t>
      </w:r>
      <w:r w:rsidR="5538C2F8" w:rsidRPr="218E8052">
        <w:rPr>
          <w:rFonts w:eastAsiaTheme="minorEastAsia"/>
        </w:rPr>
        <w:t xml:space="preserve"> </w:t>
      </w:r>
    </w:p>
    <w:p w14:paraId="30CF2DE7" w14:textId="02BB7D5A" w:rsidR="2854A89C" w:rsidRDefault="4917AE12" w:rsidP="00B84341">
      <w:pPr>
        <w:rPr>
          <w:rFonts w:eastAsiaTheme="minorEastAsia"/>
        </w:rPr>
      </w:pPr>
      <w:r w:rsidRPr="45DB2D8A">
        <w:rPr>
          <w:rFonts w:eastAsiaTheme="minorEastAsia"/>
        </w:rPr>
        <w:t xml:space="preserve">Resultatet av meklingen for medlemmer som tilhører kapittel 4 i Hovedtariffavtalen (lektorene) var en økonomisk ramme på </w:t>
      </w:r>
      <w:r w:rsidR="1C5316D7" w:rsidRPr="5BD6CBD2">
        <w:rPr>
          <w:rFonts w:eastAsiaTheme="minorEastAsia"/>
        </w:rPr>
        <w:t>5</w:t>
      </w:r>
      <w:r w:rsidR="1C5316D7" w:rsidRPr="6067955C">
        <w:rPr>
          <w:rFonts w:eastAsiaTheme="minorEastAsia"/>
        </w:rPr>
        <w:t>,2</w:t>
      </w:r>
      <w:r w:rsidRPr="45DB2D8A">
        <w:rPr>
          <w:rFonts w:eastAsiaTheme="minorEastAsia"/>
        </w:rPr>
        <w:t xml:space="preserve"> prosent fordelt på ansiennitetstabellen med sentrale generelle tillegg fra mellom kr </w:t>
      </w:r>
      <w:r w:rsidR="5B8A84AF" w:rsidRPr="7B2A88FC">
        <w:rPr>
          <w:rFonts w:eastAsiaTheme="minorEastAsia"/>
        </w:rPr>
        <w:t>22</w:t>
      </w:r>
      <w:r w:rsidRPr="45DB2D8A">
        <w:rPr>
          <w:rFonts w:eastAsiaTheme="minorEastAsia"/>
        </w:rPr>
        <w:t xml:space="preserve"> 000,- til kr </w:t>
      </w:r>
      <w:r w:rsidR="0872883C" w:rsidRPr="5DB7C9F6">
        <w:rPr>
          <w:rFonts w:eastAsiaTheme="minorEastAsia"/>
        </w:rPr>
        <w:t>37 0</w:t>
      </w:r>
      <w:r w:rsidRPr="5DB7C9F6">
        <w:rPr>
          <w:rFonts w:eastAsiaTheme="minorEastAsia"/>
        </w:rPr>
        <w:t>00</w:t>
      </w:r>
      <w:r w:rsidRPr="45DB2D8A">
        <w:rPr>
          <w:rFonts w:eastAsiaTheme="minorEastAsia"/>
        </w:rPr>
        <w:t xml:space="preserve">,- </w:t>
      </w:r>
      <w:r w:rsidR="14C13A02" w:rsidRPr="218E8052">
        <w:rPr>
          <w:rFonts w:eastAsiaTheme="minorEastAsia"/>
        </w:rPr>
        <w:t xml:space="preserve">Det ble satt av </w:t>
      </w:r>
      <w:r w:rsidR="3877ABCB" w:rsidRPr="63E9D094">
        <w:rPr>
          <w:rFonts w:eastAsiaTheme="minorEastAsia"/>
        </w:rPr>
        <w:t>1,1</w:t>
      </w:r>
      <w:r w:rsidR="3877ABCB" w:rsidRPr="6ECC61E3">
        <w:rPr>
          <w:rFonts w:eastAsiaTheme="minorEastAsia"/>
        </w:rPr>
        <w:t xml:space="preserve">% </w:t>
      </w:r>
      <w:r w:rsidR="3877ABCB" w:rsidRPr="11B69B34">
        <w:rPr>
          <w:rFonts w:eastAsiaTheme="minorEastAsia"/>
        </w:rPr>
        <w:t>pr</w:t>
      </w:r>
      <w:r w:rsidR="3877ABCB" w:rsidRPr="56F5D2F0">
        <w:rPr>
          <w:rFonts w:eastAsiaTheme="minorEastAsia"/>
        </w:rPr>
        <w:t xml:space="preserve"> 01.10</w:t>
      </w:r>
      <w:r w:rsidR="3877ABCB" w:rsidRPr="3FEE51E9">
        <w:rPr>
          <w:rFonts w:eastAsiaTheme="minorEastAsia"/>
        </w:rPr>
        <w:t xml:space="preserve">.24 </w:t>
      </w:r>
      <w:r w:rsidR="3877ABCB" w:rsidRPr="77117B88">
        <w:rPr>
          <w:rFonts w:eastAsiaTheme="minorEastAsia"/>
        </w:rPr>
        <w:t xml:space="preserve">Til lokale forhandlinger for </w:t>
      </w:r>
      <w:r w:rsidR="3877ABCB" w:rsidRPr="39CFEAF7">
        <w:rPr>
          <w:rFonts w:eastAsiaTheme="minorEastAsia"/>
        </w:rPr>
        <w:t xml:space="preserve">medlemmer tilhørende </w:t>
      </w:r>
      <w:r w:rsidR="3877ABCB" w:rsidRPr="11B69B34">
        <w:rPr>
          <w:rFonts w:eastAsiaTheme="minorEastAsia"/>
        </w:rPr>
        <w:t>kapittel 4.</w:t>
      </w:r>
    </w:p>
    <w:p w14:paraId="284181E1" w14:textId="70CC32DB" w:rsidR="2854A89C" w:rsidRDefault="5AA61D08" w:rsidP="00B84341">
      <w:pPr>
        <w:rPr>
          <w:rFonts w:eastAsiaTheme="minorEastAsia"/>
        </w:rPr>
      </w:pPr>
      <w:r w:rsidRPr="7E99C30E">
        <w:rPr>
          <w:rFonts w:eastAsiaTheme="minorEastAsia"/>
        </w:rPr>
        <w:t>For de av Akademikernes medlemmer som forhandler etter kapittel 3 og 5 (utelukkende lokalt uten sentralt avsatte rammer) blir forhandlingene gjennomført med siste frist 1. oktober</w:t>
      </w:r>
      <w:r w:rsidR="51C3BCAA" w:rsidRPr="218E8052">
        <w:rPr>
          <w:rFonts w:eastAsiaTheme="minorEastAsia"/>
        </w:rPr>
        <w:t xml:space="preserve"> 2024</w:t>
      </w:r>
      <w:r w:rsidRPr="7E99C30E">
        <w:rPr>
          <w:rFonts w:eastAsiaTheme="minorEastAsia"/>
        </w:rPr>
        <w:t xml:space="preserve">. Virkningsdato for lønnstillegg etter disse forhandlingene er 1. mai </w:t>
      </w:r>
      <w:r w:rsidRPr="5EEAF3F6">
        <w:rPr>
          <w:rFonts w:eastAsiaTheme="minorEastAsia"/>
        </w:rPr>
        <w:t>202</w:t>
      </w:r>
      <w:r w:rsidR="42181A65" w:rsidRPr="5EEAF3F6">
        <w:rPr>
          <w:rFonts w:eastAsiaTheme="minorEastAsia"/>
        </w:rPr>
        <w:t>4</w:t>
      </w:r>
      <w:r w:rsidRPr="7E99C30E">
        <w:rPr>
          <w:rFonts w:eastAsiaTheme="minorEastAsia"/>
        </w:rPr>
        <w:t>, med mindre partene lokalt blir enige om noe annet.</w:t>
      </w:r>
    </w:p>
    <w:p w14:paraId="5DEB9EE0" w14:textId="54E0651A" w:rsidR="632EC0FE" w:rsidRDefault="632EC0FE" w:rsidP="00B84341">
      <w:pPr>
        <w:rPr>
          <w:rFonts w:eastAsiaTheme="minorEastAsia"/>
        </w:rPr>
      </w:pPr>
      <w:r w:rsidRPr="7E99C30E">
        <w:rPr>
          <w:rFonts w:eastAsiaTheme="minorEastAsia"/>
        </w:rPr>
        <w:t xml:space="preserve">For den nye tariffperioden ble det satt ned </w:t>
      </w:r>
      <w:r w:rsidR="27666685" w:rsidRPr="14FE5254">
        <w:rPr>
          <w:rFonts w:eastAsiaTheme="minorEastAsia"/>
        </w:rPr>
        <w:t>tre</w:t>
      </w:r>
      <w:r w:rsidRPr="7E99C30E">
        <w:rPr>
          <w:rFonts w:eastAsiaTheme="minorEastAsia"/>
        </w:rPr>
        <w:t xml:space="preserve"> partssammensatte utvalg for Hovedtariffavtalen</w:t>
      </w:r>
      <w:r w:rsidRPr="0679A836">
        <w:rPr>
          <w:rFonts w:eastAsiaTheme="minorEastAsia"/>
        </w:rPr>
        <w:t>.</w:t>
      </w:r>
      <w:r w:rsidRPr="7E99C30E">
        <w:rPr>
          <w:rFonts w:eastAsiaTheme="minorEastAsia"/>
        </w:rPr>
        <w:t xml:space="preserve"> For Hovedtariffavtalen gjelder dette temaene heltidskultur, sentrale lønns- og stillingsbestemmelser og </w:t>
      </w:r>
      <w:r w:rsidR="0AE12413" w:rsidRPr="48DD14B3">
        <w:rPr>
          <w:rFonts w:eastAsiaTheme="minorEastAsia"/>
        </w:rPr>
        <w:t xml:space="preserve">en </w:t>
      </w:r>
      <w:r w:rsidR="0AE12413" w:rsidRPr="4A5AA1A0">
        <w:rPr>
          <w:rFonts w:eastAsiaTheme="minorEastAsia"/>
        </w:rPr>
        <w:t xml:space="preserve">gjennomgang av </w:t>
      </w:r>
      <w:r w:rsidR="0AE12413" w:rsidRPr="4AF3231B">
        <w:rPr>
          <w:rFonts w:eastAsiaTheme="minorEastAsia"/>
        </w:rPr>
        <w:t xml:space="preserve">ikke-materielle </w:t>
      </w:r>
      <w:r w:rsidR="0AE12413" w:rsidRPr="07EE2F9F">
        <w:rPr>
          <w:rFonts w:eastAsiaTheme="minorEastAsia"/>
        </w:rPr>
        <w:t xml:space="preserve">tekster og begreper i </w:t>
      </w:r>
      <w:r w:rsidR="0AE12413" w:rsidRPr="4AFD4919">
        <w:rPr>
          <w:rFonts w:eastAsiaTheme="minorEastAsia"/>
        </w:rPr>
        <w:t>HTA</w:t>
      </w:r>
      <w:r w:rsidRPr="4AFD4919">
        <w:rPr>
          <w:rFonts w:eastAsiaTheme="minorEastAsia"/>
        </w:rPr>
        <w:t>.</w:t>
      </w:r>
      <w:r w:rsidRPr="73E0304A">
        <w:rPr>
          <w:rFonts w:eastAsiaTheme="minorEastAsia"/>
        </w:rPr>
        <w:t xml:space="preserve"> </w:t>
      </w:r>
    </w:p>
    <w:p w14:paraId="42226363" w14:textId="22D75DCE" w:rsidR="002C3020" w:rsidRPr="008F3D15" w:rsidRDefault="724FF2B2" w:rsidP="09D7C99A">
      <w:pPr>
        <w:pStyle w:val="Overskrift2"/>
        <w:rPr>
          <w:rStyle w:val="Overskrift3Tegn"/>
          <w:b/>
          <w:bCs/>
          <w:color w:val="262682" w:themeColor="accent1"/>
        </w:rPr>
      </w:pPr>
      <w:bookmarkStart w:id="28" w:name="_Toc522810450"/>
      <w:bookmarkStart w:id="29" w:name="_Toc176264513"/>
      <w:bookmarkEnd w:id="26"/>
      <w:r w:rsidRPr="73E0304A">
        <w:rPr>
          <w:rStyle w:val="Overskrift2Tegn"/>
          <w:b/>
          <w:bCs/>
        </w:rPr>
        <w:t>2</w:t>
      </w:r>
      <w:r w:rsidR="15C43517" w:rsidRPr="73E0304A">
        <w:rPr>
          <w:rStyle w:val="Overskrift2Tegn"/>
          <w:b/>
          <w:bCs/>
        </w:rPr>
        <w:t>.</w:t>
      </w:r>
      <w:r w:rsidRPr="73E0304A">
        <w:rPr>
          <w:rStyle w:val="Overskrift2Tegn"/>
          <w:b/>
          <w:bCs/>
        </w:rPr>
        <w:t>2</w:t>
      </w:r>
      <w:r w:rsidR="15C43517" w:rsidRPr="73E0304A">
        <w:rPr>
          <w:rStyle w:val="Overskrift2Tegn"/>
          <w:b/>
          <w:bCs/>
        </w:rPr>
        <w:t xml:space="preserve">.3 </w:t>
      </w:r>
      <w:bookmarkStart w:id="30" w:name="_Toc522810451"/>
      <w:bookmarkEnd w:id="28"/>
      <w:r w:rsidR="45426433" w:rsidRPr="73E0304A">
        <w:rPr>
          <w:rStyle w:val="Overskrift3Tegn"/>
          <w:b/>
          <w:bCs/>
          <w:color w:val="262682" w:themeColor="accent1"/>
        </w:rPr>
        <w:t>Akademikerne kommune</w:t>
      </w:r>
      <w:r w:rsidR="296D71B8" w:rsidRPr="73E0304A">
        <w:rPr>
          <w:rStyle w:val="Overskrift3Tegn"/>
          <w:b/>
          <w:bCs/>
          <w:color w:val="262682" w:themeColor="accent1"/>
        </w:rPr>
        <w:t xml:space="preserve"> – Samfunnsbedriftene</w:t>
      </w:r>
      <w:bookmarkEnd w:id="29"/>
    </w:p>
    <w:p w14:paraId="0CF802E8" w14:textId="61959C54" w:rsidR="2854A89C" w:rsidRPr="00DB3873" w:rsidRDefault="2854A89C" w:rsidP="00DB3873">
      <w:pPr>
        <w:rPr>
          <w:b/>
          <w:bCs/>
        </w:rPr>
      </w:pPr>
      <w:bookmarkStart w:id="31" w:name="_Toc114065547"/>
      <w:r w:rsidRPr="00DB3873">
        <w:rPr>
          <w:b/>
          <w:bCs/>
        </w:rPr>
        <w:t xml:space="preserve">Mellomoppgjøret </w:t>
      </w:r>
      <w:bookmarkEnd w:id="31"/>
      <w:r w:rsidR="684EE753" w:rsidRPr="00DB3873">
        <w:rPr>
          <w:b/>
          <w:bCs/>
        </w:rPr>
        <w:t>2024</w:t>
      </w:r>
    </w:p>
    <w:p w14:paraId="590E9F5C" w14:textId="3D38384A" w:rsidR="2854A89C" w:rsidRDefault="0564D58D" w:rsidP="00B84341">
      <w:bookmarkStart w:id="32" w:name="_Toc114065548"/>
      <w:r>
        <w:t>I tariffområdet Samfunnsbedriftene kom partene til enighet etter forhandlinger. Enigheten innebar en</w:t>
      </w:r>
      <w:r w:rsidR="51A2654B">
        <w:t xml:space="preserve"> økonomisk r</w:t>
      </w:r>
      <w:r>
        <w:t xml:space="preserve">amme på </w:t>
      </w:r>
      <w:r w:rsidR="2B779FAB">
        <w:t>5,4</w:t>
      </w:r>
      <w:r>
        <w:t xml:space="preserve"> </w:t>
      </w:r>
      <w:r w:rsidR="00F05EBA">
        <w:t>prosent</w:t>
      </w:r>
      <w:r>
        <w:t xml:space="preserve"> for øvrige grupper uten akademisk utdanning</w:t>
      </w:r>
      <w:r w:rsidR="3F770663">
        <w:t xml:space="preserve">. </w:t>
      </w:r>
      <w:r w:rsidR="7970FA89">
        <w:t>Det ble satt av 1,2 prosent pr 01.09.23 til lokale forhandlinger for denne gruppen. Senere ble d</w:t>
      </w:r>
      <w:r w:rsidR="3F770663">
        <w:t>e</w:t>
      </w:r>
      <w:r w:rsidR="0C333854">
        <w:t>t</w:t>
      </w:r>
      <w:r>
        <w:t xml:space="preserve"> gjennomfør</w:t>
      </w:r>
      <w:r w:rsidR="0795F2BA">
        <w:t>t</w:t>
      </w:r>
      <w:r>
        <w:t xml:space="preserve"> kollektive lokale forhandlinger for Akademikernes medlemmer i virksomhetene tilknyttet Samfunnsbedriftene.</w:t>
      </w:r>
      <w:bookmarkEnd w:id="32"/>
      <w:r w:rsidR="2E0F8C2D">
        <w:t xml:space="preserve"> Forhandlingene har virkningstidspunkt 1.5.2023 med mindre partene lokalt blir enige om noe annet.</w:t>
      </w:r>
    </w:p>
    <w:p w14:paraId="444FFAFB" w14:textId="5EC05873" w:rsidR="2854A89C" w:rsidRPr="00EB0D04" w:rsidRDefault="2854A89C" w:rsidP="73E0304A">
      <w:pPr>
        <w:rPr>
          <w:b/>
          <w:bCs/>
        </w:rPr>
      </w:pPr>
      <w:proofErr w:type="spellStart"/>
      <w:r w:rsidRPr="73E0304A">
        <w:rPr>
          <w:b/>
          <w:bCs/>
        </w:rPr>
        <w:t>Hovedtariffoppgjøret</w:t>
      </w:r>
      <w:proofErr w:type="spellEnd"/>
      <w:r w:rsidRPr="73E0304A">
        <w:rPr>
          <w:b/>
          <w:bCs/>
        </w:rPr>
        <w:t xml:space="preserve"> </w:t>
      </w:r>
      <w:r w:rsidR="1E1F8E64" w:rsidRPr="104B6D06">
        <w:rPr>
          <w:b/>
          <w:bCs/>
        </w:rPr>
        <w:t>2024</w:t>
      </w:r>
    </w:p>
    <w:p w14:paraId="28BC950D" w14:textId="0DF4CD69" w:rsidR="5536DFA1" w:rsidRDefault="375B6E48" w:rsidP="00B84341">
      <w:proofErr w:type="spellStart"/>
      <w:r>
        <w:t>Hovedtarif</w:t>
      </w:r>
      <w:r w:rsidR="7544031E">
        <w:t>foppgjøret</w:t>
      </w:r>
      <w:proofErr w:type="spellEnd"/>
      <w:r w:rsidR="7544031E">
        <w:t xml:space="preserve"> i Samfunnsbedriftene startet </w:t>
      </w:r>
      <w:r w:rsidR="0DAD50C1">
        <w:t>14</w:t>
      </w:r>
      <w:r w:rsidR="7544031E">
        <w:t xml:space="preserve">. juni og ble avsluttet med enighet mellom </w:t>
      </w:r>
      <w:r w:rsidR="126E7DE5">
        <w:t>partene samme natt</w:t>
      </w:r>
      <w:r w:rsidR="7544031E">
        <w:t xml:space="preserve">. Resultatet var en økonomisk ramme på </w:t>
      </w:r>
      <w:r w:rsidR="368DAF49">
        <w:t>5,2</w:t>
      </w:r>
      <w:r w:rsidR="7544031E">
        <w:t xml:space="preserve"> </w:t>
      </w:r>
      <w:r w:rsidR="00F05EBA">
        <w:t>prosent</w:t>
      </w:r>
      <w:r w:rsidR="7544031E">
        <w:t xml:space="preserve"> for </w:t>
      </w:r>
      <w:r w:rsidR="5C9E5FF0">
        <w:t>grupper uten akademisk utdanning</w:t>
      </w:r>
      <w:r w:rsidR="7544031E">
        <w:t>, som tilhører Hovedtariffavtalens gruppe 1 med sentral lønnsdannelse. Det ble satt av 1</w:t>
      </w:r>
      <w:r w:rsidR="00F05EBA">
        <w:t xml:space="preserve"> prosent</w:t>
      </w:r>
      <w:r w:rsidR="7544031E">
        <w:t xml:space="preserve"> </w:t>
      </w:r>
      <w:r w:rsidR="436DCDB5">
        <w:t>med virkning fra 01.09.24</w:t>
      </w:r>
      <w:r w:rsidR="7544031E">
        <w:t xml:space="preserve"> til lokale forhandlinger for denne gruppen. Akademikernes medlemmer tilhører gruppe 2 i avtalen og har dermed utelukkende lokal lønnsdannelse. </w:t>
      </w:r>
      <w:r w:rsidR="77385BF6">
        <w:t>Nytt av året er at d</w:t>
      </w:r>
      <w:r w:rsidR="7544031E">
        <w:t xml:space="preserve">isse kollektive lokale forhandlingene </w:t>
      </w:r>
      <w:r w:rsidR="5EC5AC64">
        <w:t xml:space="preserve">skal gjennomføres innen </w:t>
      </w:r>
      <w:r w:rsidR="5EC5AC64">
        <w:lastRenderedPageBreak/>
        <w:t>15.11. hvert år</w:t>
      </w:r>
      <w:r w:rsidR="14D8158F">
        <w:t xml:space="preserve">. Forhandlingene </w:t>
      </w:r>
      <w:r w:rsidR="7544031E">
        <w:t>har virkningstidspunkt 1.5.202</w:t>
      </w:r>
      <w:r w:rsidR="45C5F3D2">
        <w:t>4</w:t>
      </w:r>
      <w:r w:rsidR="7544031E">
        <w:t xml:space="preserve"> med mindre partene lokalt blir enige om noe annet. </w:t>
      </w:r>
    </w:p>
    <w:p w14:paraId="113879C1" w14:textId="5AEE1CE2" w:rsidR="573F71FF" w:rsidRDefault="573F71FF" w:rsidP="00B84341">
      <w:pPr>
        <w:rPr>
          <w:rFonts w:eastAsiaTheme="minorEastAsia"/>
        </w:rPr>
      </w:pPr>
      <w:r w:rsidRPr="47946889">
        <w:rPr>
          <w:rFonts w:eastAsiaTheme="minorEastAsia"/>
        </w:rPr>
        <w:t xml:space="preserve">For den nye tariffperioden ble det satt ned </w:t>
      </w:r>
      <w:r w:rsidRPr="49D5E9A1">
        <w:rPr>
          <w:rFonts w:eastAsiaTheme="minorEastAsia"/>
        </w:rPr>
        <w:t>to</w:t>
      </w:r>
      <w:r w:rsidRPr="47946889">
        <w:rPr>
          <w:rFonts w:eastAsiaTheme="minorEastAsia"/>
        </w:rPr>
        <w:t xml:space="preserve"> partssammensatte utvalg for Hovedtariffavtalen. For Hovedtariffavtalen gjelder dette temaene heltidskultur, sentrale lønns- og stillingsbestemmelser og en gjennomgang av ikke-materielle tekster og begreper i HTA.</w:t>
      </w:r>
    </w:p>
    <w:p w14:paraId="2B9AE88A" w14:textId="2FC9F8B1" w:rsidR="001F588A" w:rsidRPr="008129F1" w:rsidRDefault="6D84FF9E" w:rsidP="00EF4D73">
      <w:pPr>
        <w:pStyle w:val="Overskrift2"/>
      </w:pPr>
      <w:bookmarkStart w:id="33" w:name="_Toc522810453"/>
      <w:bookmarkStart w:id="34" w:name="_Toc176264514"/>
      <w:bookmarkEnd w:id="30"/>
      <w:r>
        <w:t>2</w:t>
      </w:r>
      <w:r w:rsidR="15C43517">
        <w:t>.</w:t>
      </w:r>
      <w:r>
        <w:t>2</w:t>
      </w:r>
      <w:r w:rsidR="15C43517">
        <w:t xml:space="preserve">.4 </w:t>
      </w:r>
      <w:r w:rsidR="63624A11">
        <w:t xml:space="preserve">Akademikerne kommune - </w:t>
      </w:r>
      <w:r w:rsidR="31493868">
        <w:t>Oslo kommune</w:t>
      </w:r>
      <w:bookmarkEnd w:id="33"/>
      <w:bookmarkEnd w:id="34"/>
    </w:p>
    <w:p w14:paraId="170D5728" w14:textId="45392637" w:rsidR="2854A89C" w:rsidRPr="00CC1D07" w:rsidRDefault="2854A89C" w:rsidP="00CC1D07">
      <w:pPr>
        <w:rPr>
          <w:b/>
          <w:bCs/>
        </w:rPr>
      </w:pPr>
      <w:bookmarkStart w:id="35" w:name="_Toc114065550"/>
      <w:r w:rsidRPr="00CC1D07">
        <w:rPr>
          <w:b/>
          <w:bCs/>
        </w:rPr>
        <w:t xml:space="preserve">Mellomoppgjøret </w:t>
      </w:r>
      <w:bookmarkEnd w:id="35"/>
      <w:r w:rsidR="3095530D" w:rsidRPr="00CC1D07">
        <w:rPr>
          <w:b/>
          <w:bCs/>
        </w:rPr>
        <w:t>2023</w:t>
      </w:r>
    </w:p>
    <w:p w14:paraId="5341C756" w14:textId="448AC8FE" w:rsidR="2854A89C" w:rsidRDefault="3F14B066" w:rsidP="00CC1D07">
      <w:bookmarkStart w:id="36" w:name="_Toc171597692"/>
      <w:bookmarkStart w:id="37" w:name="_Toc175146226"/>
      <w:bookmarkStart w:id="38" w:name="_Toc176264515"/>
      <w:r w:rsidRPr="00DB3873">
        <w:rPr>
          <w:rStyle w:val="Overskrift2Tegn"/>
          <w:rFonts w:asciiTheme="minorHAnsi" w:eastAsiaTheme="minorEastAsia" w:hAnsiTheme="minorHAnsi" w:cstheme="minorBidi"/>
          <w:b w:val="0"/>
          <w:bCs/>
          <w:color w:val="auto"/>
          <w:sz w:val="22"/>
          <w:szCs w:val="22"/>
        </w:rPr>
        <w:t>I mellomoppgjøret</w:t>
      </w:r>
      <w:bookmarkStart w:id="39" w:name="_Toc114065551"/>
      <w:bookmarkEnd w:id="36"/>
      <w:bookmarkEnd w:id="37"/>
      <w:bookmarkEnd w:id="38"/>
      <w:r w:rsidR="3DEF4C0C" w:rsidRPr="00DB3873">
        <w:rPr>
          <w:rStyle w:val="Overskrift2Tegn"/>
          <w:rFonts w:asciiTheme="minorHAnsi" w:eastAsiaTheme="minorEastAsia" w:hAnsiTheme="minorHAnsi" w:cstheme="minorBidi"/>
          <w:color w:val="auto"/>
          <w:sz w:val="22"/>
          <w:szCs w:val="22"/>
        </w:rPr>
        <w:t xml:space="preserve"> </w:t>
      </w:r>
      <w:r w:rsidR="3E8EF6F6" w:rsidRPr="00DB3873">
        <w:t>ble det i tariffoppgjøret 2023 forhandlingsløsning både for Akademikerne og for de øvrige forhandlingssammenslutningene</w:t>
      </w:r>
      <w:r w:rsidR="3E8EF6F6" w:rsidRPr="7B5E249D">
        <w:t xml:space="preserve">. Akademikerne ble enige med Oslo kommune om </w:t>
      </w:r>
      <w:r w:rsidR="490EF2E2" w:rsidRPr="7B5E249D">
        <w:t>en økonomisk ramme på 5,4 %. Dette var noe over frontfagsanslaget samme år (5,2 %</w:t>
      </w:r>
      <w:r w:rsidR="2D43172B" w:rsidRPr="7B5E249D">
        <w:t xml:space="preserve">). </w:t>
      </w:r>
    </w:p>
    <w:p w14:paraId="538CCE69" w14:textId="099AADAB" w:rsidR="2854A89C" w:rsidRPr="00175A7E" w:rsidRDefault="2D43172B" w:rsidP="00CC1D07">
      <w:r w:rsidRPr="167B51A5">
        <w:t xml:space="preserve">Den økonomiske rammen ble fordelt </w:t>
      </w:r>
      <w:r w:rsidR="4ECBBD24" w:rsidRPr="167B51A5">
        <w:t>med et prosentvist tillegg på lønnstabellen på 6 %</w:t>
      </w:r>
      <w:r w:rsidR="266FD5F2" w:rsidRPr="167B51A5">
        <w:t xml:space="preserve">, minimum et kronetillegg på kr </w:t>
      </w:r>
      <w:r w:rsidR="4ECBBD24" w:rsidRPr="167B51A5">
        <w:t xml:space="preserve">32 600. Virkningstidspunkt for tilleggene var </w:t>
      </w:r>
      <w:r w:rsidR="2873650A" w:rsidRPr="167B51A5">
        <w:t xml:space="preserve">1. mai 2023. </w:t>
      </w:r>
    </w:p>
    <w:bookmarkEnd w:id="39"/>
    <w:p w14:paraId="05342078" w14:textId="2C852403" w:rsidR="2854A89C" w:rsidRPr="009A7717" w:rsidRDefault="1B769370" w:rsidP="009A7717">
      <w:pPr>
        <w:rPr>
          <w:b/>
          <w:bCs/>
        </w:rPr>
      </w:pPr>
      <w:proofErr w:type="spellStart"/>
      <w:r w:rsidRPr="009A7717">
        <w:rPr>
          <w:b/>
          <w:bCs/>
        </w:rPr>
        <w:t>Hovedtariffoppgjøret</w:t>
      </w:r>
      <w:proofErr w:type="spellEnd"/>
      <w:r w:rsidRPr="009A7717">
        <w:rPr>
          <w:b/>
          <w:bCs/>
        </w:rPr>
        <w:t xml:space="preserve"> </w:t>
      </w:r>
      <w:r w:rsidR="4B66E3E4" w:rsidRPr="009A7717">
        <w:rPr>
          <w:b/>
          <w:bCs/>
        </w:rPr>
        <w:t>2024</w:t>
      </w:r>
    </w:p>
    <w:p w14:paraId="44BE5E7E" w14:textId="0116C0D8" w:rsidR="1A5EACF6" w:rsidRDefault="003D3A15" w:rsidP="7E510172">
      <w:pPr>
        <w:spacing w:after="160" w:line="257" w:lineRule="auto"/>
        <w:rPr>
          <w:rFonts w:ascii="Times New Roman" w:eastAsia="Times New Roman" w:hAnsi="Times New Roman" w:cs="Times New Roman"/>
        </w:rPr>
      </w:pPr>
      <w:proofErr w:type="spellStart"/>
      <w:r w:rsidRPr="7E510172">
        <w:rPr>
          <w:rFonts w:ascii="Times New Roman" w:eastAsia="Times New Roman" w:hAnsi="Times New Roman" w:cs="Times New Roman"/>
        </w:rPr>
        <w:t>Hovedtariffoppgjøret</w:t>
      </w:r>
      <w:proofErr w:type="spellEnd"/>
      <w:r w:rsidR="0B925EE8" w:rsidRPr="7E510172">
        <w:rPr>
          <w:rFonts w:ascii="Times New Roman" w:eastAsia="Times New Roman" w:hAnsi="Times New Roman" w:cs="Times New Roman"/>
        </w:rPr>
        <w:t xml:space="preserve"> i Oslo kommune startet 22. april og ble avsluttet med bruddprotokoll 30. april. Oppgjøret gikk til mekling med alle partene. Meklingen, berammet fra 21. til 23. april, ble avsluttet på overtid 24. april. Meklingsresultatet ble godkjent av samtlige parter og innebar et generelt tillegg på 3,7 prosent, minimum 20 000 kr, per 1. mai</w:t>
      </w:r>
      <w:r w:rsidR="7CBB1BD6" w:rsidRPr="3EE2F3D2">
        <w:rPr>
          <w:rFonts w:ascii="Times New Roman" w:eastAsia="Times New Roman" w:hAnsi="Times New Roman" w:cs="Times New Roman"/>
        </w:rPr>
        <w:t>.</w:t>
      </w:r>
      <w:r w:rsidR="0B925EE8" w:rsidRPr="7E510172">
        <w:rPr>
          <w:rFonts w:ascii="Times New Roman" w:eastAsia="Times New Roman" w:hAnsi="Times New Roman" w:cs="Times New Roman"/>
        </w:rPr>
        <w:t xml:space="preserve"> </w:t>
      </w:r>
      <w:r w:rsidR="7649652B" w:rsidRPr="7BCB13ED">
        <w:rPr>
          <w:rFonts w:ascii="Times New Roman" w:eastAsia="Times New Roman" w:hAnsi="Times New Roman" w:cs="Times New Roman"/>
        </w:rPr>
        <w:t xml:space="preserve">I </w:t>
      </w:r>
      <w:r w:rsidR="7649652B" w:rsidRPr="4BBE7A1D">
        <w:rPr>
          <w:rFonts w:ascii="Times New Roman" w:eastAsia="Times New Roman" w:hAnsi="Times New Roman" w:cs="Times New Roman"/>
        </w:rPr>
        <w:t xml:space="preserve">tillegg ble det </w:t>
      </w:r>
      <w:r w:rsidR="7649652B" w:rsidRPr="66D9AF51">
        <w:rPr>
          <w:rFonts w:ascii="Times New Roman" w:eastAsia="Times New Roman" w:hAnsi="Times New Roman" w:cs="Times New Roman"/>
        </w:rPr>
        <w:t>satt av</w:t>
      </w:r>
      <w:r w:rsidR="0B925EE8" w:rsidRPr="7E510172">
        <w:rPr>
          <w:rFonts w:ascii="Times New Roman" w:eastAsia="Times New Roman" w:hAnsi="Times New Roman" w:cs="Times New Roman"/>
        </w:rPr>
        <w:t xml:space="preserve"> 1,3 prosent til lokale forhandlinger</w:t>
      </w:r>
      <w:r w:rsidR="41A2B326" w:rsidRPr="18FE4BCF">
        <w:rPr>
          <w:rFonts w:ascii="Times New Roman" w:eastAsia="Times New Roman" w:hAnsi="Times New Roman" w:cs="Times New Roman"/>
        </w:rPr>
        <w:t>,</w:t>
      </w:r>
      <w:r w:rsidR="0B925EE8" w:rsidRPr="7E510172">
        <w:rPr>
          <w:rFonts w:ascii="Times New Roman" w:eastAsia="Times New Roman" w:hAnsi="Times New Roman" w:cs="Times New Roman"/>
        </w:rPr>
        <w:t xml:space="preserve"> med virkningsdato 1. juli. Den totale rammen for oppgjøret var på 5,2 prosent. </w:t>
      </w:r>
    </w:p>
    <w:p w14:paraId="1A34E081" w14:textId="2EC312C9" w:rsidR="0B925EE8" w:rsidRDefault="0B925EE8" w:rsidP="00142265">
      <w:pPr>
        <w:spacing w:after="160" w:line="257" w:lineRule="auto"/>
        <w:rPr>
          <w:rFonts w:ascii="Times New Roman" w:eastAsia="Times New Roman" w:hAnsi="Times New Roman" w:cs="Times New Roman"/>
        </w:rPr>
      </w:pPr>
      <w:r w:rsidRPr="7E510172">
        <w:rPr>
          <w:rFonts w:ascii="Times New Roman" w:eastAsia="Times New Roman" w:hAnsi="Times New Roman" w:cs="Times New Roman"/>
        </w:rPr>
        <w:t xml:space="preserve">Akademikerne fikk gjennomslag for endringer i Del B, kapittel 9 som gjelder for stillinger med lokal lønnsdannelse. Tvisteløsning ved lokale forhandlinger og åpning for forhandlinger på særlig grunnlag er de viktigste endringene.  </w:t>
      </w:r>
    </w:p>
    <w:p w14:paraId="68331AD0" w14:textId="36BBF63F" w:rsidR="0B925EE8" w:rsidRDefault="0B925EE8" w:rsidP="00142265">
      <w:pPr>
        <w:spacing w:after="160" w:line="257" w:lineRule="auto"/>
        <w:rPr>
          <w:rFonts w:ascii="Times New Roman" w:eastAsia="Times New Roman" w:hAnsi="Times New Roman" w:cs="Times New Roman"/>
        </w:rPr>
      </w:pPr>
      <w:r w:rsidRPr="7E510172">
        <w:rPr>
          <w:rFonts w:ascii="Times New Roman" w:eastAsia="Times New Roman" w:hAnsi="Times New Roman" w:cs="Times New Roman"/>
        </w:rPr>
        <w:t>I tariffperioden skal partene skal ha samtaler om forenkling av avtaleverket og om utvidet bruk av lokal lønnsdannelse. Det nedsettes et partssammensatt utvalg om heltidskultur</w:t>
      </w:r>
      <w:r w:rsidR="6B648542" w:rsidRPr="59CCC2EE">
        <w:rPr>
          <w:rFonts w:ascii="Times New Roman" w:eastAsia="Times New Roman" w:hAnsi="Times New Roman" w:cs="Times New Roman"/>
        </w:rPr>
        <w:t>. Videre skal</w:t>
      </w:r>
      <w:r w:rsidRPr="7E510172">
        <w:rPr>
          <w:rFonts w:ascii="Times New Roman" w:eastAsia="Times New Roman" w:hAnsi="Times New Roman" w:cs="Times New Roman"/>
        </w:rPr>
        <w:t xml:space="preserve"> partene følge med på </w:t>
      </w:r>
      <w:proofErr w:type="spellStart"/>
      <w:r w:rsidRPr="7E510172">
        <w:rPr>
          <w:rFonts w:ascii="Times New Roman" w:eastAsia="Times New Roman" w:hAnsi="Times New Roman" w:cs="Times New Roman"/>
        </w:rPr>
        <w:t>Kompentansebehovsutvalgets</w:t>
      </w:r>
      <w:proofErr w:type="spellEnd"/>
      <w:r w:rsidRPr="7E510172">
        <w:rPr>
          <w:rFonts w:ascii="Times New Roman" w:eastAsia="Times New Roman" w:hAnsi="Times New Roman" w:cs="Times New Roman"/>
        </w:rPr>
        <w:t xml:space="preserve"> arbeid, med </w:t>
      </w:r>
      <w:proofErr w:type="gramStart"/>
      <w:r w:rsidRPr="7E510172">
        <w:rPr>
          <w:rFonts w:ascii="Times New Roman" w:eastAsia="Times New Roman" w:hAnsi="Times New Roman" w:cs="Times New Roman"/>
        </w:rPr>
        <w:t>fokus</w:t>
      </w:r>
      <w:proofErr w:type="gramEnd"/>
      <w:r w:rsidRPr="7E510172">
        <w:rPr>
          <w:rFonts w:ascii="Times New Roman" w:eastAsia="Times New Roman" w:hAnsi="Times New Roman" w:cs="Times New Roman"/>
        </w:rPr>
        <w:t xml:space="preserve"> på konsekvenser av ny teknologi og kunstig intelligens.</w:t>
      </w:r>
    </w:p>
    <w:p w14:paraId="18D5B676" w14:textId="7923BC11" w:rsidR="001F588A" w:rsidRDefault="00210E8B" w:rsidP="002C3020">
      <w:pPr>
        <w:pStyle w:val="Overskrift2"/>
      </w:pPr>
      <w:bookmarkStart w:id="40" w:name="_Toc522810457"/>
      <w:bookmarkStart w:id="41" w:name="_Toc176264516"/>
      <w:r>
        <w:t>2</w:t>
      </w:r>
      <w:r w:rsidR="008F3D15">
        <w:t>.</w:t>
      </w:r>
      <w:r>
        <w:t>2</w:t>
      </w:r>
      <w:r w:rsidR="008F3D15">
        <w:t xml:space="preserve">.5 </w:t>
      </w:r>
      <w:r w:rsidR="001F588A" w:rsidRPr="008129F1">
        <w:t>Akademikerne helse</w:t>
      </w:r>
      <w:bookmarkEnd w:id="40"/>
      <w:bookmarkEnd w:id="41"/>
      <w:r w:rsidR="001F588A" w:rsidRPr="008129F1">
        <w:t xml:space="preserve">  </w:t>
      </w:r>
    </w:p>
    <w:p w14:paraId="19862EAB" w14:textId="11DBF392" w:rsidR="00624BE6" w:rsidRPr="001E55F2" w:rsidRDefault="00624BE6" w:rsidP="001E55F2">
      <w:pPr>
        <w:rPr>
          <w:b/>
          <w:bCs/>
        </w:rPr>
      </w:pPr>
      <w:r w:rsidRPr="001E55F2">
        <w:rPr>
          <w:b/>
          <w:bCs/>
        </w:rPr>
        <w:t>Mellomopp</w:t>
      </w:r>
      <w:r w:rsidR="00720DD2" w:rsidRPr="001E55F2">
        <w:rPr>
          <w:b/>
          <w:bCs/>
        </w:rPr>
        <w:t xml:space="preserve">gjøret </w:t>
      </w:r>
      <w:r w:rsidR="606CA83B" w:rsidRPr="001E55F2">
        <w:rPr>
          <w:b/>
          <w:bCs/>
        </w:rPr>
        <w:t>2023</w:t>
      </w:r>
    </w:p>
    <w:p w14:paraId="7B28FBD6" w14:textId="46578AF3" w:rsidR="002A0B03" w:rsidRDefault="002A0B03" w:rsidP="001E55F2">
      <w:r>
        <w:t xml:space="preserve">Akademikerne helse kom til enighet etter forhandlinger med Spekter i område 10 og område 13. De økonomiske resultatene var på nivå med resten av offentlig sektor. </w:t>
      </w:r>
    </w:p>
    <w:p w14:paraId="1FB6ECDD" w14:textId="7CD3BCA4" w:rsidR="002A0B03" w:rsidRDefault="5DA86D8E" w:rsidP="001E55F2">
      <w:r>
        <w:lastRenderedPageBreak/>
        <w:t xml:space="preserve">I forbindelse med de innledende forhandlingene til mellomoppgjøret, ble Akademikerne og Spekter enige om at det gjennomføres et partsarbeid for å undersøke omfang, vilkår og mulige konsekvenser knyttet til bruk av hjemmekontor i virksomhetene. Dette arbeidet ble lagt til </w:t>
      </w:r>
      <w:r w:rsidR="008C5C13">
        <w:t xml:space="preserve">“utvalget for samarbeid, integrering og kompetanse” - et utvalg </w:t>
      </w:r>
      <w:r w:rsidR="5677B05B">
        <w:t xml:space="preserve">som har eksistert med ulike partssammensatte oppgaver i over 25 år. </w:t>
      </w:r>
      <w:r w:rsidR="008C5C13">
        <w:t xml:space="preserve"> </w:t>
      </w:r>
    </w:p>
    <w:p w14:paraId="01B35338" w14:textId="619079DB" w:rsidR="00A67096" w:rsidRPr="00175A7E" w:rsidRDefault="00A67096" w:rsidP="73E0304A">
      <w:pPr>
        <w:rPr>
          <w:b/>
          <w:bCs/>
        </w:rPr>
      </w:pPr>
      <w:proofErr w:type="spellStart"/>
      <w:r w:rsidRPr="6970BEEF">
        <w:rPr>
          <w:b/>
          <w:bCs/>
        </w:rPr>
        <w:t>Hovedtariffoppgjø</w:t>
      </w:r>
      <w:r w:rsidR="00F368F9" w:rsidRPr="6970BEEF">
        <w:rPr>
          <w:b/>
          <w:bCs/>
        </w:rPr>
        <w:t>ret</w:t>
      </w:r>
      <w:proofErr w:type="spellEnd"/>
      <w:r w:rsidR="00F368F9" w:rsidRPr="6970BEEF">
        <w:rPr>
          <w:b/>
          <w:bCs/>
        </w:rPr>
        <w:t xml:space="preserve"> </w:t>
      </w:r>
      <w:r w:rsidR="07BB5461" w:rsidRPr="6970BEEF">
        <w:rPr>
          <w:b/>
          <w:bCs/>
        </w:rPr>
        <w:t>2024</w:t>
      </w:r>
    </w:p>
    <w:p w14:paraId="3B0180AD" w14:textId="57718025" w:rsidR="5B1F4A87" w:rsidRPr="00A15281" w:rsidRDefault="5B1F4A87" w:rsidP="6970BEEF">
      <w:bookmarkStart w:id="42" w:name="_Toc522810447"/>
      <w:r w:rsidRPr="00A15281">
        <w:t xml:space="preserve">Innledende forhandlinger startet 9. april og ble avsluttet med enighetsprotokoll samme dag. Resultatet innebar bl.a. at det partssammensatte utvalget for samarbeid, integrering og kompetanse i tariffperioden skal belyse hvordan kunstig intelligens best mulig kan </w:t>
      </w:r>
      <w:proofErr w:type="gramStart"/>
      <w:r w:rsidRPr="00A15281">
        <w:t>implementeres</w:t>
      </w:r>
      <w:proofErr w:type="gramEnd"/>
      <w:r w:rsidRPr="00A15281">
        <w:t xml:space="preserve"> ved virksomhetene. Videre skal det tas initiativ til dialog mellom Akademikerne og virksomhetene for å forhindre diskriminering.</w:t>
      </w:r>
    </w:p>
    <w:p w14:paraId="0C411370" w14:textId="2DBC360F" w:rsidR="5B1F4A87" w:rsidRPr="00A15281" w:rsidRDefault="5B1F4A87">
      <w:r w:rsidRPr="00A15281">
        <w:t xml:space="preserve">Forhandlingene om de sosiale bestemmelsene, avtaledel A1, fant sted 2. mai. Akademikerne fremmet felles krav med SAN, </w:t>
      </w:r>
      <w:proofErr w:type="spellStart"/>
      <w:r w:rsidRPr="00A15281">
        <w:t>Unio</w:t>
      </w:r>
      <w:proofErr w:type="spellEnd"/>
      <w:r w:rsidRPr="00A15281">
        <w:t>, YS og LO. Partene kom til enighet samme dag noe som resulterte i en prolongering av det partssammensatte utvalget som skal se på helseforetakenes pensjonsforhold. I tillegg ble det opprettet et nytt partssammensatt utvalg som skal vurdere ordningen for ammefri i forbindelse med lange arbeidsøkter. Partene fastslo også nulltoleranse for vold og trusler på arbeidsplassen, og ble enige om å ta opp politiets henleggelsespraksis som i visse tilfeller kan hindre voldsoffererstatning.</w:t>
      </w:r>
    </w:p>
    <w:p w14:paraId="190BC91F" w14:textId="1FACC481" w:rsidR="5B1F4A87" w:rsidRPr="00A15281" w:rsidRDefault="5B1F4A87">
      <w:r w:rsidRPr="00A15281">
        <w:t xml:space="preserve">Legeforeningen kom til enighet med Spekter i forhandlingene om endringer i avtaledel A2 den 4. juni. Det ble gitt sentrale tillegg for gruppene som inngår i </w:t>
      </w:r>
      <w:proofErr w:type="spellStart"/>
      <w:r w:rsidRPr="00A15281">
        <w:t>Ylf</w:t>
      </w:r>
      <w:proofErr w:type="spellEnd"/>
      <w:r w:rsidRPr="00A15281">
        <w:t xml:space="preserve">. </w:t>
      </w:r>
    </w:p>
    <w:p w14:paraId="64B57836" w14:textId="77777777" w:rsidR="009738D9" w:rsidRDefault="5B1F4A87" w:rsidP="009738D9">
      <w:r w:rsidRPr="00A15281">
        <w:t xml:space="preserve"> Forhandlingene ble avsluttet 20. Juni. Det forelå ingen uenigheter fra de lokale forhandlinger og det hadde heller ikke vært behov for bistand fra foreningene underveis i de lokale forhandlingene. Resultatene i de lokale forhandlingene var i tråd med resultatene ellers i offentlig sektor.</w:t>
      </w:r>
    </w:p>
    <w:p w14:paraId="28FB2894" w14:textId="1C1BEE19" w:rsidR="00736ADE" w:rsidRDefault="006F2CBC" w:rsidP="009738D9">
      <w:pPr>
        <w:pStyle w:val="Overskrift2"/>
      </w:pPr>
      <w:bookmarkStart w:id="43" w:name="_Toc176264517"/>
      <w:r>
        <w:t xml:space="preserve">2.3 </w:t>
      </w:r>
      <w:r w:rsidR="00885F7B">
        <w:t>S</w:t>
      </w:r>
      <w:r w:rsidR="00736ADE">
        <w:t>amarbeidsorganer</w:t>
      </w:r>
      <w:bookmarkEnd w:id="43"/>
    </w:p>
    <w:p w14:paraId="6C48E5CB" w14:textId="1F54759D" w:rsidR="002B2BD2" w:rsidRDefault="002B2BD2" w:rsidP="002B2BD2">
      <w:r w:rsidRPr="002B2BD2">
        <w:t xml:space="preserve">Akademikerne </w:t>
      </w:r>
      <w:r>
        <w:t xml:space="preserve">har </w:t>
      </w:r>
      <w:r w:rsidRPr="002B2BD2">
        <w:t xml:space="preserve">to samarbeidsutvalg, Akademikerne privat og Akademikerne næringsdrivende. Disse samarbeidsutvalgene forhandler ingen tariffavtaler på vegne av akademikerfellesskapet, men har </w:t>
      </w:r>
      <w:proofErr w:type="gramStart"/>
      <w:r w:rsidRPr="002B2BD2">
        <w:t>fokus</w:t>
      </w:r>
      <w:proofErr w:type="gramEnd"/>
      <w:r w:rsidRPr="002B2BD2">
        <w:t xml:space="preserve"> på ulike problemstillinger og temaer knyttet til privat ansatte og næringsdrivende medlemmer.</w:t>
      </w:r>
    </w:p>
    <w:p w14:paraId="7FC4FEE6" w14:textId="08AB4081" w:rsidR="002B2BD2" w:rsidRPr="00D67745" w:rsidRDefault="002B2BD2" w:rsidP="002B2BD2">
      <w:r>
        <w:rPr>
          <w:rFonts w:ascii="Times New Roman" w:hAnsi="Times New Roman"/>
        </w:rPr>
        <w:t>S</w:t>
      </w:r>
      <w:r w:rsidRPr="00266331">
        <w:rPr>
          <w:rFonts w:ascii="Times New Roman" w:hAnsi="Times New Roman"/>
        </w:rPr>
        <w:t>amarbeidsorganene har hatt følgende valgte ledere og nestledere i perioden:</w:t>
      </w:r>
    </w:p>
    <w:p w14:paraId="448CF119" w14:textId="77777777" w:rsidR="002B2BD2" w:rsidRPr="00E33361" w:rsidRDefault="002B2BD2" w:rsidP="002B2BD2">
      <w:pPr>
        <w:keepNext/>
        <w:spacing w:before="180" w:after="60"/>
        <w:rPr>
          <w:rFonts w:ascii="Times New Roman" w:hAnsi="Times New Roman"/>
          <w:b/>
          <w:bCs/>
          <w:sz w:val="24"/>
          <w:szCs w:val="24"/>
          <w:u w:val="single"/>
        </w:rPr>
      </w:pPr>
      <w:r w:rsidRPr="73E0304A">
        <w:rPr>
          <w:rFonts w:ascii="Times New Roman" w:hAnsi="Times New Roman"/>
          <w:b/>
          <w:bCs/>
          <w:sz w:val="24"/>
          <w:szCs w:val="24"/>
          <w:u w:val="single"/>
        </w:rPr>
        <w:t>Akademikerne privat</w:t>
      </w:r>
    </w:p>
    <w:p w14:paraId="6E0A1A74" w14:textId="77777777" w:rsidR="002B2BD2" w:rsidRPr="00DF7687" w:rsidRDefault="002B2BD2" w:rsidP="002B2BD2">
      <w:pPr>
        <w:spacing w:after="0"/>
        <w:rPr>
          <w:rFonts w:ascii="Times New Roman" w:hAnsi="Times New Roman"/>
        </w:rPr>
      </w:pPr>
      <w:r w:rsidRPr="12DC08F0">
        <w:rPr>
          <w:rFonts w:ascii="Times New Roman" w:hAnsi="Times New Roman"/>
        </w:rPr>
        <w:t>Leder Marianne Gran Juriks, Tekna</w:t>
      </w:r>
    </w:p>
    <w:p w14:paraId="14A5D432" w14:textId="77777777" w:rsidR="002B2BD2" w:rsidRPr="00DF7687" w:rsidRDefault="002B2BD2" w:rsidP="002B2BD2">
      <w:pPr>
        <w:spacing w:after="0"/>
        <w:rPr>
          <w:rFonts w:ascii="Times New Roman" w:hAnsi="Times New Roman"/>
        </w:rPr>
      </w:pPr>
      <w:r w:rsidRPr="12DC08F0">
        <w:rPr>
          <w:rFonts w:ascii="Times New Roman" w:hAnsi="Times New Roman"/>
        </w:rPr>
        <w:t>Nestleder Robert Kjøsnes, Afag</w:t>
      </w:r>
    </w:p>
    <w:p w14:paraId="38CA45FA" w14:textId="77777777" w:rsidR="002B2BD2" w:rsidRPr="00BD434E" w:rsidRDefault="002B2BD2" w:rsidP="002B2BD2">
      <w:pPr>
        <w:keepNext/>
        <w:spacing w:before="180" w:after="60"/>
        <w:rPr>
          <w:rFonts w:ascii="Times New Roman" w:hAnsi="Times New Roman"/>
          <w:b/>
          <w:sz w:val="24"/>
          <w:u w:val="single"/>
        </w:rPr>
      </w:pPr>
      <w:r w:rsidRPr="00BD434E">
        <w:rPr>
          <w:rFonts w:ascii="Times New Roman" w:hAnsi="Times New Roman"/>
          <w:b/>
          <w:sz w:val="24"/>
          <w:u w:val="single"/>
        </w:rPr>
        <w:lastRenderedPageBreak/>
        <w:t>Akademikerne næringsdrivende</w:t>
      </w:r>
    </w:p>
    <w:p w14:paraId="42EB4A0F" w14:textId="77777777" w:rsidR="002B2BD2" w:rsidRPr="00266331" w:rsidRDefault="002B2BD2" w:rsidP="002B2BD2">
      <w:pPr>
        <w:spacing w:after="0"/>
        <w:rPr>
          <w:rFonts w:ascii="Times New Roman" w:hAnsi="Times New Roman"/>
        </w:rPr>
      </w:pPr>
      <w:r w:rsidRPr="73E0304A">
        <w:rPr>
          <w:rFonts w:ascii="Times New Roman" w:hAnsi="Times New Roman"/>
        </w:rPr>
        <w:t>Leder Per Christian Opsahl, Afag</w:t>
      </w:r>
    </w:p>
    <w:p w14:paraId="5784EACE" w14:textId="77777777" w:rsidR="002B2BD2" w:rsidRPr="00F541F9" w:rsidRDefault="002B2BD2" w:rsidP="002B2BD2">
      <w:pPr>
        <w:spacing w:after="0"/>
        <w:rPr>
          <w:rFonts w:ascii="Times New Roman" w:hAnsi="Times New Roman"/>
        </w:rPr>
      </w:pPr>
      <w:r w:rsidRPr="73E0304A">
        <w:rPr>
          <w:rFonts w:ascii="Times New Roman" w:hAnsi="Times New Roman"/>
        </w:rPr>
        <w:t xml:space="preserve">Nestleder Terje Fredriksen, </w:t>
      </w:r>
      <w:r>
        <w:rPr>
          <w:rFonts w:ascii="Times New Roman" w:hAnsi="Times New Roman"/>
        </w:rPr>
        <w:t>Den norske t</w:t>
      </w:r>
      <w:r w:rsidRPr="73E0304A">
        <w:rPr>
          <w:rFonts w:ascii="Times New Roman" w:hAnsi="Times New Roman"/>
        </w:rPr>
        <w:t xml:space="preserve">annlegeforening </w:t>
      </w:r>
    </w:p>
    <w:p w14:paraId="5CA89AE6" w14:textId="6F1526A7" w:rsidR="001F588A" w:rsidRPr="002C57F2" w:rsidRDefault="003C3968">
      <w:pPr>
        <w:pStyle w:val="Overskrift2"/>
        <w:rPr>
          <w:color w:val="FF0000"/>
        </w:rPr>
      </w:pPr>
      <w:bookmarkStart w:id="44" w:name="_Toc176264518"/>
      <w:r>
        <w:t>2.</w:t>
      </w:r>
      <w:r w:rsidR="00C96ED6">
        <w:t xml:space="preserve">3.1 </w:t>
      </w:r>
      <w:r w:rsidR="001F588A" w:rsidRPr="002C57F2">
        <w:t>Akademikerne næringsdrivende</w:t>
      </w:r>
      <w:bookmarkEnd w:id="42"/>
      <w:bookmarkEnd w:id="44"/>
      <w:r w:rsidR="001F588A" w:rsidRPr="002C57F2">
        <w:t xml:space="preserve"> </w:t>
      </w:r>
    </w:p>
    <w:p w14:paraId="1B7EF6EA" w14:textId="7D6DA837" w:rsidR="002C3020" w:rsidRDefault="002C3020" w:rsidP="002C3020">
      <w:bookmarkStart w:id="45" w:name="_Toc522810446"/>
      <w:r>
        <w:t xml:space="preserve">Akademikerne næringsdrivende </w:t>
      </w:r>
      <w:r w:rsidR="006752C8">
        <w:t>er</w:t>
      </w:r>
      <w:r w:rsidR="00DA7688">
        <w:t xml:space="preserve"> </w:t>
      </w:r>
      <w:r w:rsidR="00757D81">
        <w:t xml:space="preserve">et </w:t>
      </w:r>
      <w:r w:rsidR="004B0DF4">
        <w:t xml:space="preserve">samarbeidsorgan </w:t>
      </w:r>
      <w:r w:rsidR="00AC1430">
        <w:t xml:space="preserve">som </w:t>
      </w:r>
      <w:r w:rsidR="004C1E3F">
        <w:t xml:space="preserve">har som formål å </w:t>
      </w:r>
      <w:r w:rsidR="004C1E3F" w:rsidRPr="004C1E3F">
        <w:t xml:space="preserve">arbeide for </w:t>
      </w:r>
      <w:r w:rsidR="00F03CCA">
        <w:t>gode</w:t>
      </w:r>
      <w:r w:rsidR="004C1E3F" w:rsidRPr="004C1E3F">
        <w:t xml:space="preserve"> rammebetingelser for næringsdrivende. </w:t>
      </w:r>
      <w:r w:rsidR="006752C8">
        <w:t xml:space="preserve">Samarbeidsutvalget </w:t>
      </w:r>
      <w:r>
        <w:t xml:space="preserve">har hatt </w:t>
      </w:r>
      <w:r w:rsidR="00FD38DD">
        <w:t>1</w:t>
      </w:r>
      <w:r w:rsidR="00316052">
        <w:t>1</w:t>
      </w:r>
      <w:r w:rsidR="00FD38DD">
        <w:t xml:space="preserve"> </w:t>
      </w:r>
      <w:r>
        <w:t xml:space="preserve">møter </w:t>
      </w:r>
      <w:r w:rsidR="00736ADE">
        <w:t>og</w:t>
      </w:r>
      <w:r>
        <w:t xml:space="preserve"> </w:t>
      </w:r>
      <w:r w:rsidR="00445FC6">
        <w:t>fire</w:t>
      </w:r>
      <w:r w:rsidR="00724D96">
        <w:rPr>
          <w:rFonts w:cs="Aharoni"/>
        </w:rPr>
        <w:t xml:space="preserve"> </w:t>
      </w:r>
      <w:r>
        <w:t>utvalgsseminar</w:t>
      </w:r>
      <w:r w:rsidR="00445FC6">
        <w:t>er</w:t>
      </w:r>
      <w:r w:rsidR="00445FC6" w:rsidRPr="00445FC6">
        <w:t xml:space="preserve"> </w:t>
      </w:r>
      <w:r w:rsidR="00445FC6">
        <w:t>i styreperioden</w:t>
      </w:r>
      <w:r>
        <w:t xml:space="preserve">. </w:t>
      </w:r>
    </w:p>
    <w:p w14:paraId="61463DD8" w14:textId="6B762462" w:rsidR="003564BD" w:rsidRDefault="00463645" w:rsidP="002C3020">
      <w:r>
        <w:t xml:space="preserve">Samarbeidsutvalget har bidratt med innspill </w:t>
      </w:r>
      <w:r w:rsidR="007B522E" w:rsidRPr="007B522E">
        <w:t>til regjeringens arbeid knyttet til selvstendig næringsdrivende og frilanseres sosiale ordninger</w:t>
      </w:r>
      <w:r w:rsidR="00E8318B">
        <w:t xml:space="preserve"> </w:t>
      </w:r>
      <w:r w:rsidR="002E62C4">
        <w:t>høsten 2023</w:t>
      </w:r>
      <w:r w:rsidR="00C602DC">
        <w:t xml:space="preserve">, </w:t>
      </w:r>
      <w:r w:rsidR="00D30D25">
        <w:t xml:space="preserve">og har bidratt med faglige innspill til flere av Akademikernes </w:t>
      </w:r>
      <w:r w:rsidR="00576051">
        <w:t xml:space="preserve">innspill og høringsuttalelser, deriblant </w:t>
      </w:r>
      <w:r w:rsidR="005B107B">
        <w:t xml:space="preserve">innspill til </w:t>
      </w:r>
      <w:r w:rsidR="00303A90">
        <w:t>stortingsmeldingen om gründere og oppstartsbedrifter</w:t>
      </w:r>
      <w:r w:rsidR="005C4C09">
        <w:t xml:space="preserve"> som legges fram i lø</w:t>
      </w:r>
      <w:r w:rsidR="008A76E7">
        <w:t>pet av 2024</w:t>
      </w:r>
      <w:r w:rsidR="004C2173">
        <w:t>.</w:t>
      </w:r>
      <w:r w:rsidR="00CD1147">
        <w:t xml:space="preserve"> </w:t>
      </w:r>
    </w:p>
    <w:p w14:paraId="7CE68478" w14:textId="42C6A0BF" w:rsidR="001F1457" w:rsidRDefault="00F93971" w:rsidP="00AB7421">
      <w:pPr>
        <w:spacing w:after="0"/>
      </w:pPr>
      <w:r>
        <w:t xml:space="preserve">For å synliggjøre Akademikerne næringsdrivende og bidra til kompetanseheving </w:t>
      </w:r>
      <w:r w:rsidR="006222D7">
        <w:t xml:space="preserve">har utvalget arrangert </w:t>
      </w:r>
      <w:r w:rsidR="00140E9F">
        <w:t>seks</w:t>
      </w:r>
      <w:r w:rsidR="00814DAF">
        <w:t xml:space="preserve"> </w:t>
      </w:r>
      <w:proofErr w:type="spellStart"/>
      <w:r w:rsidR="00814DAF">
        <w:t>webinarer</w:t>
      </w:r>
      <w:proofErr w:type="spellEnd"/>
      <w:r w:rsidR="00814DAF">
        <w:t xml:space="preserve"> i perioden</w:t>
      </w:r>
      <w:r w:rsidR="0053459F">
        <w:t xml:space="preserve">. </w:t>
      </w:r>
      <w:r w:rsidR="00C4426A">
        <w:t>Tema har spent fra aksjonæravtale</w:t>
      </w:r>
      <w:r w:rsidR="00001CEB">
        <w:t>r til sosiale rettigheter</w:t>
      </w:r>
      <w:r w:rsidR="00B05953">
        <w:t>, skatt</w:t>
      </w:r>
      <w:r w:rsidR="0043514F">
        <w:t xml:space="preserve"> og kunstig intelligens. </w:t>
      </w:r>
      <w:r w:rsidR="001F1457">
        <w:t xml:space="preserve">Alle </w:t>
      </w:r>
      <w:proofErr w:type="spellStart"/>
      <w:r w:rsidR="001F1457">
        <w:t>webinarene</w:t>
      </w:r>
      <w:proofErr w:type="spellEnd"/>
      <w:r w:rsidR="001F1457">
        <w:t xml:space="preserve"> har vært </w:t>
      </w:r>
      <w:r w:rsidR="00D672B2">
        <w:t>godt besøkt</w:t>
      </w:r>
      <w:r w:rsidR="000D5907">
        <w:t xml:space="preserve"> </w:t>
      </w:r>
      <w:r w:rsidR="001E6060">
        <w:t xml:space="preserve">med </w:t>
      </w:r>
      <w:r w:rsidR="00047972">
        <w:t xml:space="preserve">samlet rundt 3500 </w:t>
      </w:r>
      <w:r w:rsidR="001E6060">
        <w:t>deltakere.</w:t>
      </w:r>
    </w:p>
    <w:p w14:paraId="41CFCA1C" w14:textId="73BB5B19" w:rsidR="00B4209F" w:rsidRPr="00B4209F" w:rsidRDefault="003E60BA" w:rsidP="00B4209F">
      <w:pPr>
        <w:pStyle w:val="Overskrift2"/>
      </w:pPr>
      <w:bookmarkStart w:id="46" w:name="_Toc176264519"/>
      <w:r>
        <w:t>2</w:t>
      </w:r>
      <w:r w:rsidR="00E37790">
        <w:t>.</w:t>
      </w:r>
      <w:r w:rsidR="00C96ED6">
        <w:t xml:space="preserve">3.2 </w:t>
      </w:r>
      <w:r w:rsidR="001F588A" w:rsidRPr="00A97E11">
        <w:t>Akademikerne privat</w:t>
      </w:r>
      <w:bookmarkEnd w:id="45"/>
      <w:bookmarkEnd w:id="46"/>
      <w:r w:rsidR="001F588A" w:rsidRPr="00A97E11">
        <w:t xml:space="preserve"> </w:t>
      </w:r>
    </w:p>
    <w:p w14:paraId="75A27137" w14:textId="291D0BDC" w:rsidR="00CD4E58" w:rsidRDefault="00CD4E58" w:rsidP="003E60BA">
      <w:pPr>
        <w:rPr>
          <w:color w:val="000000"/>
          <w:lang w:eastAsia="nb-NO"/>
        </w:rPr>
      </w:pPr>
      <w:r>
        <w:rPr>
          <w:color w:val="000000"/>
          <w:lang w:eastAsia="nb-NO"/>
        </w:rPr>
        <w:t xml:space="preserve">Akademikerne Privat har som formål at foreningene skal styrke sin posisjon overfor private arbeidsgiverforeninger og arbeidsgivere. Samarbeidsutvalget diskuterer problemstillinger, juridiske spørsmål og utfordringer i </w:t>
      </w:r>
      <w:r w:rsidR="00923D88">
        <w:rPr>
          <w:color w:val="000000"/>
          <w:lang w:eastAsia="nb-NO"/>
        </w:rPr>
        <w:t>arbeidslivet, med</w:t>
      </w:r>
      <w:r>
        <w:rPr>
          <w:color w:val="000000"/>
          <w:lang w:eastAsia="nb-NO"/>
        </w:rPr>
        <w:t xml:space="preserve"> sikte på god og relevant rådgivning til lokale tillitsvalgte i privat sektor. 10 av Akademikernes 13 medlemsforeninger er representert i utvalget. Tannlegeforeningen, KOL og Lektorlaget deltar ikke. </w:t>
      </w:r>
    </w:p>
    <w:p w14:paraId="1DDE1E84" w14:textId="40DB1906" w:rsidR="00AC06D4" w:rsidRDefault="00CD4E58" w:rsidP="00037215">
      <w:pPr>
        <w:rPr>
          <w:color w:val="000000"/>
          <w:lang w:eastAsia="nb-NO"/>
        </w:rPr>
      </w:pPr>
      <w:r>
        <w:rPr>
          <w:color w:val="000000"/>
          <w:lang w:eastAsia="nb-NO"/>
        </w:rPr>
        <w:t>Akademikerne Privat har gjennomført 11 møter og 2 seminarer med utvalgsmøte.</w:t>
      </w:r>
      <w:r w:rsidR="00037215">
        <w:rPr>
          <w:color w:val="000000"/>
          <w:lang w:eastAsia="nb-NO"/>
        </w:rPr>
        <w:t xml:space="preserve"> </w:t>
      </w:r>
      <w:r w:rsidR="00375FA6">
        <w:rPr>
          <w:color w:val="000000"/>
          <w:lang w:eastAsia="nb-NO"/>
        </w:rPr>
        <w:t>Seminarene</w:t>
      </w:r>
      <w:r w:rsidR="00FB1BDC" w:rsidRPr="00FB1BDC">
        <w:rPr>
          <w:color w:val="000000"/>
          <w:lang w:eastAsia="nb-NO"/>
        </w:rPr>
        <w:t xml:space="preserve"> har hatt tema og faglig opplegg som ble evaluert som svært nyttig og lærerikt av utvalgets medlemmer. Dette har igjen gitt merverdi ut til lokale tillitsvalgte og medlemmer i privat sektor.</w:t>
      </w:r>
    </w:p>
    <w:p w14:paraId="15AD6F33" w14:textId="7A130B1B" w:rsidR="00CD4E58" w:rsidRDefault="00CD4E58" w:rsidP="003E60BA">
      <w:pPr>
        <w:rPr>
          <w:color w:val="000000"/>
          <w:lang w:eastAsia="nb-NO"/>
        </w:rPr>
      </w:pPr>
      <w:r>
        <w:rPr>
          <w:color w:val="000000"/>
          <w:lang w:eastAsia="nb-NO"/>
        </w:rPr>
        <w:t>Utvalget har i perioden diskutert aktuelle saker som har vært oppe til behandling i Akademikerne og som har vært av betydning for lokale tillitsvalgte og medlemmer i privat sektor. I perioden har utvalget sett nærmere på</w:t>
      </w:r>
      <w:r w:rsidR="007F28A2">
        <w:rPr>
          <w:color w:val="000000"/>
          <w:lang w:eastAsia="nb-NO"/>
        </w:rPr>
        <w:t>:</w:t>
      </w:r>
    </w:p>
    <w:p w14:paraId="398FAE87" w14:textId="77777777" w:rsidR="00CD4E58" w:rsidRPr="007F28A2" w:rsidRDefault="00CD4E58" w:rsidP="007F28A2">
      <w:pPr>
        <w:pStyle w:val="Listeavsnitt"/>
        <w:numPr>
          <w:ilvl w:val="0"/>
          <w:numId w:val="45"/>
        </w:numPr>
        <w:tabs>
          <w:tab w:val="clear" w:pos="2155"/>
        </w:tabs>
        <w:spacing w:before="100" w:beforeAutospacing="1" w:after="100" w:afterAutospacing="1" w:line="240" w:lineRule="auto"/>
        <w:rPr>
          <w:color w:val="000000"/>
          <w:lang w:eastAsia="nb-NO"/>
        </w:rPr>
      </w:pPr>
      <w:r w:rsidRPr="007F28A2">
        <w:rPr>
          <w:color w:val="000000"/>
          <w:lang w:eastAsia="nb-NO"/>
        </w:rPr>
        <w:t>hvordan globalisering påvirker våre medlemmers lønns- og arbeidsvilkår</w:t>
      </w:r>
    </w:p>
    <w:p w14:paraId="582730F5" w14:textId="77777777" w:rsidR="00CD4E58" w:rsidRPr="007F28A2" w:rsidRDefault="00CD4E58" w:rsidP="007F28A2">
      <w:pPr>
        <w:pStyle w:val="Listeavsnitt"/>
        <w:numPr>
          <w:ilvl w:val="0"/>
          <w:numId w:val="45"/>
        </w:numPr>
        <w:tabs>
          <w:tab w:val="clear" w:pos="2155"/>
        </w:tabs>
        <w:spacing w:before="100" w:beforeAutospacing="1" w:after="100" w:afterAutospacing="1" w:line="240" w:lineRule="auto"/>
        <w:rPr>
          <w:color w:val="000000"/>
          <w:lang w:eastAsia="nb-NO"/>
        </w:rPr>
      </w:pPr>
      <w:r w:rsidRPr="007F28A2">
        <w:rPr>
          <w:color w:val="000000"/>
          <w:lang w:eastAsia="nb-NO"/>
        </w:rPr>
        <w:t>hvordan bedriftenes kompetansebehov og våre medlemmenes kompetansebehov best kan ivaretas</w:t>
      </w:r>
    </w:p>
    <w:p w14:paraId="728DFE84" w14:textId="77777777" w:rsidR="00CD4E58" w:rsidRPr="007F28A2" w:rsidRDefault="00CD4E58" w:rsidP="007F28A2">
      <w:pPr>
        <w:pStyle w:val="Listeavsnitt"/>
        <w:numPr>
          <w:ilvl w:val="0"/>
          <w:numId w:val="45"/>
        </w:numPr>
        <w:tabs>
          <w:tab w:val="clear" w:pos="2155"/>
        </w:tabs>
        <w:spacing w:before="100" w:beforeAutospacing="1" w:after="100" w:afterAutospacing="1" w:line="240" w:lineRule="auto"/>
        <w:rPr>
          <w:color w:val="000000"/>
          <w:lang w:eastAsia="nb-NO"/>
        </w:rPr>
      </w:pPr>
      <w:r w:rsidRPr="007F28A2">
        <w:rPr>
          <w:color w:val="000000"/>
          <w:lang w:eastAsia="nb-NO"/>
        </w:rPr>
        <w:t>medlemmene skal være attraktive arbeidstakere - hvordan kan våre medlemmers kompetanseutvikling ivaretas</w:t>
      </w:r>
    </w:p>
    <w:p w14:paraId="4C6A1426" w14:textId="77777777" w:rsidR="00CD4E58" w:rsidRPr="007F28A2" w:rsidRDefault="00CD4E58" w:rsidP="007F28A2">
      <w:pPr>
        <w:pStyle w:val="Listeavsnitt"/>
        <w:numPr>
          <w:ilvl w:val="0"/>
          <w:numId w:val="45"/>
        </w:numPr>
        <w:tabs>
          <w:tab w:val="clear" w:pos="2155"/>
        </w:tabs>
        <w:spacing w:before="100" w:beforeAutospacing="1" w:after="100" w:afterAutospacing="1" w:line="240" w:lineRule="auto"/>
        <w:rPr>
          <w:color w:val="000000"/>
          <w:lang w:eastAsia="nb-NO"/>
        </w:rPr>
      </w:pPr>
      <w:r w:rsidRPr="007F28A2">
        <w:rPr>
          <w:color w:val="000000"/>
          <w:lang w:eastAsia="nb-NO"/>
        </w:rPr>
        <w:t>hvordan de nye innleiereglene påvirker våre medlemmer</w:t>
      </w:r>
    </w:p>
    <w:p w14:paraId="1C93DBEF" w14:textId="77777777" w:rsidR="00CD4E58" w:rsidRPr="007F28A2" w:rsidRDefault="00CD4E58" w:rsidP="007F28A2">
      <w:pPr>
        <w:pStyle w:val="Listeavsnitt"/>
        <w:numPr>
          <w:ilvl w:val="0"/>
          <w:numId w:val="45"/>
        </w:numPr>
        <w:tabs>
          <w:tab w:val="clear" w:pos="2155"/>
        </w:tabs>
        <w:spacing w:before="100" w:beforeAutospacing="1" w:after="100" w:afterAutospacing="1" w:line="240" w:lineRule="auto"/>
        <w:rPr>
          <w:color w:val="000000"/>
          <w:lang w:eastAsia="nb-NO"/>
        </w:rPr>
      </w:pPr>
      <w:r w:rsidRPr="007F28A2">
        <w:rPr>
          <w:color w:val="000000"/>
          <w:lang w:eastAsia="nb-NO"/>
        </w:rPr>
        <w:lastRenderedPageBreak/>
        <w:t>Arbeidstilsynets rolle</w:t>
      </w:r>
    </w:p>
    <w:p w14:paraId="6F692967" w14:textId="77777777" w:rsidR="00CD4E58" w:rsidRPr="007F28A2" w:rsidRDefault="00CD4E58" w:rsidP="007F28A2">
      <w:pPr>
        <w:pStyle w:val="Listeavsnitt"/>
        <w:numPr>
          <w:ilvl w:val="0"/>
          <w:numId w:val="45"/>
        </w:numPr>
        <w:tabs>
          <w:tab w:val="clear" w:pos="2155"/>
        </w:tabs>
        <w:spacing w:before="100" w:beforeAutospacing="1" w:after="100" w:afterAutospacing="1" w:line="240" w:lineRule="auto"/>
        <w:rPr>
          <w:color w:val="000000"/>
          <w:lang w:eastAsia="nb-NO"/>
        </w:rPr>
      </w:pPr>
      <w:r w:rsidRPr="007F28A2">
        <w:rPr>
          <w:color w:val="000000"/>
          <w:lang w:eastAsia="nb-NO"/>
        </w:rPr>
        <w:t>pågående sentrale utvalgsarbeid. Både kompetanseutvalget og Holden IV -utvalgets arbeid har vært av stor betydning og interesse for utvalgets medlemmer.</w:t>
      </w:r>
    </w:p>
    <w:p w14:paraId="30663C7F" w14:textId="77777777" w:rsidR="00CD4E58" w:rsidRPr="007F28A2" w:rsidRDefault="00CD4E58" w:rsidP="007F28A2">
      <w:pPr>
        <w:pStyle w:val="Listeavsnitt"/>
        <w:numPr>
          <w:ilvl w:val="0"/>
          <w:numId w:val="45"/>
        </w:numPr>
        <w:tabs>
          <w:tab w:val="clear" w:pos="2155"/>
        </w:tabs>
        <w:spacing w:before="100" w:beforeAutospacing="1" w:after="100" w:afterAutospacing="1" w:line="240" w:lineRule="auto"/>
        <w:rPr>
          <w:color w:val="000000"/>
          <w:lang w:eastAsia="nb-NO"/>
        </w:rPr>
      </w:pPr>
      <w:r w:rsidRPr="007F28A2">
        <w:rPr>
          <w:color w:val="000000"/>
          <w:lang w:eastAsia="nb-NO"/>
        </w:rPr>
        <w:t>frontfagets rolle og reelle lokale forhandlinger </w:t>
      </w:r>
    </w:p>
    <w:p w14:paraId="7FB5E5E9" w14:textId="69517B6C" w:rsidR="00BA7346" w:rsidRDefault="00BA7346" w:rsidP="00BA7346">
      <w:pPr>
        <w:pStyle w:val="Overskrift1"/>
      </w:pPr>
      <w:bookmarkStart w:id="47" w:name="_Toc176264520"/>
      <w:r>
        <w:t>Vedlegg</w:t>
      </w:r>
      <w:bookmarkEnd w:id="47"/>
    </w:p>
    <w:p w14:paraId="3165777E" w14:textId="5A6A1A87" w:rsidR="0087017B" w:rsidRDefault="00FA0458" w:rsidP="00041ED1">
      <w:pPr>
        <w:pStyle w:val="Overskrift2"/>
      </w:pPr>
      <w:bookmarkStart w:id="48" w:name="_Toc176264521"/>
      <w:r>
        <w:t xml:space="preserve">Vedlegg 1: </w:t>
      </w:r>
      <w:r w:rsidR="007C325A">
        <w:t>Gjeldende p</w:t>
      </w:r>
      <w:r w:rsidR="0087017B">
        <w:t xml:space="preserve">olicydokumenter </w:t>
      </w:r>
      <w:r w:rsidR="00593DA4">
        <w:t>for Akademikerne</w:t>
      </w:r>
      <w:bookmarkEnd w:id="48"/>
      <w:r w:rsidR="00593DA4">
        <w:t xml:space="preserve"> </w:t>
      </w:r>
    </w:p>
    <w:p w14:paraId="7B1B6DCD" w14:textId="77777777" w:rsidR="00467C6B" w:rsidRPr="00467C6B" w:rsidRDefault="00467C6B" w:rsidP="00467C6B">
      <w:pPr>
        <w:pStyle w:val="Listeavsnitt"/>
        <w:numPr>
          <w:ilvl w:val="0"/>
          <w:numId w:val="17"/>
        </w:numPr>
      </w:pPr>
      <w:r w:rsidRPr="00467C6B">
        <w:t>Grunnskole og videregående opplæring</w:t>
      </w:r>
    </w:p>
    <w:p w14:paraId="66505E43" w14:textId="77777777" w:rsidR="00467C6B" w:rsidRPr="00467C6B" w:rsidRDefault="00467C6B" w:rsidP="00467C6B">
      <w:pPr>
        <w:pStyle w:val="Listeavsnitt"/>
        <w:numPr>
          <w:ilvl w:val="0"/>
          <w:numId w:val="17"/>
        </w:numPr>
      </w:pPr>
      <w:r w:rsidRPr="00467C6B">
        <w:t>Høyere utdanning og forskning</w:t>
      </w:r>
    </w:p>
    <w:p w14:paraId="343D15DE" w14:textId="77777777" w:rsidR="00467C6B" w:rsidRPr="00467C6B" w:rsidRDefault="00467C6B" w:rsidP="00467C6B">
      <w:pPr>
        <w:pStyle w:val="Listeavsnitt"/>
        <w:numPr>
          <w:ilvl w:val="0"/>
          <w:numId w:val="17"/>
        </w:numPr>
      </w:pPr>
      <w:r w:rsidRPr="00467C6B">
        <w:t>Et kunnskapsbasert og bærekraftig næringsliv</w:t>
      </w:r>
    </w:p>
    <w:p w14:paraId="267CC436" w14:textId="77777777" w:rsidR="00467C6B" w:rsidRPr="00467C6B" w:rsidRDefault="00467C6B" w:rsidP="00467C6B">
      <w:pPr>
        <w:pStyle w:val="Listeavsnitt"/>
        <w:numPr>
          <w:ilvl w:val="0"/>
          <w:numId w:val="17"/>
        </w:numPr>
      </w:pPr>
      <w:r w:rsidRPr="00467C6B">
        <w:t>Skatte- og avgiftspolitikk</w:t>
      </w:r>
    </w:p>
    <w:p w14:paraId="1B8007F0" w14:textId="77777777" w:rsidR="00467C6B" w:rsidRPr="00467C6B" w:rsidRDefault="00467C6B" w:rsidP="00467C6B">
      <w:pPr>
        <w:pStyle w:val="Listeavsnitt"/>
        <w:numPr>
          <w:ilvl w:val="0"/>
          <w:numId w:val="17"/>
        </w:numPr>
      </w:pPr>
      <w:r w:rsidRPr="00467C6B">
        <w:t>Grønn og rettferdig omstilling</w:t>
      </w:r>
    </w:p>
    <w:p w14:paraId="19BD3E22" w14:textId="77777777" w:rsidR="00467C6B" w:rsidRPr="00467C6B" w:rsidRDefault="00467C6B" w:rsidP="00467C6B">
      <w:pPr>
        <w:pStyle w:val="Listeavsnitt"/>
        <w:numPr>
          <w:ilvl w:val="0"/>
          <w:numId w:val="17"/>
        </w:numPr>
      </w:pPr>
      <w:r w:rsidRPr="00467C6B">
        <w:t>Helse</w:t>
      </w:r>
    </w:p>
    <w:p w14:paraId="0C055DD2" w14:textId="77777777" w:rsidR="00467C6B" w:rsidRPr="00467C6B" w:rsidRDefault="00467C6B" w:rsidP="00467C6B">
      <w:pPr>
        <w:pStyle w:val="Listeavsnitt"/>
        <w:numPr>
          <w:ilvl w:val="0"/>
          <w:numId w:val="17"/>
        </w:numPr>
      </w:pPr>
      <w:r w:rsidRPr="00467C6B">
        <w:t>Likestilling</w:t>
      </w:r>
    </w:p>
    <w:p w14:paraId="44ECEEFF" w14:textId="77777777" w:rsidR="00467C6B" w:rsidRPr="00467C6B" w:rsidRDefault="00467C6B" w:rsidP="00467C6B">
      <w:pPr>
        <w:pStyle w:val="Listeavsnitt"/>
        <w:numPr>
          <w:ilvl w:val="0"/>
          <w:numId w:val="17"/>
        </w:numPr>
      </w:pPr>
      <w:r w:rsidRPr="00467C6B">
        <w:t>Pensjon</w:t>
      </w:r>
    </w:p>
    <w:p w14:paraId="50997ED5" w14:textId="77777777" w:rsidR="00467C6B" w:rsidRPr="00467C6B" w:rsidRDefault="00467C6B" w:rsidP="00467C6B">
      <w:pPr>
        <w:pStyle w:val="Listeavsnitt"/>
        <w:numPr>
          <w:ilvl w:val="0"/>
          <w:numId w:val="17"/>
        </w:numPr>
      </w:pPr>
      <w:r w:rsidRPr="00467C6B">
        <w:t xml:space="preserve">Arbeidstid </w:t>
      </w:r>
    </w:p>
    <w:p w14:paraId="4E889D6C" w14:textId="6AD4A71A" w:rsidR="0087017B" w:rsidRDefault="0087017B" w:rsidP="00467C6B">
      <w:pPr>
        <w:pStyle w:val="Listeavsnitt"/>
      </w:pPr>
    </w:p>
    <w:p w14:paraId="0691B2D4" w14:textId="41E21CFF" w:rsidR="001A0390" w:rsidRDefault="00145B12">
      <w:pPr>
        <w:tabs>
          <w:tab w:val="clear" w:pos="2155"/>
        </w:tabs>
        <w:spacing w:after="160" w:line="259" w:lineRule="auto"/>
        <w:rPr>
          <w:rFonts w:asciiTheme="majorHAnsi" w:eastAsiaTheme="majorEastAsia" w:hAnsiTheme="majorHAnsi" w:cstheme="majorBidi"/>
          <w:b/>
          <w:color w:val="262682" w:themeColor="accent1"/>
          <w:sz w:val="26"/>
          <w:szCs w:val="26"/>
        </w:rPr>
      </w:pPr>
      <w:hyperlink r:id="rId16" w:history="1">
        <w:r w:rsidRPr="00145B12">
          <w:rPr>
            <w:color w:val="0000FF"/>
            <w:u w:val="single"/>
          </w:rPr>
          <w:t>Policydokumenter | Akademikerne</w:t>
        </w:r>
      </w:hyperlink>
      <w:r w:rsidR="001A0390">
        <w:br w:type="page"/>
      </w:r>
    </w:p>
    <w:p w14:paraId="39C618D9" w14:textId="69E162A1" w:rsidR="007F0AFB" w:rsidRDefault="1BFAEF7B" w:rsidP="00041ED1">
      <w:pPr>
        <w:pStyle w:val="Overskrift2"/>
      </w:pPr>
      <w:bookmarkStart w:id="49" w:name="_Toc176264522"/>
      <w:r>
        <w:lastRenderedPageBreak/>
        <w:t>Vedlegg 2:</w:t>
      </w:r>
      <w:r w:rsidR="307DC019">
        <w:t xml:space="preserve"> Akademikernes</w:t>
      </w:r>
      <w:r w:rsidR="7BCDBCB7">
        <w:t xml:space="preserve"> konferanser og seminarer</w:t>
      </w:r>
      <w:bookmarkEnd w:id="49"/>
    </w:p>
    <w:p w14:paraId="78870F21" w14:textId="19D48CB0" w:rsidR="00C43638" w:rsidRPr="00300429" w:rsidRDefault="00C43638" w:rsidP="0096235B">
      <w:pPr>
        <w:pStyle w:val="Overskrift4"/>
      </w:pPr>
      <w:r w:rsidRPr="00300429">
        <w:t>20</w:t>
      </w:r>
      <w:r w:rsidR="004964F0">
        <w:t>2</w:t>
      </w:r>
      <w:r w:rsidR="00666F0D">
        <w:t>2</w:t>
      </w:r>
    </w:p>
    <w:p w14:paraId="3ABFFE85" w14:textId="2B1C1FBF" w:rsidR="004819C0" w:rsidRDefault="009A3CC2">
      <w:pPr>
        <w:pStyle w:val="Kulepunkter"/>
        <w:keepLines w:val="0"/>
        <w:numPr>
          <w:ilvl w:val="0"/>
          <w:numId w:val="15"/>
        </w:numPr>
        <w:suppressAutoHyphens w:val="0"/>
        <w:rPr>
          <w:rFonts w:ascii="Times New Roman" w:hAnsi="Times New Roman"/>
          <w:sz w:val="22"/>
          <w:szCs w:val="22"/>
        </w:rPr>
      </w:pPr>
      <w:r w:rsidRPr="009C0E53">
        <w:rPr>
          <w:rFonts w:ascii="Times New Roman" w:hAnsi="Times New Roman"/>
          <w:sz w:val="22"/>
          <w:szCs w:val="22"/>
        </w:rPr>
        <w:t>Akademikernes høstkonferanse 202</w:t>
      </w:r>
      <w:r w:rsidR="00666F0D" w:rsidRPr="009C0E53">
        <w:rPr>
          <w:rFonts w:ascii="Times New Roman" w:hAnsi="Times New Roman"/>
          <w:sz w:val="22"/>
          <w:szCs w:val="22"/>
        </w:rPr>
        <w:t>2</w:t>
      </w:r>
      <w:r w:rsidR="00055863" w:rsidRPr="009C0E53">
        <w:rPr>
          <w:rFonts w:ascii="Times New Roman" w:hAnsi="Times New Roman"/>
          <w:sz w:val="22"/>
          <w:szCs w:val="22"/>
        </w:rPr>
        <w:t xml:space="preserve">: </w:t>
      </w:r>
      <w:r w:rsidR="009C0E53" w:rsidRPr="00032BA5">
        <w:rPr>
          <w:rFonts w:ascii="Times New Roman" w:hAnsi="Times New Roman"/>
          <w:i/>
          <w:iCs/>
          <w:sz w:val="22"/>
          <w:szCs w:val="22"/>
        </w:rPr>
        <w:t>2047</w:t>
      </w:r>
      <w:r w:rsidR="00032BA5" w:rsidRPr="00032BA5">
        <w:rPr>
          <w:rFonts w:ascii="Times New Roman" w:hAnsi="Times New Roman"/>
          <w:i/>
          <w:iCs/>
          <w:sz w:val="22"/>
          <w:szCs w:val="22"/>
        </w:rPr>
        <w:t xml:space="preserve"> -</w:t>
      </w:r>
      <w:r w:rsidR="009C0E53" w:rsidRPr="00032BA5">
        <w:rPr>
          <w:rFonts w:ascii="Times New Roman" w:hAnsi="Times New Roman"/>
          <w:i/>
          <w:iCs/>
          <w:sz w:val="22"/>
          <w:szCs w:val="22"/>
        </w:rPr>
        <w:t xml:space="preserve"> En jubileumskonferanse</w:t>
      </w:r>
    </w:p>
    <w:p w14:paraId="39A9D62F" w14:textId="106CD8A5" w:rsidR="00C43638" w:rsidRPr="009C0E53" w:rsidRDefault="00C43638">
      <w:pPr>
        <w:pStyle w:val="Kulepunkter"/>
        <w:keepLines w:val="0"/>
        <w:numPr>
          <w:ilvl w:val="0"/>
          <w:numId w:val="15"/>
        </w:numPr>
        <w:suppressAutoHyphens w:val="0"/>
        <w:rPr>
          <w:rFonts w:ascii="Times New Roman" w:hAnsi="Times New Roman"/>
          <w:sz w:val="22"/>
          <w:szCs w:val="22"/>
        </w:rPr>
      </w:pPr>
      <w:r w:rsidRPr="009C0E53">
        <w:rPr>
          <w:rFonts w:ascii="Times New Roman" w:hAnsi="Times New Roman"/>
          <w:sz w:val="22"/>
          <w:szCs w:val="22"/>
        </w:rPr>
        <w:t>Oppstart</w:t>
      </w:r>
      <w:r w:rsidR="00C86BF8">
        <w:rPr>
          <w:rFonts w:ascii="Times New Roman" w:hAnsi="Times New Roman"/>
          <w:sz w:val="22"/>
          <w:szCs w:val="22"/>
        </w:rPr>
        <w:t>s</w:t>
      </w:r>
      <w:r w:rsidRPr="009C0E53">
        <w:rPr>
          <w:rFonts w:ascii="Times New Roman" w:hAnsi="Times New Roman"/>
          <w:sz w:val="22"/>
          <w:szCs w:val="22"/>
        </w:rPr>
        <w:t xml:space="preserve">seminar </w:t>
      </w:r>
      <w:r w:rsidR="00F70B7A" w:rsidRPr="009C0E53">
        <w:rPr>
          <w:rFonts w:ascii="Times New Roman" w:hAnsi="Times New Roman"/>
          <w:sz w:val="22"/>
          <w:szCs w:val="22"/>
        </w:rPr>
        <w:t xml:space="preserve">for </w:t>
      </w:r>
      <w:r w:rsidRPr="009C0E53">
        <w:rPr>
          <w:rFonts w:ascii="Times New Roman" w:hAnsi="Times New Roman"/>
          <w:sz w:val="22"/>
          <w:szCs w:val="22"/>
        </w:rPr>
        <w:t>styret</w:t>
      </w:r>
    </w:p>
    <w:p w14:paraId="38F7986A" w14:textId="25A8B093" w:rsidR="00C43638" w:rsidRPr="00300429" w:rsidRDefault="3E5CDF11" w:rsidP="00506201">
      <w:pPr>
        <w:pStyle w:val="Kulepunkter"/>
        <w:numPr>
          <w:ilvl w:val="0"/>
          <w:numId w:val="15"/>
        </w:numPr>
        <w:rPr>
          <w:rFonts w:ascii="Times New Roman" w:hAnsi="Times New Roman"/>
          <w:sz w:val="22"/>
          <w:szCs w:val="22"/>
        </w:rPr>
      </w:pPr>
      <w:r w:rsidRPr="03F89E75">
        <w:rPr>
          <w:rFonts w:ascii="Times New Roman" w:hAnsi="Times New Roman"/>
          <w:sz w:val="22"/>
          <w:szCs w:val="22"/>
        </w:rPr>
        <w:t>Generalsekretærsamling</w:t>
      </w:r>
    </w:p>
    <w:p w14:paraId="290B38EA" w14:textId="4DE8A55A" w:rsidR="00C43638" w:rsidRDefault="01A5A1E1" w:rsidP="0096235B">
      <w:pPr>
        <w:pStyle w:val="Overskrift4"/>
      </w:pPr>
      <w:r>
        <w:t>20</w:t>
      </w:r>
      <w:r w:rsidR="622E42D6">
        <w:t>2</w:t>
      </w:r>
      <w:r w:rsidR="00666F0D">
        <w:t>3</w:t>
      </w:r>
    </w:p>
    <w:p w14:paraId="5807E6B8" w14:textId="0A43EE69" w:rsidR="3D34D8AC" w:rsidRDefault="3D34D8AC" w:rsidP="00506201">
      <w:pPr>
        <w:pStyle w:val="Listeavsnitt"/>
        <w:numPr>
          <w:ilvl w:val="0"/>
          <w:numId w:val="19"/>
        </w:numPr>
      </w:pPr>
      <w:r>
        <w:t xml:space="preserve">Tariffsamling kommune </w:t>
      </w:r>
    </w:p>
    <w:p w14:paraId="66FFECE8" w14:textId="166BA20C" w:rsidR="3D34D8AC" w:rsidRDefault="3D34D8AC" w:rsidP="00506201">
      <w:pPr>
        <w:pStyle w:val="Listeavsnitt"/>
        <w:numPr>
          <w:ilvl w:val="0"/>
          <w:numId w:val="19"/>
        </w:numPr>
      </w:pPr>
      <w:r>
        <w:t xml:space="preserve">Tariffseminar stat </w:t>
      </w:r>
    </w:p>
    <w:p w14:paraId="435F16AA" w14:textId="7DE000FF" w:rsidR="6BDC55EC" w:rsidRDefault="6BDC55EC" w:rsidP="31CFD013">
      <w:pPr>
        <w:pStyle w:val="Listeavsnitt"/>
        <w:numPr>
          <w:ilvl w:val="0"/>
          <w:numId w:val="19"/>
        </w:numPr>
      </w:pPr>
      <w:r>
        <w:t xml:space="preserve">Inntektspolitisk konferanse </w:t>
      </w:r>
    </w:p>
    <w:p w14:paraId="5CA8DAD2" w14:textId="5A643B92" w:rsidR="3D34D8AC" w:rsidRDefault="3D34D8AC" w:rsidP="00506201">
      <w:pPr>
        <w:pStyle w:val="Listeavsnitt"/>
        <w:numPr>
          <w:ilvl w:val="0"/>
          <w:numId w:val="19"/>
        </w:numPr>
      </w:pPr>
      <w:r>
        <w:t xml:space="preserve">Evalueringskonferanse kommune </w:t>
      </w:r>
    </w:p>
    <w:p w14:paraId="109808E5" w14:textId="0D18ABDE" w:rsidR="2471B93E" w:rsidRDefault="2471B93E" w:rsidP="31CFD013">
      <w:pPr>
        <w:pStyle w:val="Listeavsnitt"/>
        <w:numPr>
          <w:ilvl w:val="0"/>
          <w:numId w:val="19"/>
        </w:numPr>
      </w:pPr>
      <w:r>
        <w:t xml:space="preserve">Evalueringskonferanse stat </w:t>
      </w:r>
    </w:p>
    <w:p w14:paraId="3B334EEC" w14:textId="004BA00E" w:rsidR="3D34D8AC" w:rsidRDefault="3D34D8AC" w:rsidP="00506201">
      <w:pPr>
        <w:pStyle w:val="Listeavsnitt"/>
        <w:numPr>
          <w:ilvl w:val="0"/>
          <w:numId w:val="19"/>
        </w:numPr>
      </w:pPr>
      <w:r>
        <w:t>Regionale tariffkurs stat og kommune</w:t>
      </w:r>
    </w:p>
    <w:p w14:paraId="7D1F3CA4" w14:textId="35A70F9A" w:rsidR="091054B0" w:rsidRDefault="00666F0D" w:rsidP="00506201">
      <w:pPr>
        <w:pStyle w:val="Listeavsnitt"/>
        <w:numPr>
          <w:ilvl w:val="0"/>
          <w:numId w:val="19"/>
        </w:numPr>
      </w:pPr>
      <w:r>
        <w:t>O</w:t>
      </w:r>
      <w:r w:rsidR="3D34D8AC">
        <w:t>mstillingskurs</w:t>
      </w:r>
      <w:r w:rsidR="5BA7D5B1">
        <w:t xml:space="preserve"> stat</w:t>
      </w:r>
    </w:p>
    <w:p w14:paraId="43D96E55" w14:textId="48656EFD" w:rsidR="009C6467" w:rsidRDefault="00682B01" w:rsidP="00506201">
      <w:pPr>
        <w:pStyle w:val="Listeavsnitt"/>
        <w:numPr>
          <w:ilvl w:val="0"/>
          <w:numId w:val="19"/>
        </w:numPr>
      </w:pPr>
      <w:r>
        <w:t xml:space="preserve">Seminar om </w:t>
      </w:r>
      <w:r w:rsidR="00FA1638">
        <w:t>rådgivernæringen og innleieregler</w:t>
      </w:r>
    </w:p>
    <w:p w14:paraId="244F2043" w14:textId="755C5B69" w:rsidR="004D5A23" w:rsidRDefault="004D5A23" w:rsidP="00506201">
      <w:pPr>
        <w:pStyle w:val="Listeavsnitt"/>
        <w:numPr>
          <w:ilvl w:val="0"/>
          <w:numId w:val="19"/>
        </w:numPr>
      </w:pPr>
      <w:r>
        <w:t>Seminar om pensjonsreformen</w:t>
      </w:r>
    </w:p>
    <w:p w14:paraId="7835D2BC" w14:textId="650E5B63" w:rsidR="3D34D8AC" w:rsidRDefault="3D34D8AC" w:rsidP="00506201">
      <w:pPr>
        <w:pStyle w:val="Listeavsnitt"/>
        <w:numPr>
          <w:ilvl w:val="0"/>
          <w:numId w:val="19"/>
        </w:numPr>
      </w:pPr>
      <w:r>
        <w:t>Strategiseminar</w:t>
      </w:r>
      <w:r w:rsidR="000B54AB">
        <w:t xml:space="preserve"> for styret</w:t>
      </w:r>
      <w:r w:rsidR="008D120D">
        <w:t xml:space="preserve"> </w:t>
      </w:r>
    </w:p>
    <w:p w14:paraId="706957BB" w14:textId="1B552AE5" w:rsidR="509E46F9" w:rsidRDefault="509E46F9" w:rsidP="00506201">
      <w:pPr>
        <w:pStyle w:val="Listeavsnitt"/>
        <w:numPr>
          <w:ilvl w:val="0"/>
          <w:numId w:val="19"/>
        </w:numPr>
      </w:pPr>
      <w:r>
        <w:t xml:space="preserve">Deltakelse </w:t>
      </w:r>
      <w:proofErr w:type="spellStart"/>
      <w:r>
        <w:t>Arendalsuka</w:t>
      </w:r>
      <w:proofErr w:type="spellEnd"/>
    </w:p>
    <w:p w14:paraId="2C551A8A" w14:textId="6F07FA47" w:rsidR="007753EA" w:rsidRDefault="00513771" w:rsidP="00506201">
      <w:pPr>
        <w:pStyle w:val="Listeavsnitt"/>
        <w:numPr>
          <w:ilvl w:val="0"/>
          <w:numId w:val="19"/>
        </w:numPr>
      </w:pPr>
      <w:r>
        <w:t>Akademikernes høstkonferanse 202</w:t>
      </w:r>
      <w:r w:rsidR="00055863">
        <w:t>3</w:t>
      </w:r>
      <w:r w:rsidR="00C92F5A">
        <w:t xml:space="preserve">: </w:t>
      </w:r>
      <w:r w:rsidR="008777BC">
        <w:t>Den brysomme kunnskapen</w:t>
      </w:r>
    </w:p>
    <w:p w14:paraId="1BEA3A0A" w14:textId="6CE477EE" w:rsidR="19B7EEB1" w:rsidRDefault="19B7EEB1" w:rsidP="00506201">
      <w:pPr>
        <w:pStyle w:val="Listeavsnitt"/>
        <w:numPr>
          <w:ilvl w:val="0"/>
          <w:numId w:val="19"/>
        </w:numPr>
      </w:pPr>
      <w:r>
        <w:t>Høstkonferanse for Akademikerne stat, kommune og helse</w:t>
      </w:r>
    </w:p>
    <w:p w14:paraId="17C11B32" w14:textId="0DAFF2E1" w:rsidR="005A7FCB" w:rsidRDefault="005A7FCB" w:rsidP="00506201">
      <w:pPr>
        <w:pStyle w:val="Listeavsnitt"/>
        <w:numPr>
          <w:ilvl w:val="0"/>
          <w:numId w:val="19"/>
        </w:numPr>
      </w:pPr>
      <w:proofErr w:type="spellStart"/>
      <w:r>
        <w:t>Webinarer</w:t>
      </w:r>
      <w:proofErr w:type="spellEnd"/>
      <w:r>
        <w:t xml:space="preserve"> </w:t>
      </w:r>
      <w:r w:rsidR="004C26C0">
        <w:t xml:space="preserve">Akademikerne </w:t>
      </w:r>
      <w:r w:rsidR="00A45BCD">
        <w:t>Næringsdrivende</w:t>
      </w:r>
    </w:p>
    <w:p w14:paraId="7AE6935C" w14:textId="41ACF509" w:rsidR="00C43638" w:rsidRPr="00300429" w:rsidRDefault="01A5A1E1" w:rsidP="0096235B">
      <w:pPr>
        <w:pStyle w:val="Overskrift4"/>
      </w:pPr>
      <w:r>
        <w:t>202</w:t>
      </w:r>
      <w:r w:rsidR="00666F0D">
        <w:t>4</w:t>
      </w:r>
    </w:p>
    <w:p w14:paraId="7436B501" w14:textId="6F34F264" w:rsidR="7FC59B72" w:rsidRDefault="7FC59B72" w:rsidP="00506201">
      <w:pPr>
        <w:pStyle w:val="Listeavsnitt"/>
        <w:numPr>
          <w:ilvl w:val="0"/>
          <w:numId w:val="16"/>
        </w:numPr>
        <w:tabs>
          <w:tab w:val="clear" w:pos="2155"/>
        </w:tabs>
        <w:spacing w:after="0" w:line="240" w:lineRule="auto"/>
      </w:pPr>
      <w:r w:rsidRPr="41304956">
        <w:rPr>
          <w:rFonts w:ascii="Times New Roman" w:hAnsi="Times New Roman" w:cs="Times New Roman"/>
        </w:rPr>
        <w:t>Topplederkonferansen</w:t>
      </w:r>
    </w:p>
    <w:p w14:paraId="5797DA52" w14:textId="3F10CC30" w:rsidR="001C7FE3" w:rsidRDefault="4BD61EED" w:rsidP="00506201">
      <w:pPr>
        <w:pStyle w:val="Listeavsnitt"/>
        <w:numPr>
          <w:ilvl w:val="0"/>
          <w:numId w:val="16"/>
        </w:numPr>
        <w:tabs>
          <w:tab w:val="clear" w:pos="2155"/>
        </w:tabs>
        <w:suppressAutoHyphens/>
        <w:spacing w:after="0" w:line="240" w:lineRule="auto"/>
        <w:rPr>
          <w:rFonts w:ascii="Times New Roman" w:hAnsi="Times New Roman" w:cs="Times New Roman"/>
        </w:rPr>
      </w:pPr>
      <w:r w:rsidRPr="41304956">
        <w:rPr>
          <w:rFonts w:ascii="Times New Roman" w:hAnsi="Times New Roman" w:cs="Times New Roman"/>
        </w:rPr>
        <w:t>Inntektspolitisk konferanse</w:t>
      </w:r>
    </w:p>
    <w:p w14:paraId="33DD991F" w14:textId="6F423917" w:rsidR="02325FC0" w:rsidRDefault="02325FC0" w:rsidP="00506201">
      <w:pPr>
        <w:pStyle w:val="Listeavsnitt"/>
        <w:numPr>
          <w:ilvl w:val="0"/>
          <w:numId w:val="16"/>
        </w:numPr>
        <w:tabs>
          <w:tab w:val="clear" w:pos="2155"/>
        </w:tabs>
        <w:spacing w:after="0" w:line="240" w:lineRule="auto"/>
      </w:pPr>
      <w:r w:rsidRPr="31CFD013">
        <w:rPr>
          <w:rFonts w:ascii="Times New Roman" w:hAnsi="Times New Roman" w:cs="Times New Roman"/>
        </w:rPr>
        <w:t>Tariffseminar stat</w:t>
      </w:r>
      <w:r w:rsidR="58F83B6B" w:rsidRPr="31CFD013">
        <w:rPr>
          <w:rFonts w:ascii="Times New Roman" w:hAnsi="Times New Roman" w:cs="Times New Roman"/>
        </w:rPr>
        <w:t xml:space="preserve"> og kommune</w:t>
      </w:r>
    </w:p>
    <w:p w14:paraId="3D2BB9FF" w14:textId="049D911D" w:rsidR="02325FC0" w:rsidRDefault="02325FC0" w:rsidP="00506201">
      <w:pPr>
        <w:pStyle w:val="Listeavsnitt"/>
        <w:numPr>
          <w:ilvl w:val="0"/>
          <w:numId w:val="16"/>
        </w:numPr>
        <w:tabs>
          <w:tab w:val="clear" w:pos="2155"/>
        </w:tabs>
        <w:spacing w:after="0" w:line="240" w:lineRule="auto"/>
      </w:pPr>
      <w:r w:rsidRPr="31CFD013">
        <w:rPr>
          <w:rFonts w:ascii="Times New Roman" w:hAnsi="Times New Roman" w:cs="Times New Roman"/>
        </w:rPr>
        <w:t>Evalueringskonferanse stat</w:t>
      </w:r>
      <w:r w:rsidR="72E2A398" w:rsidRPr="31CFD013">
        <w:rPr>
          <w:rFonts w:ascii="Times New Roman" w:hAnsi="Times New Roman" w:cs="Times New Roman"/>
        </w:rPr>
        <w:t xml:space="preserve"> og kommune</w:t>
      </w:r>
    </w:p>
    <w:p w14:paraId="1E203791" w14:textId="6C0E4704" w:rsidR="02325FC0" w:rsidRDefault="02325FC0" w:rsidP="00506201">
      <w:pPr>
        <w:pStyle w:val="Listeavsnitt"/>
        <w:numPr>
          <w:ilvl w:val="0"/>
          <w:numId w:val="16"/>
        </w:numPr>
        <w:tabs>
          <w:tab w:val="clear" w:pos="2155"/>
        </w:tabs>
        <w:spacing w:after="0" w:line="240" w:lineRule="auto"/>
      </w:pPr>
      <w:r w:rsidRPr="41304956">
        <w:rPr>
          <w:rFonts w:ascii="Times New Roman" w:hAnsi="Times New Roman" w:cs="Times New Roman"/>
        </w:rPr>
        <w:t>Regionale tariffkurs stat og kommune</w:t>
      </w:r>
    </w:p>
    <w:p w14:paraId="1008DA08" w14:textId="6DA8540F" w:rsidR="02325FC0" w:rsidRDefault="00EF4AB9" w:rsidP="00506201">
      <w:pPr>
        <w:pStyle w:val="Listeavsnitt"/>
        <w:numPr>
          <w:ilvl w:val="0"/>
          <w:numId w:val="16"/>
        </w:numPr>
        <w:tabs>
          <w:tab w:val="clear" w:pos="2155"/>
        </w:tabs>
        <w:spacing w:after="0" w:line="240" w:lineRule="auto"/>
        <w:rPr>
          <w:rFonts w:ascii="Times New Roman" w:hAnsi="Times New Roman" w:cs="Times New Roman"/>
        </w:rPr>
      </w:pPr>
      <w:r>
        <w:rPr>
          <w:rFonts w:ascii="Times New Roman" w:hAnsi="Times New Roman" w:cs="Times New Roman"/>
        </w:rPr>
        <w:t>O</w:t>
      </w:r>
      <w:r w:rsidR="02325FC0" w:rsidRPr="41304956">
        <w:rPr>
          <w:rFonts w:ascii="Times New Roman" w:hAnsi="Times New Roman" w:cs="Times New Roman"/>
        </w:rPr>
        <w:t>mstillingskurs stat</w:t>
      </w:r>
    </w:p>
    <w:p w14:paraId="20C24646" w14:textId="3DA45EC0" w:rsidR="1BFB29DB" w:rsidRDefault="33C9E481" w:rsidP="1BFB29DB">
      <w:pPr>
        <w:pStyle w:val="Listeavsnitt"/>
        <w:numPr>
          <w:ilvl w:val="0"/>
          <w:numId w:val="16"/>
        </w:numPr>
        <w:tabs>
          <w:tab w:val="clear" w:pos="2155"/>
        </w:tabs>
        <w:spacing w:after="0" w:line="240" w:lineRule="auto"/>
        <w:rPr>
          <w:rFonts w:ascii="Times New Roman" w:hAnsi="Times New Roman" w:cs="Times New Roman"/>
        </w:rPr>
      </w:pPr>
      <w:r w:rsidRPr="228C5CAD">
        <w:rPr>
          <w:rFonts w:ascii="Times New Roman" w:hAnsi="Times New Roman" w:cs="Times New Roman"/>
        </w:rPr>
        <w:t xml:space="preserve">Frokostseminar </w:t>
      </w:r>
      <w:r w:rsidRPr="41E50452">
        <w:rPr>
          <w:rFonts w:ascii="Times New Roman" w:hAnsi="Times New Roman" w:cs="Times New Roman"/>
        </w:rPr>
        <w:t xml:space="preserve">om </w:t>
      </w:r>
      <w:r w:rsidRPr="043E5CE2">
        <w:rPr>
          <w:rFonts w:ascii="Times New Roman" w:hAnsi="Times New Roman" w:cs="Times New Roman"/>
        </w:rPr>
        <w:t>studiestøtte med</w:t>
      </w:r>
      <w:r w:rsidRPr="228C5CAD">
        <w:rPr>
          <w:rFonts w:ascii="Times New Roman" w:hAnsi="Times New Roman" w:cs="Times New Roman"/>
        </w:rPr>
        <w:t xml:space="preserve"> </w:t>
      </w:r>
      <w:r w:rsidRPr="5E619C8F">
        <w:rPr>
          <w:rFonts w:ascii="Times New Roman" w:hAnsi="Times New Roman" w:cs="Times New Roman"/>
        </w:rPr>
        <w:t xml:space="preserve">lansering av </w:t>
      </w:r>
      <w:r w:rsidRPr="00AEAE7D">
        <w:rPr>
          <w:rFonts w:ascii="Times New Roman" w:hAnsi="Times New Roman" w:cs="Times New Roman"/>
        </w:rPr>
        <w:t xml:space="preserve">rapporten </w:t>
      </w:r>
      <w:r w:rsidRPr="33D48142">
        <w:rPr>
          <w:rFonts w:ascii="Times New Roman" w:hAnsi="Times New Roman" w:cs="Times New Roman"/>
        </w:rPr>
        <w:t>“</w:t>
      </w:r>
      <w:r w:rsidRPr="574494A7">
        <w:rPr>
          <w:rFonts w:ascii="Times New Roman" w:hAnsi="Times New Roman" w:cs="Times New Roman"/>
        </w:rPr>
        <w:t xml:space="preserve">Studiestøttens </w:t>
      </w:r>
      <w:r w:rsidRPr="2F7209D3">
        <w:rPr>
          <w:rFonts w:ascii="Times New Roman" w:hAnsi="Times New Roman" w:cs="Times New Roman"/>
        </w:rPr>
        <w:t>kjøpekraft</w:t>
      </w:r>
      <w:r w:rsidRPr="2B43A680">
        <w:rPr>
          <w:rFonts w:ascii="Times New Roman" w:hAnsi="Times New Roman" w:cs="Times New Roman"/>
        </w:rPr>
        <w:t>”</w:t>
      </w:r>
    </w:p>
    <w:p w14:paraId="36452AA4" w14:textId="1F2EEF6E" w:rsidR="18EBB0C3" w:rsidRDefault="18EBB0C3" w:rsidP="00506201">
      <w:pPr>
        <w:pStyle w:val="Listeavsnitt"/>
        <w:numPr>
          <w:ilvl w:val="0"/>
          <w:numId w:val="16"/>
        </w:numPr>
        <w:tabs>
          <w:tab w:val="clear" w:pos="2155"/>
        </w:tabs>
        <w:spacing w:after="0" w:line="240" w:lineRule="auto"/>
      </w:pPr>
      <w:r w:rsidRPr="41304956">
        <w:rPr>
          <w:rFonts w:ascii="Times New Roman" w:hAnsi="Times New Roman" w:cs="Times New Roman"/>
        </w:rPr>
        <w:t>GS-samling</w:t>
      </w:r>
    </w:p>
    <w:p w14:paraId="31409584" w14:textId="7D5A029A" w:rsidR="3A99423B" w:rsidRDefault="3A99423B" w:rsidP="00506201">
      <w:pPr>
        <w:pStyle w:val="Listeavsnitt"/>
        <w:numPr>
          <w:ilvl w:val="0"/>
          <w:numId w:val="16"/>
        </w:numPr>
        <w:tabs>
          <w:tab w:val="clear" w:pos="2155"/>
        </w:tabs>
        <w:spacing w:after="0" w:line="240" w:lineRule="auto"/>
      </w:pPr>
      <w:r w:rsidRPr="41304956">
        <w:rPr>
          <w:rFonts w:ascii="Times New Roman" w:hAnsi="Times New Roman" w:cs="Times New Roman"/>
        </w:rPr>
        <w:t xml:space="preserve">Styreseminar </w:t>
      </w:r>
      <w:r w:rsidR="00EF4AB9">
        <w:rPr>
          <w:rFonts w:ascii="Times New Roman" w:hAnsi="Times New Roman" w:cs="Times New Roman"/>
        </w:rPr>
        <w:t>Lysebu</w:t>
      </w:r>
    </w:p>
    <w:p w14:paraId="7193ED1E" w14:textId="03D31527" w:rsidR="539D695A" w:rsidRDefault="539D695A" w:rsidP="00506201">
      <w:pPr>
        <w:pStyle w:val="Listeavsnitt"/>
        <w:numPr>
          <w:ilvl w:val="0"/>
          <w:numId w:val="16"/>
        </w:numPr>
        <w:tabs>
          <w:tab w:val="clear" w:pos="2155"/>
        </w:tabs>
        <w:spacing w:after="0" w:line="240" w:lineRule="auto"/>
      </w:pPr>
      <w:r w:rsidRPr="41304956">
        <w:rPr>
          <w:rFonts w:ascii="Times New Roman" w:hAnsi="Times New Roman" w:cs="Times New Roman"/>
        </w:rPr>
        <w:t xml:space="preserve">Deltakelse </w:t>
      </w:r>
      <w:proofErr w:type="spellStart"/>
      <w:r w:rsidRPr="41304956">
        <w:rPr>
          <w:rFonts w:ascii="Times New Roman" w:hAnsi="Times New Roman" w:cs="Times New Roman"/>
        </w:rPr>
        <w:t>Arendalsuka</w:t>
      </w:r>
      <w:proofErr w:type="spellEnd"/>
    </w:p>
    <w:p w14:paraId="7E512FA1" w14:textId="0DA137AF" w:rsidR="56230E55" w:rsidRDefault="56230E55" w:rsidP="00506201">
      <w:pPr>
        <w:pStyle w:val="Listeavsnitt"/>
        <w:numPr>
          <w:ilvl w:val="0"/>
          <w:numId w:val="16"/>
        </w:numPr>
        <w:tabs>
          <w:tab w:val="clear" w:pos="2155"/>
        </w:tabs>
        <w:spacing w:after="0" w:line="240" w:lineRule="auto"/>
      </w:pPr>
      <w:r w:rsidRPr="41304956">
        <w:rPr>
          <w:rFonts w:ascii="Times New Roman" w:hAnsi="Times New Roman" w:cs="Times New Roman"/>
        </w:rPr>
        <w:t>Samarbeidskonferanser</w:t>
      </w:r>
    </w:p>
    <w:p w14:paraId="26878C50" w14:textId="7B03B085" w:rsidR="00F006B1" w:rsidRDefault="00F006B1" w:rsidP="00506201">
      <w:pPr>
        <w:pStyle w:val="Listeavsnitt"/>
        <w:numPr>
          <w:ilvl w:val="0"/>
          <w:numId w:val="16"/>
        </w:numPr>
        <w:tabs>
          <w:tab w:val="clear" w:pos="2155"/>
        </w:tabs>
        <w:spacing w:after="0" w:line="240" w:lineRule="auto"/>
        <w:rPr>
          <w:rFonts w:ascii="Times New Roman" w:hAnsi="Times New Roman" w:cs="Times New Roman"/>
        </w:rPr>
      </w:pPr>
      <w:r>
        <w:rPr>
          <w:rFonts w:ascii="Times New Roman" w:hAnsi="Times New Roman" w:cs="Times New Roman"/>
        </w:rPr>
        <w:t>Høstkonferanser for Akademikerne stat, kommune og helse</w:t>
      </w:r>
    </w:p>
    <w:p w14:paraId="52DC4A8A" w14:textId="4B482FAF" w:rsidR="001462FD" w:rsidRDefault="004C26C0" w:rsidP="00506201">
      <w:pPr>
        <w:pStyle w:val="Listeavsnitt"/>
        <w:numPr>
          <w:ilvl w:val="0"/>
          <w:numId w:val="16"/>
        </w:numPr>
        <w:tabs>
          <w:tab w:val="clear" w:pos="2155"/>
        </w:tabs>
        <w:spacing w:after="0" w:line="240" w:lineRule="auto"/>
        <w:rPr>
          <w:rFonts w:ascii="Times New Roman" w:hAnsi="Times New Roman" w:cs="Times New Roman"/>
        </w:rPr>
      </w:pPr>
      <w:proofErr w:type="spellStart"/>
      <w:r w:rsidRPr="00A63670">
        <w:rPr>
          <w:rFonts w:ascii="Times New Roman" w:hAnsi="Times New Roman" w:cs="Times New Roman"/>
        </w:rPr>
        <w:t>Webinarer</w:t>
      </w:r>
      <w:proofErr w:type="spellEnd"/>
      <w:r w:rsidRPr="00A63670">
        <w:rPr>
          <w:rFonts w:ascii="Times New Roman" w:hAnsi="Times New Roman" w:cs="Times New Roman"/>
        </w:rPr>
        <w:t xml:space="preserve"> </w:t>
      </w:r>
      <w:r w:rsidR="00CC569C" w:rsidRPr="00A63670">
        <w:rPr>
          <w:rFonts w:ascii="Times New Roman" w:hAnsi="Times New Roman" w:cs="Times New Roman"/>
        </w:rPr>
        <w:t>Akademikerne Nærin</w:t>
      </w:r>
      <w:r w:rsidR="00E56718" w:rsidRPr="00A63670">
        <w:rPr>
          <w:rFonts w:ascii="Times New Roman" w:hAnsi="Times New Roman" w:cs="Times New Roman"/>
        </w:rPr>
        <w:t>gsdrivende</w:t>
      </w:r>
      <w:r w:rsidR="00A45BCD" w:rsidRPr="00A63670">
        <w:rPr>
          <w:rFonts w:ascii="Times New Roman" w:hAnsi="Times New Roman" w:cs="Times New Roman"/>
        </w:rPr>
        <w:t>:</w:t>
      </w:r>
    </w:p>
    <w:p w14:paraId="46732691" w14:textId="3BD088A2" w:rsidR="006C6271" w:rsidRPr="00F21219" w:rsidRDefault="006C6271" w:rsidP="00506201">
      <w:pPr>
        <w:pStyle w:val="Listeavsnitt"/>
        <w:numPr>
          <w:ilvl w:val="0"/>
          <w:numId w:val="16"/>
        </w:numPr>
        <w:tabs>
          <w:tab w:val="clear" w:pos="2155"/>
        </w:tabs>
        <w:spacing w:after="0" w:line="240" w:lineRule="auto"/>
        <w:rPr>
          <w:rFonts w:ascii="Times New Roman" w:hAnsi="Times New Roman" w:cs="Times New Roman"/>
        </w:rPr>
      </w:pPr>
      <w:r>
        <w:rPr>
          <w:rFonts w:ascii="Times New Roman" w:hAnsi="Times New Roman" w:cs="Times New Roman"/>
        </w:rPr>
        <w:t>Nordisk akade</w:t>
      </w:r>
      <w:r w:rsidR="003F646C">
        <w:rPr>
          <w:rFonts w:ascii="Times New Roman" w:hAnsi="Times New Roman" w:cs="Times New Roman"/>
        </w:rPr>
        <w:t>mikerforum Reykjavik</w:t>
      </w:r>
    </w:p>
    <w:p w14:paraId="3BCDD4A1" w14:textId="77777777" w:rsidR="00C43638" w:rsidRPr="00300429" w:rsidRDefault="00C43638" w:rsidP="001E54D6">
      <w:pPr>
        <w:pStyle w:val="Listeavsnitt"/>
        <w:tabs>
          <w:tab w:val="clear" w:pos="2155"/>
        </w:tabs>
        <w:suppressAutoHyphens/>
        <w:spacing w:after="0" w:line="240" w:lineRule="auto"/>
        <w:rPr>
          <w:rFonts w:ascii="Times New Roman" w:hAnsi="Times New Roman" w:cs="Times New Roman"/>
        </w:rPr>
      </w:pPr>
    </w:p>
    <w:p w14:paraId="3C231925" w14:textId="72551E82" w:rsidR="00781E6C" w:rsidRDefault="00781E6C" w:rsidP="00E33361">
      <w:pPr>
        <w:spacing w:after="0"/>
        <w:rPr>
          <w:rFonts w:ascii="Times New Roman" w:eastAsia="Calibri" w:hAnsi="Times New Roman"/>
        </w:rPr>
      </w:pPr>
    </w:p>
    <w:p w14:paraId="35284702" w14:textId="77777777" w:rsidR="00F75510" w:rsidRDefault="00F75510">
      <w:pPr>
        <w:tabs>
          <w:tab w:val="clear" w:pos="2155"/>
        </w:tabs>
        <w:spacing w:after="160" w:line="259" w:lineRule="auto"/>
        <w:rPr>
          <w:rFonts w:asciiTheme="majorHAnsi" w:eastAsiaTheme="majorEastAsia" w:hAnsiTheme="majorHAnsi" w:cstheme="majorBidi"/>
          <w:b/>
          <w:color w:val="262682" w:themeColor="accent1"/>
          <w:sz w:val="26"/>
          <w:szCs w:val="26"/>
        </w:rPr>
      </w:pPr>
      <w:r>
        <w:br w:type="page"/>
      </w:r>
    </w:p>
    <w:p w14:paraId="0DCE15D3" w14:textId="2D53652B" w:rsidR="00816FF0" w:rsidRPr="003A36D9" w:rsidRDefault="00593DA4" w:rsidP="00E95EBD">
      <w:pPr>
        <w:pStyle w:val="Overskrift2"/>
      </w:pPr>
      <w:bookmarkStart w:id="50" w:name="_Toc176264523"/>
      <w:r>
        <w:lastRenderedPageBreak/>
        <w:t>Vedlegg 3:</w:t>
      </w:r>
      <w:r w:rsidR="0011289A">
        <w:t xml:space="preserve"> </w:t>
      </w:r>
      <w:r w:rsidR="00816FF0">
        <w:t xml:space="preserve">Akademikernes sekretariat </w:t>
      </w:r>
      <w:r w:rsidR="00875934">
        <w:t xml:space="preserve">oktober </w:t>
      </w:r>
      <w:r w:rsidR="00816FF0">
        <w:t>20</w:t>
      </w:r>
      <w:r w:rsidR="000076D4">
        <w:t>2</w:t>
      </w:r>
      <w:r w:rsidR="00875934">
        <w:t>2</w:t>
      </w:r>
      <w:r w:rsidR="00816FF0">
        <w:t>-20</w:t>
      </w:r>
      <w:r w:rsidR="000076D4">
        <w:t>2</w:t>
      </w:r>
      <w:r w:rsidR="00875934">
        <w:t>4</w:t>
      </w:r>
      <w:bookmarkEnd w:id="50"/>
    </w:p>
    <w:p w14:paraId="3627ED82" w14:textId="71BE6806" w:rsidR="00816FF0" w:rsidRDefault="00816FF0" w:rsidP="00816FF0">
      <w:r>
        <w:t xml:space="preserve">Akademikerne sekretariat holder til i lokaler på Fritjof Nansens plass 6 i Oslo. </w:t>
      </w:r>
      <w:r w:rsidR="004E7264">
        <w:t>Sekretariatet har pr. 25</w:t>
      </w:r>
      <w:r w:rsidR="003642E6">
        <w:t>.</w:t>
      </w:r>
      <w:r w:rsidR="004E7264">
        <w:t xml:space="preserve"> </w:t>
      </w:r>
      <w:r w:rsidR="00766AB4">
        <w:t>september</w:t>
      </w:r>
      <w:r w:rsidR="007138D6">
        <w:t xml:space="preserve"> </w:t>
      </w:r>
      <w:r w:rsidR="009B2DBF">
        <w:t>16</w:t>
      </w:r>
      <w:r w:rsidR="00766AB4">
        <w:t xml:space="preserve"> </w:t>
      </w:r>
      <w:r w:rsidR="007138D6">
        <w:t>fast ansatte</w:t>
      </w:r>
      <w:r w:rsidR="00C6617E">
        <w:t>.</w:t>
      </w:r>
      <w:r w:rsidR="00766AB4">
        <w:t xml:space="preserve"> Følgende har vært a</w:t>
      </w:r>
      <w:r>
        <w:t xml:space="preserve">nsatt i sekretariatet i perioden: </w:t>
      </w:r>
    </w:p>
    <w:p w14:paraId="15AFC8FD" w14:textId="7B457BCC" w:rsidR="00816FF0" w:rsidRPr="006E0547" w:rsidRDefault="00816FF0" w:rsidP="00816FF0">
      <w:pPr>
        <w:spacing w:after="0"/>
        <w:rPr>
          <w:rFonts w:ascii="Times New Roman" w:eastAsia="Times New Roman" w:hAnsi="Times New Roman" w:cs="Times New Roman"/>
          <w:lang w:eastAsia="ar-SA"/>
        </w:rPr>
      </w:pPr>
      <w:r w:rsidRPr="25AF0A60">
        <w:rPr>
          <w:rFonts w:ascii="Times New Roman" w:eastAsia="Times New Roman" w:hAnsi="Times New Roman" w:cs="Times New Roman"/>
          <w:lang w:eastAsia="ar-SA"/>
        </w:rPr>
        <w:t>Generalsekretær</w:t>
      </w:r>
      <w:r w:rsidR="004801D9">
        <w:rPr>
          <w:rFonts w:ascii="Times New Roman" w:eastAsia="Times New Roman" w:hAnsi="Times New Roman" w:cs="Times New Roman"/>
          <w:lang w:eastAsia="ar-SA"/>
        </w:rPr>
        <w:tab/>
      </w:r>
      <w:r w:rsidR="004801D9">
        <w:rPr>
          <w:rFonts w:ascii="Times New Roman" w:eastAsia="Times New Roman" w:hAnsi="Times New Roman" w:cs="Times New Roman"/>
          <w:lang w:eastAsia="ar-SA"/>
        </w:rPr>
        <w:tab/>
      </w:r>
      <w:r w:rsidR="004801D9">
        <w:rPr>
          <w:rFonts w:ascii="Times New Roman" w:eastAsia="Times New Roman" w:hAnsi="Times New Roman" w:cs="Times New Roman"/>
          <w:lang w:eastAsia="ar-SA"/>
        </w:rPr>
        <w:tab/>
      </w:r>
      <w:r w:rsidR="004801D9">
        <w:rPr>
          <w:rFonts w:ascii="Times New Roman" w:eastAsia="Times New Roman" w:hAnsi="Times New Roman" w:cs="Times New Roman"/>
          <w:lang w:eastAsia="ar-SA"/>
        </w:rPr>
        <w:tab/>
      </w:r>
      <w:r w:rsidRPr="25AF0A60">
        <w:rPr>
          <w:rFonts w:ascii="Times New Roman" w:eastAsia="Times New Roman" w:hAnsi="Times New Roman" w:cs="Times New Roman"/>
          <w:lang w:eastAsia="ar-SA"/>
        </w:rPr>
        <w:t>Bengt Holmen</w:t>
      </w:r>
    </w:p>
    <w:p w14:paraId="0544FAF8" w14:textId="051F5FE9" w:rsidR="00816FF0" w:rsidRPr="00AB5505" w:rsidRDefault="00AB5505" w:rsidP="00816FF0">
      <w:pPr>
        <w:tabs>
          <w:tab w:val="clear" w:pos="2155"/>
        </w:tabs>
        <w:suppressAutoHyphens/>
        <w:spacing w:after="0" w:line="240" w:lineRule="auto"/>
        <w:rPr>
          <w:rFonts w:ascii="Times New Roman" w:eastAsia="Times New Roman" w:hAnsi="Times New Roman" w:cs="Times New Roman"/>
          <w:lang w:eastAsia="ar-SA"/>
        </w:rPr>
      </w:pPr>
      <w:r w:rsidRPr="25AF0A60">
        <w:rPr>
          <w:rFonts w:ascii="Times New Roman" w:eastAsia="Times New Roman" w:hAnsi="Times New Roman" w:cs="Times New Roman"/>
          <w:lang w:eastAsia="ar-SA"/>
        </w:rPr>
        <w:t>Ass</w:t>
      </w:r>
      <w:r w:rsidR="00C021B4" w:rsidRPr="25AF0A60">
        <w:rPr>
          <w:rFonts w:ascii="Times New Roman" w:eastAsia="Times New Roman" w:hAnsi="Times New Roman" w:cs="Times New Roman"/>
          <w:lang w:eastAsia="ar-SA"/>
        </w:rPr>
        <w:t>.</w:t>
      </w:r>
      <w:r w:rsidR="00BD5101" w:rsidRPr="25AF0A60">
        <w:rPr>
          <w:rFonts w:ascii="Times New Roman" w:eastAsia="Times New Roman" w:hAnsi="Times New Roman" w:cs="Times New Roman"/>
          <w:lang w:eastAsia="ar-SA"/>
        </w:rPr>
        <w:t xml:space="preserve"> </w:t>
      </w:r>
      <w:r w:rsidRPr="25AF0A60">
        <w:rPr>
          <w:rFonts w:ascii="Times New Roman" w:eastAsia="Times New Roman" w:hAnsi="Times New Roman" w:cs="Times New Roman"/>
          <w:lang w:eastAsia="ar-SA"/>
        </w:rPr>
        <w:t>gen</w:t>
      </w:r>
      <w:r w:rsidR="00BD5101" w:rsidRPr="25AF0A60">
        <w:rPr>
          <w:rFonts w:ascii="Times New Roman" w:eastAsia="Times New Roman" w:hAnsi="Times New Roman" w:cs="Times New Roman"/>
          <w:lang w:eastAsia="ar-SA"/>
        </w:rPr>
        <w:t>eral</w:t>
      </w:r>
      <w:r w:rsidRPr="25AF0A60">
        <w:rPr>
          <w:rFonts w:ascii="Times New Roman" w:eastAsia="Times New Roman" w:hAnsi="Times New Roman" w:cs="Times New Roman"/>
          <w:lang w:eastAsia="ar-SA"/>
        </w:rPr>
        <w:t>sek</w:t>
      </w:r>
      <w:r w:rsidR="00C021B4" w:rsidRPr="25AF0A60">
        <w:rPr>
          <w:rFonts w:ascii="Times New Roman" w:eastAsia="Times New Roman" w:hAnsi="Times New Roman" w:cs="Times New Roman"/>
          <w:lang w:eastAsia="ar-SA"/>
        </w:rPr>
        <w:t>retær</w:t>
      </w:r>
      <w:r w:rsidRPr="25AF0A60">
        <w:rPr>
          <w:rFonts w:ascii="Times New Roman" w:eastAsia="Times New Roman" w:hAnsi="Times New Roman" w:cs="Times New Roman"/>
          <w:lang w:eastAsia="ar-SA"/>
        </w:rPr>
        <w:t>/leder samfunnspolitikk</w:t>
      </w:r>
      <w:r w:rsidR="2AC90003" w:rsidRPr="25AF0A60">
        <w:rPr>
          <w:rFonts w:ascii="Times New Roman" w:eastAsia="Times New Roman" w:hAnsi="Times New Roman" w:cs="Times New Roman"/>
          <w:lang w:eastAsia="ar-SA"/>
        </w:rPr>
        <w:t xml:space="preserve"> </w:t>
      </w:r>
      <w:r w:rsidR="004801D9">
        <w:rPr>
          <w:rFonts w:ascii="Times New Roman" w:eastAsia="Times New Roman" w:hAnsi="Times New Roman" w:cs="Times New Roman"/>
          <w:lang w:eastAsia="ar-SA"/>
        </w:rPr>
        <w:tab/>
      </w:r>
      <w:r w:rsidR="00816FF0" w:rsidRPr="25AF0A60">
        <w:rPr>
          <w:rFonts w:ascii="Times New Roman" w:eastAsia="Times New Roman" w:hAnsi="Times New Roman" w:cs="Times New Roman"/>
          <w:lang w:eastAsia="ar-SA"/>
        </w:rPr>
        <w:t>Christine Meling</w:t>
      </w:r>
      <w:r w:rsidR="00D57273">
        <w:rPr>
          <w:rFonts w:ascii="Times New Roman" w:eastAsia="Times New Roman" w:hAnsi="Times New Roman" w:cs="Times New Roman"/>
          <w:lang w:eastAsia="ar-SA"/>
        </w:rPr>
        <w:t xml:space="preserve"> (</w:t>
      </w:r>
      <w:proofErr w:type="spellStart"/>
      <w:r w:rsidR="00D57273">
        <w:rPr>
          <w:rFonts w:ascii="Times New Roman" w:eastAsia="Times New Roman" w:hAnsi="Times New Roman" w:cs="Times New Roman"/>
          <w:lang w:eastAsia="ar-SA"/>
        </w:rPr>
        <w:t>t.o.m</w:t>
      </w:r>
      <w:proofErr w:type="spellEnd"/>
      <w:r w:rsidR="00D57273">
        <w:rPr>
          <w:rFonts w:ascii="Times New Roman" w:eastAsia="Times New Roman" w:hAnsi="Times New Roman" w:cs="Times New Roman"/>
          <w:lang w:eastAsia="ar-SA"/>
        </w:rPr>
        <w:t xml:space="preserve"> 15. september</w:t>
      </w:r>
      <w:r w:rsidR="00A5123D">
        <w:rPr>
          <w:rFonts w:ascii="Times New Roman" w:eastAsia="Times New Roman" w:hAnsi="Times New Roman" w:cs="Times New Roman"/>
          <w:lang w:eastAsia="ar-SA"/>
        </w:rPr>
        <w:t xml:space="preserve"> 2024</w:t>
      </w:r>
      <w:r w:rsidR="00D57273">
        <w:rPr>
          <w:rFonts w:ascii="Times New Roman" w:eastAsia="Times New Roman" w:hAnsi="Times New Roman" w:cs="Times New Roman"/>
          <w:lang w:eastAsia="ar-SA"/>
        </w:rPr>
        <w:t>)</w:t>
      </w:r>
    </w:p>
    <w:p w14:paraId="1490316B" w14:textId="1C1C2570" w:rsidR="00816FF0" w:rsidRPr="006E0547" w:rsidRDefault="008D120D" w:rsidP="00816FF0">
      <w:pPr>
        <w:tabs>
          <w:tab w:val="clear" w:pos="2155"/>
        </w:tabs>
        <w:suppressAutoHyphens/>
        <w:spacing w:after="0" w:line="240" w:lineRule="auto"/>
        <w:rPr>
          <w:rFonts w:ascii="Times New Roman" w:eastAsia="Times New Roman" w:hAnsi="Times New Roman" w:cs="Times New Roman"/>
          <w:lang w:eastAsia="ar-SA"/>
        </w:rPr>
      </w:pPr>
      <w:r w:rsidRPr="25AF0A60">
        <w:rPr>
          <w:rFonts w:ascii="Times New Roman" w:eastAsia="Times New Roman" w:hAnsi="Times New Roman" w:cs="Times New Roman"/>
          <w:lang w:eastAsia="ar-SA"/>
        </w:rPr>
        <w:t>Forhandlingssjef</w:t>
      </w:r>
      <w:r w:rsidR="00816FF0" w:rsidRPr="25AF0A60">
        <w:rPr>
          <w:rFonts w:ascii="Times New Roman" w:eastAsia="Times New Roman" w:hAnsi="Times New Roman" w:cs="Times New Roman"/>
          <w:lang w:eastAsia="ar-SA"/>
        </w:rPr>
        <w:t xml:space="preserve"> </w:t>
      </w:r>
      <w:r>
        <w:tab/>
      </w:r>
      <w:r>
        <w:tab/>
      </w:r>
      <w:r>
        <w:tab/>
      </w:r>
      <w:r>
        <w:tab/>
      </w:r>
      <w:r w:rsidR="00816FF0" w:rsidRPr="25AF0A60">
        <w:rPr>
          <w:rFonts w:ascii="Times New Roman" w:eastAsia="Times New Roman" w:hAnsi="Times New Roman" w:cs="Times New Roman"/>
          <w:lang w:eastAsia="ar-SA"/>
        </w:rPr>
        <w:t xml:space="preserve">Anette Bjørlin Basma </w:t>
      </w:r>
    </w:p>
    <w:p w14:paraId="13DFFBCE" w14:textId="36C579FE" w:rsidR="00FC6DFA" w:rsidRDefault="00FC6DFA" w:rsidP="00AA5AED">
      <w:pPr>
        <w:tabs>
          <w:tab w:val="clear" w:pos="2155"/>
        </w:tabs>
        <w:suppressAutoHyphens/>
        <w:spacing w:after="0" w:line="240" w:lineRule="auto"/>
        <w:ind w:left="4245" w:hanging="4245"/>
        <w:rPr>
          <w:rFonts w:ascii="Times New Roman" w:eastAsia="Times New Roman" w:hAnsi="Times New Roman" w:cs="Times New Roman"/>
          <w:lang w:eastAsia="ar-SA"/>
        </w:rPr>
      </w:pPr>
      <w:r w:rsidRPr="25AF0A60">
        <w:rPr>
          <w:rFonts w:ascii="Times New Roman" w:eastAsia="Times New Roman" w:hAnsi="Times New Roman" w:cs="Times New Roman"/>
          <w:lang w:eastAsia="ar-SA"/>
        </w:rPr>
        <w:t xml:space="preserve">Kommunikasjonssjef </w:t>
      </w:r>
      <w:r>
        <w:tab/>
      </w:r>
      <w:r>
        <w:tab/>
      </w:r>
      <w:r w:rsidRPr="25AF0A60">
        <w:rPr>
          <w:rFonts w:ascii="Times New Roman" w:eastAsia="Times New Roman" w:hAnsi="Times New Roman" w:cs="Times New Roman"/>
          <w:lang w:eastAsia="ar-SA"/>
        </w:rPr>
        <w:t>Christine Rian Johannessen</w:t>
      </w:r>
      <w:r w:rsidR="00FE73BA" w:rsidRPr="25AF0A60">
        <w:rPr>
          <w:rFonts w:ascii="Times New Roman" w:eastAsia="Times New Roman" w:hAnsi="Times New Roman" w:cs="Times New Roman"/>
          <w:lang w:eastAsia="ar-SA"/>
        </w:rPr>
        <w:t xml:space="preserve"> (Permisjon </w:t>
      </w:r>
      <w:r w:rsidR="64113F7B" w:rsidRPr="25AF0A60">
        <w:rPr>
          <w:rFonts w:ascii="Times New Roman" w:eastAsia="Times New Roman" w:hAnsi="Times New Roman" w:cs="Times New Roman"/>
          <w:lang w:eastAsia="ar-SA"/>
        </w:rPr>
        <w:t xml:space="preserve">20.10.23 - </w:t>
      </w:r>
      <w:r w:rsidR="257FA463" w:rsidRPr="25AF0A60">
        <w:rPr>
          <w:rFonts w:ascii="Times New Roman" w:eastAsia="Times New Roman" w:hAnsi="Times New Roman" w:cs="Times New Roman"/>
          <w:lang w:eastAsia="ar-SA"/>
        </w:rPr>
        <w:t>0</w:t>
      </w:r>
      <w:r w:rsidR="64113F7B" w:rsidRPr="25AF0A60">
        <w:rPr>
          <w:rFonts w:ascii="Times New Roman" w:eastAsia="Times New Roman" w:hAnsi="Times New Roman" w:cs="Times New Roman"/>
          <w:lang w:eastAsia="ar-SA"/>
        </w:rPr>
        <w:t>9.8.24</w:t>
      </w:r>
      <w:r w:rsidR="00FE73BA" w:rsidRPr="25AF0A60">
        <w:rPr>
          <w:rFonts w:ascii="Times New Roman" w:eastAsia="Times New Roman" w:hAnsi="Times New Roman" w:cs="Times New Roman"/>
          <w:lang w:eastAsia="ar-SA"/>
        </w:rPr>
        <w:t>)</w:t>
      </w:r>
    </w:p>
    <w:p w14:paraId="6F1797FB" w14:textId="48F19D8F" w:rsidR="00FC6DFA" w:rsidRPr="006E0547" w:rsidRDefault="00A020D8" w:rsidP="00FC6DFA">
      <w:pPr>
        <w:tabs>
          <w:tab w:val="clear" w:pos="2155"/>
        </w:tabs>
        <w:suppressAutoHyphens/>
        <w:spacing w:after="0" w:line="240" w:lineRule="auto"/>
        <w:rPr>
          <w:rFonts w:ascii="Times New Roman" w:eastAsia="Times New Roman" w:hAnsi="Times New Roman" w:cs="Times New Roman"/>
          <w:lang w:eastAsia="ar-SA"/>
        </w:rPr>
      </w:pPr>
      <w:r w:rsidRPr="42A76FCC">
        <w:rPr>
          <w:rFonts w:ascii="Times New Roman" w:eastAsia="Times New Roman" w:hAnsi="Times New Roman" w:cs="Times New Roman"/>
          <w:lang w:eastAsia="ar-SA"/>
        </w:rPr>
        <w:t>Arbeidslivssjef</w:t>
      </w:r>
      <w:r>
        <w:tab/>
      </w:r>
      <w:r>
        <w:tab/>
      </w:r>
      <w:r>
        <w:tab/>
      </w:r>
      <w:r>
        <w:tab/>
      </w:r>
      <w:r>
        <w:tab/>
      </w:r>
      <w:r w:rsidR="00FC6DFA" w:rsidRPr="42A76FCC">
        <w:rPr>
          <w:rFonts w:ascii="Times New Roman" w:eastAsia="Times New Roman" w:hAnsi="Times New Roman" w:cs="Times New Roman"/>
          <w:lang w:eastAsia="ar-SA"/>
        </w:rPr>
        <w:t xml:space="preserve">Nina Sverdrup Svendsen </w:t>
      </w:r>
    </w:p>
    <w:p w14:paraId="63A48CAC" w14:textId="77777777" w:rsidR="00816FF0" w:rsidRPr="006E0547" w:rsidRDefault="00816FF0" w:rsidP="00816FF0">
      <w:pPr>
        <w:tabs>
          <w:tab w:val="clear" w:pos="2155"/>
        </w:tabs>
        <w:suppressAutoHyphens/>
        <w:spacing w:after="0" w:line="240" w:lineRule="auto"/>
        <w:rPr>
          <w:rFonts w:ascii="Times New Roman" w:eastAsia="Times New Roman" w:hAnsi="Times New Roman" w:cs="Times New Roman"/>
          <w:lang w:eastAsia="ar-SA"/>
        </w:rPr>
      </w:pPr>
      <w:r w:rsidRPr="006E0547">
        <w:rPr>
          <w:rFonts w:ascii="Times New Roman" w:eastAsia="Times New Roman" w:hAnsi="Times New Roman" w:cs="Times New Roman"/>
          <w:lang w:eastAsia="ar-SA"/>
        </w:rPr>
        <w:t xml:space="preserve">Rådgiver </w:t>
      </w:r>
      <w:r w:rsidRPr="006E0547">
        <w:rPr>
          <w:rFonts w:ascii="Times New Roman" w:eastAsia="Times New Roman" w:hAnsi="Times New Roman" w:cs="Times New Roman"/>
          <w:lang w:eastAsia="ar-SA"/>
        </w:rPr>
        <w:tab/>
      </w:r>
      <w:r w:rsidRPr="006E0547">
        <w:rPr>
          <w:rFonts w:ascii="Times New Roman" w:eastAsia="Times New Roman" w:hAnsi="Times New Roman" w:cs="Times New Roman"/>
          <w:lang w:eastAsia="ar-SA"/>
        </w:rPr>
        <w:tab/>
      </w:r>
      <w:r w:rsidRPr="006E0547">
        <w:rPr>
          <w:rFonts w:ascii="Times New Roman" w:eastAsia="Times New Roman" w:hAnsi="Times New Roman" w:cs="Times New Roman"/>
          <w:lang w:eastAsia="ar-SA"/>
        </w:rPr>
        <w:tab/>
      </w:r>
      <w:r w:rsidRPr="006E0547">
        <w:rPr>
          <w:rFonts w:ascii="Times New Roman" w:eastAsia="Times New Roman" w:hAnsi="Times New Roman" w:cs="Times New Roman"/>
          <w:lang w:eastAsia="ar-SA"/>
        </w:rPr>
        <w:tab/>
      </w:r>
      <w:r w:rsidRPr="006E0547">
        <w:rPr>
          <w:rFonts w:ascii="Times New Roman" w:eastAsia="Times New Roman" w:hAnsi="Times New Roman" w:cs="Times New Roman"/>
          <w:lang w:eastAsia="ar-SA"/>
        </w:rPr>
        <w:tab/>
        <w:t xml:space="preserve">Hilde Jåsund </w:t>
      </w:r>
    </w:p>
    <w:p w14:paraId="3AB5816B" w14:textId="77777777" w:rsidR="00816FF0" w:rsidRPr="006E0547" w:rsidRDefault="00816FF0" w:rsidP="00816FF0">
      <w:pPr>
        <w:tabs>
          <w:tab w:val="clear" w:pos="2155"/>
        </w:tabs>
        <w:suppressAutoHyphens/>
        <w:spacing w:after="0" w:line="240" w:lineRule="auto"/>
        <w:rPr>
          <w:rFonts w:ascii="Times New Roman" w:eastAsia="Times New Roman" w:hAnsi="Times New Roman" w:cs="Times New Roman"/>
          <w:lang w:eastAsia="ar-SA"/>
        </w:rPr>
      </w:pPr>
      <w:r w:rsidRPr="006E0547">
        <w:rPr>
          <w:rFonts w:ascii="Times New Roman" w:eastAsia="Times New Roman" w:hAnsi="Times New Roman" w:cs="Times New Roman"/>
          <w:lang w:eastAsia="ar-SA"/>
        </w:rPr>
        <w:t xml:space="preserve">Prosjektkonsulent </w:t>
      </w:r>
      <w:r w:rsidRPr="006E0547">
        <w:rPr>
          <w:rFonts w:ascii="Times New Roman" w:eastAsia="Times New Roman" w:hAnsi="Times New Roman" w:cs="Times New Roman"/>
          <w:lang w:eastAsia="ar-SA"/>
        </w:rPr>
        <w:tab/>
      </w:r>
      <w:r w:rsidRPr="006E0547">
        <w:rPr>
          <w:rFonts w:ascii="Times New Roman" w:eastAsia="Times New Roman" w:hAnsi="Times New Roman" w:cs="Times New Roman"/>
          <w:lang w:eastAsia="ar-SA"/>
        </w:rPr>
        <w:tab/>
      </w:r>
      <w:r w:rsidRPr="006E0547">
        <w:rPr>
          <w:rFonts w:ascii="Times New Roman" w:eastAsia="Times New Roman" w:hAnsi="Times New Roman" w:cs="Times New Roman"/>
          <w:lang w:eastAsia="ar-SA"/>
        </w:rPr>
        <w:tab/>
      </w:r>
      <w:r w:rsidRPr="006E0547">
        <w:rPr>
          <w:rFonts w:ascii="Times New Roman" w:eastAsia="Times New Roman" w:hAnsi="Times New Roman" w:cs="Times New Roman"/>
          <w:lang w:eastAsia="ar-SA"/>
        </w:rPr>
        <w:tab/>
        <w:t>Tone Cecilie Johannessen</w:t>
      </w:r>
    </w:p>
    <w:p w14:paraId="6032C507" w14:textId="6002B444" w:rsidR="00816FF0" w:rsidRPr="006E0547" w:rsidRDefault="00816FF0" w:rsidP="00816FF0">
      <w:pPr>
        <w:tabs>
          <w:tab w:val="clear" w:pos="2155"/>
        </w:tabs>
        <w:suppressAutoHyphens/>
        <w:spacing w:after="0" w:line="240" w:lineRule="auto"/>
        <w:rPr>
          <w:rFonts w:ascii="Times New Roman" w:eastAsia="Times New Roman" w:hAnsi="Times New Roman" w:cs="Times New Roman"/>
          <w:lang w:eastAsia="ar-SA"/>
        </w:rPr>
      </w:pPr>
      <w:r w:rsidRPr="25AF0A60">
        <w:rPr>
          <w:rFonts w:ascii="Times New Roman" w:eastAsia="Times New Roman" w:hAnsi="Times New Roman" w:cs="Times New Roman"/>
          <w:lang w:eastAsia="ar-SA"/>
        </w:rPr>
        <w:t xml:space="preserve">Seniorrådgiver </w:t>
      </w:r>
      <w:r>
        <w:tab/>
      </w:r>
      <w:r>
        <w:tab/>
      </w:r>
      <w:r>
        <w:tab/>
      </w:r>
      <w:r>
        <w:tab/>
      </w:r>
      <w:r>
        <w:tab/>
      </w:r>
      <w:r w:rsidRPr="25AF0A60">
        <w:rPr>
          <w:rFonts w:ascii="Times New Roman" w:eastAsia="Times New Roman" w:hAnsi="Times New Roman" w:cs="Times New Roman"/>
          <w:lang w:eastAsia="ar-SA"/>
        </w:rPr>
        <w:t xml:space="preserve">Grethe Lunde </w:t>
      </w:r>
      <w:r w:rsidR="002D19E6" w:rsidRPr="25AF0A60">
        <w:rPr>
          <w:rFonts w:ascii="Times New Roman" w:eastAsia="Times New Roman" w:hAnsi="Times New Roman" w:cs="Times New Roman"/>
          <w:lang w:eastAsia="ar-SA"/>
        </w:rPr>
        <w:t>(</w:t>
      </w:r>
      <w:proofErr w:type="spellStart"/>
      <w:r w:rsidR="002D19E6" w:rsidRPr="25AF0A60">
        <w:rPr>
          <w:rFonts w:ascii="Times New Roman" w:eastAsia="Times New Roman" w:hAnsi="Times New Roman" w:cs="Times New Roman"/>
          <w:lang w:eastAsia="ar-SA"/>
        </w:rPr>
        <w:t>t.o.m</w:t>
      </w:r>
      <w:proofErr w:type="spellEnd"/>
      <w:r w:rsidR="002D19E6" w:rsidRPr="25AF0A60">
        <w:rPr>
          <w:rFonts w:ascii="Times New Roman" w:eastAsia="Times New Roman" w:hAnsi="Times New Roman" w:cs="Times New Roman"/>
          <w:lang w:eastAsia="ar-SA"/>
        </w:rPr>
        <w:t xml:space="preserve"> </w:t>
      </w:r>
      <w:r w:rsidR="10B642D0" w:rsidRPr="25AF0A60">
        <w:rPr>
          <w:rFonts w:ascii="Times New Roman" w:eastAsia="Times New Roman" w:hAnsi="Times New Roman" w:cs="Times New Roman"/>
          <w:lang w:eastAsia="ar-SA"/>
        </w:rPr>
        <w:t>31.03.23</w:t>
      </w:r>
      <w:r w:rsidR="002D19E6" w:rsidRPr="25AF0A60">
        <w:rPr>
          <w:rFonts w:ascii="Times New Roman" w:eastAsia="Times New Roman" w:hAnsi="Times New Roman" w:cs="Times New Roman"/>
          <w:lang w:eastAsia="ar-SA"/>
        </w:rPr>
        <w:t>)</w:t>
      </w:r>
    </w:p>
    <w:p w14:paraId="0187CF03" w14:textId="794B5F02" w:rsidR="00816FF0" w:rsidRPr="006E0547" w:rsidRDefault="00A020D8" w:rsidP="12DC08F0">
      <w:pPr>
        <w:tabs>
          <w:tab w:val="clear" w:pos="2155"/>
        </w:tabs>
        <w:suppressAutoHyphens/>
        <w:spacing w:after="0" w:line="240" w:lineRule="auto"/>
        <w:rPr>
          <w:rFonts w:eastAsiaTheme="minorEastAsia"/>
          <w:lang w:eastAsia="ar-SA"/>
        </w:rPr>
      </w:pPr>
      <w:r>
        <w:rPr>
          <w:rFonts w:eastAsiaTheme="minorEastAsia"/>
          <w:lang w:eastAsia="ar-SA"/>
        </w:rPr>
        <w:t>Senior</w:t>
      </w:r>
      <w:r w:rsidR="00816FF0" w:rsidRPr="12DC08F0">
        <w:rPr>
          <w:rFonts w:eastAsiaTheme="minorEastAsia"/>
          <w:lang w:eastAsia="ar-SA"/>
        </w:rPr>
        <w:t xml:space="preserve">rådgiver </w:t>
      </w:r>
      <w:r w:rsidR="0013675C">
        <w:rPr>
          <w:rFonts w:eastAsiaTheme="minorEastAsia"/>
          <w:lang w:eastAsia="ar-SA"/>
        </w:rPr>
        <w:tab/>
      </w:r>
      <w:r w:rsidR="0013675C">
        <w:rPr>
          <w:rFonts w:eastAsiaTheme="minorEastAsia"/>
          <w:lang w:eastAsia="ar-SA"/>
        </w:rPr>
        <w:tab/>
      </w:r>
      <w:r w:rsidR="0013675C">
        <w:rPr>
          <w:rFonts w:eastAsiaTheme="minorEastAsia"/>
          <w:lang w:eastAsia="ar-SA"/>
        </w:rPr>
        <w:tab/>
      </w:r>
      <w:r>
        <w:rPr>
          <w:rFonts w:eastAsiaTheme="minorEastAsia"/>
          <w:lang w:eastAsia="ar-SA"/>
        </w:rPr>
        <w:tab/>
      </w:r>
      <w:r>
        <w:rPr>
          <w:rFonts w:eastAsiaTheme="minorEastAsia"/>
          <w:lang w:eastAsia="ar-SA"/>
        </w:rPr>
        <w:tab/>
      </w:r>
      <w:r w:rsidR="00816FF0" w:rsidRPr="12DC08F0">
        <w:rPr>
          <w:rFonts w:eastAsiaTheme="minorEastAsia"/>
          <w:lang w:eastAsia="ar-SA"/>
        </w:rPr>
        <w:t xml:space="preserve">Helge Kvandal </w:t>
      </w:r>
    </w:p>
    <w:p w14:paraId="4B9C1A68" w14:textId="78365D60" w:rsidR="00A020D8" w:rsidRDefault="00A020D8" w:rsidP="25AF0A60">
      <w:pPr>
        <w:tabs>
          <w:tab w:val="clear" w:pos="2155"/>
        </w:tabs>
        <w:suppressAutoHyphens/>
        <w:spacing w:after="0" w:line="240" w:lineRule="auto"/>
        <w:rPr>
          <w:rFonts w:eastAsiaTheme="minorEastAsia"/>
          <w:lang w:eastAsia="ar-SA"/>
        </w:rPr>
      </w:pPr>
      <w:r w:rsidRPr="25AF0A60">
        <w:rPr>
          <w:rFonts w:eastAsiaTheme="minorEastAsia"/>
          <w:lang w:eastAsia="ar-SA"/>
        </w:rPr>
        <w:t>Rådgiver</w:t>
      </w:r>
      <w:r>
        <w:tab/>
      </w:r>
      <w:r>
        <w:tab/>
      </w:r>
      <w:r>
        <w:tab/>
      </w:r>
      <w:r>
        <w:tab/>
      </w:r>
      <w:r>
        <w:tab/>
      </w:r>
      <w:r w:rsidR="00701878" w:rsidRPr="25AF0A60">
        <w:rPr>
          <w:rFonts w:eastAsiaTheme="minorEastAsia"/>
          <w:lang w:eastAsia="ar-SA"/>
        </w:rPr>
        <w:t>Sindre Hjetland</w:t>
      </w:r>
      <w:r w:rsidR="002D19E6" w:rsidRPr="25AF0A60">
        <w:rPr>
          <w:rFonts w:eastAsiaTheme="minorEastAsia"/>
          <w:lang w:eastAsia="ar-SA"/>
        </w:rPr>
        <w:t xml:space="preserve"> (f.o</w:t>
      </w:r>
      <w:r w:rsidR="003B0267" w:rsidRPr="25AF0A60">
        <w:rPr>
          <w:rFonts w:eastAsiaTheme="minorEastAsia"/>
          <w:lang w:eastAsia="ar-SA"/>
        </w:rPr>
        <w:t xml:space="preserve">.m </w:t>
      </w:r>
      <w:r w:rsidR="40F64832" w:rsidRPr="25AF0A60">
        <w:rPr>
          <w:rFonts w:eastAsiaTheme="minorEastAsia"/>
          <w:lang w:eastAsia="ar-SA"/>
        </w:rPr>
        <w:t>22.01.24</w:t>
      </w:r>
      <w:r w:rsidR="003B0267" w:rsidRPr="25AF0A60">
        <w:rPr>
          <w:rFonts w:eastAsiaTheme="minorEastAsia"/>
          <w:lang w:eastAsia="ar-SA"/>
        </w:rPr>
        <w:t>)</w:t>
      </w:r>
    </w:p>
    <w:p w14:paraId="4D40C77C" w14:textId="56F3015A" w:rsidR="00816FF0" w:rsidRPr="002745A9" w:rsidRDefault="00816FF0" w:rsidP="25AF0A60">
      <w:pPr>
        <w:tabs>
          <w:tab w:val="clear" w:pos="2155"/>
        </w:tabs>
        <w:suppressAutoHyphens/>
        <w:spacing w:after="0" w:line="240" w:lineRule="auto"/>
        <w:rPr>
          <w:rFonts w:eastAsiaTheme="minorEastAsia"/>
          <w:lang w:eastAsia="ar-SA"/>
        </w:rPr>
      </w:pPr>
      <w:r w:rsidRPr="25AF0A60">
        <w:rPr>
          <w:rFonts w:eastAsiaTheme="minorEastAsia"/>
          <w:lang w:eastAsia="ar-SA"/>
        </w:rPr>
        <w:t xml:space="preserve">Kommunikasjonsrådgiver </w:t>
      </w:r>
      <w:r w:rsidR="00AA5AED">
        <w:rPr>
          <w:rFonts w:eastAsiaTheme="minorEastAsia"/>
          <w:lang w:eastAsia="ar-SA"/>
        </w:rPr>
        <w:tab/>
      </w:r>
      <w:r w:rsidR="00AA5AED">
        <w:rPr>
          <w:rFonts w:eastAsiaTheme="minorEastAsia"/>
          <w:lang w:eastAsia="ar-SA"/>
        </w:rPr>
        <w:tab/>
      </w:r>
      <w:r w:rsidR="00AA5AED">
        <w:rPr>
          <w:rFonts w:eastAsiaTheme="minorEastAsia"/>
          <w:lang w:eastAsia="ar-SA"/>
        </w:rPr>
        <w:tab/>
      </w:r>
      <w:r w:rsidRPr="25AF0A60">
        <w:rPr>
          <w:rFonts w:eastAsiaTheme="minorEastAsia"/>
          <w:lang w:eastAsia="ar-SA"/>
        </w:rPr>
        <w:t>Vi</w:t>
      </w:r>
      <w:r w:rsidR="05037A06" w:rsidRPr="25AF0A60">
        <w:rPr>
          <w:rFonts w:eastAsiaTheme="minorEastAsia"/>
          <w:lang w:eastAsia="ar-SA"/>
        </w:rPr>
        <w:t>c</w:t>
      </w:r>
      <w:r w:rsidRPr="25AF0A60">
        <w:rPr>
          <w:rFonts w:eastAsiaTheme="minorEastAsia"/>
          <w:lang w:eastAsia="ar-SA"/>
        </w:rPr>
        <w:t xml:space="preserve">toria Wilden </w:t>
      </w:r>
    </w:p>
    <w:p w14:paraId="1310DAAA" w14:textId="4E96D4A9" w:rsidR="00701878" w:rsidRDefault="00EF5B84" w:rsidP="6B205F46">
      <w:pPr>
        <w:tabs>
          <w:tab w:val="clear" w:pos="2155"/>
        </w:tabs>
        <w:suppressAutoHyphens/>
        <w:spacing w:after="0" w:line="240" w:lineRule="auto"/>
        <w:rPr>
          <w:rFonts w:ascii="Times New Roman" w:eastAsia="Times New Roman" w:hAnsi="Times New Roman" w:cs="Times New Roman"/>
          <w:lang w:eastAsia="ar-SA"/>
        </w:rPr>
      </w:pPr>
      <w:r w:rsidRPr="25AF0A60">
        <w:rPr>
          <w:rFonts w:eastAsiaTheme="minorEastAsia"/>
          <w:lang w:eastAsia="ar-SA"/>
        </w:rPr>
        <w:t>Kommunikasjonsrådgiver</w:t>
      </w:r>
      <w:r w:rsidR="349DC3A9" w:rsidRPr="25AF0A60">
        <w:rPr>
          <w:rFonts w:eastAsiaTheme="minorEastAsia"/>
          <w:lang w:eastAsia="ar-SA"/>
        </w:rPr>
        <w:t xml:space="preserve"> </w:t>
      </w:r>
      <w:r w:rsidR="00AA5AED">
        <w:rPr>
          <w:rFonts w:eastAsiaTheme="minorEastAsia"/>
          <w:lang w:eastAsia="ar-SA"/>
        </w:rPr>
        <w:tab/>
      </w:r>
      <w:r w:rsidR="00AA5AED">
        <w:rPr>
          <w:rFonts w:eastAsiaTheme="minorEastAsia"/>
          <w:lang w:eastAsia="ar-SA"/>
        </w:rPr>
        <w:tab/>
      </w:r>
      <w:r w:rsidR="00AA5AED">
        <w:rPr>
          <w:rFonts w:eastAsiaTheme="minorEastAsia"/>
          <w:lang w:eastAsia="ar-SA"/>
        </w:rPr>
        <w:tab/>
      </w:r>
      <w:r w:rsidR="00701878" w:rsidRPr="25AF0A60">
        <w:rPr>
          <w:rFonts w:ascii="Times New Roman" w:eastAsia="Times New Roman" w:hAnsi="Times New Roman" w:cs="Times New Roman"/>
          <w:lang w:eastAsia="ar-SA"/>
        </w:rPr>
        <w:t>Hanna</w:t>
      </w:r>
      <w:r w:rsidR="00FE73BA" w:rsidRPr="25AF0A60">
        <w:rPr>
          <w:rFonts w:ascii="Times New Roman" w:eastAsia="Times New Roman" w:hAnsi="Times New Roman" w:cs="Times New Roman"/>
          <w:lang w:eastAsia="ar-SA"/>
        </w:rPr>
        <w:t xml:space="preserve"> Hagenes (f.o.m </w:t>
      </w:r>
      <w:r w:rsidR="6FBAA65C" w:rsidRPr="25AF0A60">
        <w:rPr>
          <w:rFonts w:ascii="Times New Roman" w:eastAsia="Times New Roman" w:hAnsi="Times New Roman" w:cs="Times New Roman"/>
          <w:lang w:eastAsia="ar-SA"/>
        </w:rPr>
        <w:t>08.05.23</w:t>
      </w:r>
      <w:r w:rsidR="00FE73BA" w:rsidRPr="25AF0A60">
        <w:rPr>
          <w:rFonts w:ascii="Times New Roman" w:eastAsia="Times New Roman" w:hAnsi="Times New Roman" w:cs="Times New Roman"/>
          <w:lang w:eastAsia="ar-SA"/>
        </w:rPr>
        <w:t>)</w:t>
      </w:r>
    </w:p>
    <w:p w14:paraId="4DB60A3D" w14:textId="65CBB3C1" w:rsidR="00701878" w:rsidRDefault="00EF5B84" w:rsidP="00AA5AED">
      <w:pPr>
        <w:tabs>
          <w:tab w:val="clear" w:pos="2155"/>
        </w:tabs>
        <w:suppressAutoHyphens/>
        <w:spacing w:after="0" w:line="240" w:lineRule="auto"/>
        <w:ind w:left="4245" w:hanging="4245"/>
        <w:rPr>
          <w:rFonts w:ascii="Times New Roman" w:eastAsia="Times New Roman" w:hAnsi="Times New Roman" w:cs="Times New Roman"/>
          <w:lang w:eastAsia="ar-SA"/>
        </w:rPr>
      </w:pPr>
      <w:r w:rsidRPr="25AF0A60">
        <w:rPr>
          <w:rFonts w:eastAsiaTheme="minorEastAsia"/>
          <w:lang w:eastAsia="ar-SA"/>
        </w:rPr>
        <w:t>Kommunikasjonsrådgiver</w:t>
      </w:r>
      <w:r w:rsidR="438C3CAB" w:rsidRPr="25AF0A60">
        <w:rPr>
          <w:rFonts w:eastAsiaTheme="minorEastAsia"/>
          <w:lang w:eastAsia="ar-SA"/>
        </w:rPr>
        <w:t xml:space="preserve"> </w:t>
      </w:r>
      <w:r w:rsidR="00AA5AED">
        <w:rPr>
          <w:rFonts w:eastAsiaTheme="minorEastAsia"/>
          <w:lang w:eastAsia="ar-SA"/>
        </w:rPr>
        <w:tab/>
      </w:r>
      <w:r w:rsidR="00AA5AED">
        <w:rPr>
          <w:rFonts w:eastAsiaTheme="minorEastAsia"/>
          <w:lang w:eastAsia="ar-SA"/>
        </w:rPr>
        <w:tab/>
      </w:r>
      <w:r w:rsidR="00701878" w:rsidRPr="25AF0A60">
        <w:rPr>
          <w:rFonts w:ascii="Times New Roman" w:eastAsia="Times New Roman" w:hAnsi="Times New Roman" w:cs="Times New Roman"/>
          <w:lang w:eastAsia="ar-SA"/>
        </w:rPr>
        <w:t>T</w:t>
      </w:r>
      <w:r w:rsidR="00017C2C" w:rsidRPr="25AF0A60">
        <w:rPr>
          <w:rFonts w:ascii="Times New Roman" w:eastAsia="Times New Roman" w:hAnsi="Times New Roman" w:cs="Times New Roman"/>
          <w:lang w:eastAsia="ar-SA"/>
        </w:rPr>
        <w:t>h</w:t>
      </w:r>
      <w:r w:rsidR="00701878" w:rsidRPr="25AF0A60">
        <w:rPr>
          <w:rFonts w:ascii="Times New Roman" w:eastAsia="Times New Roman" w:hAnsi="Times New Roman" w:cs="Times New Roman"/>
          <w:lang w:eastAsia="ar-SA"/>
        </w:rPr>
        <w:t>uva</w:t>
      </w:r>
      <w:r w:rsidR="00FE73BA" w:rsidRPr="25AF0A60">
        <w:rPr>
          <w:rFonts w:ascii="Times New Roman" w:eastAsia="Times New Roman" w:hAnsi="Times New Roman" w:cs="Times New Roman"/>
          <w:lang w:eastAsia="ar-SA"/>
        </w:rPr>
        <w:t xml:space="preserve"> </w:t>
      </w:r>
      <w:r w:rsidR="00017C2C" w:rsidRPr="25AF0A60">
        <w:rPr>
          <w:rFonts w:ascii="Times New Roman" w:eastAsia="Times New Roman" w:hAnsi="Times New Roman" w:cs="Times New Roman"/>
          <w:lang w:eastAsia="ar-SA"/>
        </w:rPr>
        <w:t xml:space="preserve">Øverås </w:t>
      </w:r>
      <w:r w:rsidR="00FE73BA" w:rsidRPr="25AF0A60">
        <w:rPr>
          <w:rFonts w:ascii="Times New Roman" w:eastAsia="Times New Roman" w:hAnsi="Times New Roman" w:cs="Times New Roman"/>
          <w:lang w:eastAsia="ar-SA"/>
        </w:rPr>
        <w:t>(</w:t>
      </w:r>
      <w:r w:rsidRPr="25AF0A60">
        <w:rPr>
          <w:rFonts w:ascii="Times New Roman" w:eastAsia="Times New Roman" w:hAnsi="Times New Roman" w:cs="Times New Roman"/>
          <w:lang w:eastAsia="ar-SA"/>
        </w:rPr>
        <w:t xml:space="preserve">vikariat </w:t>
      </w:r>
      <w:r w:rsidR="00FE73BA" w:rsidRPr="25AF0A60">
        <w:rPr>
          <w:rFonts w:ascii="Times New Roman" w:eastAsia="Times New Roman" w:hAnsi="Times New Roman" w:cs="Times New Roman"/>
          <w:lang w:eastAsia="ar-SA"/>
        </w:rPr>
        <w:t xml:space="preserve">f.o.m </w:t>
      </w:r>
      <w:r w:rsidR="1563D3F8" w:rsidRPr="25AF0A60">
        <w:rPr>
          <w:rFonts w:ascii="Times New Roman" w:eastAsia="Times New Roman" w:hAnsi="Times New Roman" w:cs="Times New Roman"/>
          <w:lang w:eastAsia="ar-SA"/>
        </w:rPr>
        <w:t>30.10.23</w:t>
      </w:r>
      <w:r w:rsidRPr="25AF0A60">
        <w:rPr>
          <w:rFonts w:ascii="Times New Roman" w:eastAsia="Times New Roman" w:hAnsi="Times New Roman" w:cs="Times New Roman"/>
          <w:lang w:eastAsia="ar-SA"/>
        </w:rPr>
        <w:t xml:space="preserve"> – </w:t>
      </w:r>
      <w:proofErr w:type="spellStart"/>
      <w:r w:rsidRPr="25AF0A60">
        <w:rPr>
          <w:rFonts w:ascii="Times New Roman" w:eastAsia="Times New Roman" w:hAnsi="Times New Roman" w:cs="Times New Roman"/>
          <w:lang w:eastAsia="ar-SA"/>
        </w:rPr>
        <w:t>t.o.m</w:t>
      </w:r>
      <w:proofErr w:type="spellEnd"/>
      <w:r w:rsidRPr="25AF0A60">
        <w:rPr>
          <w:rFonts w:ascii="Times New Roman" w:eastAsia="Times New Roman" w:hAnsi="Times New Roman" w:cs="Times New Roman"/>
          <w:lang w:eastAsia="ar-SA"/>
        </w:rPr>
        <w:t xml:space="preserve"> </w:t>
      </w:r>
      <w:r w:rsidR="6950D12E" w:rsidRPr="25AF0A60">
        <w:rPr>
          <w:rFonts w:ascii="Times New Roman" w:eastAsia="Times New Roman" w:hAnsi="Times New Roman" w:cs="Times New Roman"/>
          <w:lang w:eastAsia="ar-SA"/>
        </w:rPr>
        <w:t>29.10.24</w:t>
      </w:r>
      <w:r w:rsidR="008F603E">
        <w:rPr>
          <w:rFonts w:ascii="Times New Roman" w:eastAsia="Times New Roman" w:hAnsi="Times New Roman" w:cs="Times New Roman"/>
          <w:lang w:eastAsia="ar-SA"/>
        </w:rPr>
        <w:t>)</w:t>
      </w:r>
    </w:p>
    <w:p w14:paraId="0BA425E3" w14:textId="201960A5" w:rsidR="00816FF0" w:rsidRDefault="00816FF0" w:rsidP="6B205F46">
      <w:pPr>
        <w:tabs>
          <w:tab w:val="clear" w:pos="2155"/>
        </w:tabs>
        <w:suppressAutoHyphens/>
        <w:spacing w:after="0" w:line="240" w:lineRule="auto"/>
      </w:pPr>
      <w:r w:rsidRPr="25AF0A60">
        <w:rPr>
          <w:rFonts w:ascii="Times New Roman" w:eastAsia="Times New Roman" w:hAnsi="Times New Roman" w:cs="Times New Roman"/>
          <w:lang w:eastAsia="ar-SA"/>
        </w:rPr>
        <w:t xml:space="preserve">Rådgiver </w:t>
      </w:r>
      <w:r>
        <w:tab/>
      </w:r>
      <w:r>
        <w:tab/>
      </w:r>
      <w:r>
        <w:tab/>
      </w:r>
      <w:r>
        <w:tab/>
      </w:r>
      <w:r>
        <w:tab/>
      </w:r>
      <w:r w:rsidR="290F6772" w:rsidRPr="25AF0A60">
        <w:rPr>
          <w:rFonts w:ascii="Times New Roman" w:eastAsia="Times New Roman" w:hAnsi="Times New Roman" w:cs="Times New Roman"/>
          <w:lang w:eastAsia="ar-SA"/>
        </w:rPr>
        <w:t>Øystein Holm-</w:t>
      </w:r>
      <w:r w:rsidR="12DC08F0" w:rsidRPr="25AF0A60">
        <w:rPr>
          <w:rFonts w:ascii="Times New Roman" w:eastAsia="Times New Roman" w:hAnsi="Times New Roman" w:cs="Times New Roman"/>
          <w:lang w:eastAsia="ar-SA"/>
        </w:rPr>
        <w:t>Haagensen</w:t>
      </w:r>
      <w:r w:rsidRPr="25AF0A60">
        <w:rPr>
          <w:rFonts w:ascii="Times New Roman" w:eastAsia="Times New Roman" w:hAnsi="Times New Roman" w:cs="Times New Roman"/>
          <w:lang w:eastAsia="ar-SA"/>
        </w:rPr>
        <w:t xml:space="preserve"> </w:t>
      </w:r>
      <w:r w:rsidR="00FE73BA" w:rsidRPr="25AF0A60">
        <w:rPr>
          <w:rFonts w:ascii="Times New Roman" w:eastAsia="Times New Roman" w:hAnsi="Times New Roman" w:cs="Times New Roman"/>
          <w:lang w:eastAsia="ar-SA"/>
        </w:rPr>
        <w:t>(</w:t>
      </w:r>
      <w:proofErr w:type="spellStart"/>
      <w:r w:rsidR="00FE73BA" w:rsidRPr="25AF0A60">
        <w:rPr>
          <w:rFonts w:ascii="Times New Roman" w:eastAsia="Times New Roman" w:hAnsi="Times New Roman" w:cs="Times New Roman"/>
          <w:lang w:eastAsia="ar-SA"/>
        </w:rPr>
        <w:t>t.o.m</w:t>
      </w:r>
      <w:proofErr w:type="spellEnd"/>
      <w:r w:rsidR="00FE73BA" w:rsidRPr="25AF0A60">
        <w:rPr>
          <w:rFonts w:ascii="Times New Roman" w:eastAsia="Times New Roman" w:hAnsi="Times New Roman" w:cs="Times New Roman"/>
          <w:lang w:eastAsia="ar-SA"/>
        </w:rPr>
        <w:t xml:space="preserve"> </w:t>
      </w:r>
      <w:r w:rsidR="4F83C90F" w:rsidRPr="25AF0A60">
        <w:rPr>
          <w:rFonts w:ascii="Times New Roman" w:eastAsia="Times New Roman" w:hAnsi="Times New Roman" w:cs="Times New Roman"/>
          <w:lang w:eastAsia="ar-SA"/>
        </w:rPr>
        <w:t>20.06.23</w:t>
      </w:r>
      <w:r w:rsidR="00FE73BA" w:rsidRPr="25AF0A60">
        <w:rPr>
          <w:rFonts w:ascii="Times New Roman" w:eastAsia="Times New Roman" w:hAnsi="Times New Roman" w:cs="Times New Roman"/>
          <w:lang w:eastAsia="ar-SA"/>
        </w:rPr>
        <w:t>)</w:t>
      </w:r>
      <w:r>
        <w:tab/>
      </w:r>
    </w:p>
    <w:p w14:paraId="21B15026" w14:textId="6C9B7EB8" w:rsidR="00816FF0" w:rsidRPr="006E0547" w:rsidRDefault="0032385E" w:rsidP="00816FF0">
      <w:pPr>
        <w:tabs>
          <w:tab w:val="clear" w:pos="2155"/>
        </w:tabs>
        <w:suppressAutoHyphens/>
        <w:spacing w:after="0" w:line="240" w:lineRule="auto"/>
        <w:rPr>
          <w:rFonts w:ascii="Times New Roman" w:eastAsia="Times New Roman" w:hAnsi="Times New Roman" w:cs="Times New Roman"/>
          <w:lang w:eastAsia="ar-SA"/>
        </w:rPr>
      </w:pPr>
      <w:r>
        <w:rPr>
          <w:rFonts w:ascii="Times New Roman" w:eastAsia="Times New Roman" w:hAnsi="Times New Roman" w:cs="Times New Roman"/>
          <w:lang w:eastAsia="ar-SA"/>
        </w:rPr>
        <w:t>R</w:t>
      </w:r>
      <w:r w:rsidR="00BE40BB" w:rsidRPr="4C823911">
        <w:rPr>
          <w:rFonts w:ascii="Times New Roman" w:eastAsia="Times New Roman" w:hAnsi="Times New Roman" w:cs="Times New Roman"/>
          <w:lang w:eastAsia="ar-SA"/>
        </w:rPr>
        <w:t xml:space="preserve">ådgiver </w:t>
      </w:r>
      <w:r w:rsidR="0013675C">
        <w:rPr>
          <w:rFonts w:ascii="Times New Roman" w:eastAsia="Times New Roman" w:hAnsi="Times New Roman" w:cs="Times New Roman"/>
          <w:lang w:eastAsia="ar-SA"/>
        </w:rPr>
        <w:tab/>
      </w:r>
      <w:r w:rsidR="0013675C">
        <w:rPr>
          <w:rFonts w:ascii="Times New Roman" w:eastAsia="Times New Roman" w:hAnsi="Times New Roman" w:cs="Times New Roman"/>
          <w:lang w:eastAsia="ar-SA"/>
        </w:rPr>
        <w:tab/>
      </w:r>
      <w:r w:rsidR="0013675C">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sidR="00816FF0" w:rsidRPr="4C823911">
        <w:rPr>
          <w:rFonts w:ascii="Times New Roman" w:eastAsia="Times New Roman" w:hAnsi="Times New Roman" w:cs="Times New Roman"/>
          <w:lang w:eastAsia="ar-SA"/>
        </w:rPr>
        <w:t xml:space="preserve">Ingeborg </w:t>
      </w:r>
      <w:proofErr w:type="spellStart"/>
      <w:r w:rsidR="00816FF0" w:rsidRPr="4C823911">
        <w:rPr>
          <w:rFonts w:ascii="Times New Roman" w:eastAsia="Times New Roman" w:hAnsi="Times New Roman" w:cs="Times New Roman"/>
          <w:lang w:eastAsia="ar-SA"/>
        </w:rPr>
        <w:t>Guleng</w:t>
      </w:r>
      <w:proofErr w:type="spellEnd"/>
      <w:r w:rsidR="00816FF0" w:rsidRPr="12DC08F0">
        <w:rPr>
          <w:rFonts w:ascii="Times New Roman" w:eastAsia="Times New Roman" w:hAnsi="Times New Roman" w:cs="Times New Roman"/>
          <w:lang w:eastAsia="ar-SA"/>
        </w:rPr>
        <w:t xml:space="preserve"> Laugerud</w:t>
      </w:r>
    </w:p>
    <w:p w14:paraId="2A5C908E" w14:textId="37456B4A" w:rsidR="00816FF0" w:rsidRPr="006E0547" w:rsidRDefault="00816FF0" w:rsidP="00816FF0">
      <w:pPr>
        <w:tabs>
          <w:tab w:val="clear" w:pos="2155"/>
        </w:tabs>
        <w:suppressAutoHyphens/>
        <w:spacing w:after="0" w:line="240" w:lineRule="auto"/>
        <w:rPr>
          <w:rFonts w:ascii="Times New Roman" w:eastAsia="Times New Roman" w:hAnsi="Times New Roman" w:cs="Times New Roman"/>
          <w:lang w:eastAsia="ar-SA"/>
        </w:rPr>
      </w:pPr>
      <w:r w:rsidRPr="006E0547">
        <w:rPr>
          <w:rFonts w:ascii="Times New Roman" w:eastAsia="Times New Roman" w:hAnsi="Times New Roman" w:cs="Times New Roman"/>
          <w:lang w:eastAsia="ar-SA"/>
        </w:rPr>
        <w:t xml:space="preserve">Seniorrådgiver </w:t>
      </w:r>
      <w:r>
        <w:tab/>
      </w:r>
      <w:r>
        <w:tab/>
      </w:r>
      <w:r>
        <w:tab/>
      </w:r>
      <w:r>
        <w:tab/>
      </w:r>
      <w:r>
        <w:tab/>
      </w:r>
      <w:r w:rsidRPr="006E0547">
        <w:rPr>
          <w:rFonts w:ascii="Times New Roman" w:eastAsia="Times New Roman" w:hAnsi="Times New Roman" w:cs="Times New Roman"/>
          <w:lang w:eastAsia="ar-SA"/>
        </w:rPr>
        <w:t xml:space="preserve">Astrid Merethe Svele </w:t>
      </w:r>
    </w:p>
    <w:p w14:paraId="3C226DC1" w14:textId="7A6264BB" w:rsidR="00816FF0" w:rsidRPr="006E0547" w:rsidRDefault="00816FF0" w:rsidP="00816FF0">
      <w:pPr>
        <w:tabs>
          <w:tab w:val="clear" w:pos="2155"/>
        </w:tabs>
        <w:suppressAutoHyphens/>
        <w:spacing w:after="0" w:line="240" w:lineRule="auto"/>
        <w:rPr>
          <w:rFonts w:ascii="Times New Roman" w:eastAsia="Times New Roman" w:hAnsi="Times New Roman" w:cs="Times New Roman"/>
          <w:lang w:eastAsia="ar-SA"/>
        </w:rPr>
      </w:pPr>
      <w:r w:rsidRPr="006E0547">
        <w:rPr>
          <w:rFonts w:ascii="Times New Roman" w:eastAsia="Times New Roman" w:hAnsi="Times New Roman" w:cs="Times New Roman"/>
          <w:lang w:eastAsia="ar-SA"/>
        </w:rPr>
        <w:t xml:space="preserve">Seniorrådgiver </w:t>
      </w:r>
      <w:r>
        <w:tab/>
      </w:r>
      <w:r>
        <w:tab/>
      </w:r>
      <w:r>
        <w:tab/>
      </w:r>
      <w:r>
        <w:tab/>
      </w:r>
      <w:r>
        <w:tab/>
      </w:r>
      <w:r w:rsidRPr="006E0547">
        <w:rPr>
          <w:rFonts w:ascii="Times New Roman" w:eastAsia="Times New Roman" w:hAnsi="Times New Roman" w:cs="Times New Roman"/>
          <w:lang w:eastAsia="ar-SA"/>
        </w:rPr>
        <w:t xml:space="preserve">Joakim Østbye </w:t>
      </w:r>
    </w:p>
    <w:p w14:paraId="0FD95A9C" w14:textId="3FAA3A22" w:rsidR="00816FF0" w:rsidRDefault="04E0A462" w:rsidP="00816FF0">
      <w:pPr>
        <w:tabs>
          <w:tab w:val="clear" w:pos="2155"/>
        </w:tabs>
        <w:suppressAutoHyphens/>
        <w:spacing w:after="0" w:line="240" w:lineRule="auto"/>
        <w:rPr>
          <w:rFonts w:ascii="Times New Roman" w:eastAsia="Times New Roman" w:hAnsi="Times New Roman" w:cs="Times New Roman"/>
          <w:lang w:eastAsia="ar-SA"/>
        </w:rPr>
      </w:pPr>
      <w:r w:rsidRPr="7FC9C2A1">
        <w:rPr>
          <w:rFonts w:ascii="Times New Roman" w:eastAsia="Times New Roman" w:hAnsi="Times New Roman" w:cs="Times New Roman"/>
          <w:lang w:eastAsia="ar-SA"/>
        </w:rPr>
        <w:t xml:space="preserve">Seniorrådgiver </w:t>
      </w:r>
      <w:r w:rsidR="0013675C">
        <w:rPr>
          <w:rFonts w:ascii="Times New Roman" w:eastAsia="Times New Roman" w:hAnsi="Times New Roman" w:cs="Times New Roman"/>
          <w:lang w:eastAsia="ar-SA"/>
        </w:rPr>
        <w:tab/>
      </w:r>
      <w:r w:rsidR="0013675C">
        <w:rPr>
          <w:rFonts w:ascii="Times New Roman" w:eastAsia="Times New Roman" w:hAnsi="Times New Roman" w:cs="Times New Roman"/>
          <w:lang w:eastAsia="ar-SA"/>
        </w:rPr>
        <w:tab/>
      </w:r>
      <w:r w:rsidR="0013675C">
        <w:rPr>
          <w:rFonts w:ascii="Times New Roman" w:eastAsia="Times New Roman" w:hAnsi="Times New Roman" w:cs="Times New Roman"/>
          <w:lang w:eastAsia="ar-SA"/>
        </w:rPr>
        <w:tab/>
      </w:r>
      <w:r w:rsidR="0013675C">
        <w:rPr>
          <w:rFonts w:ascii="Times New Roman" w:eastAsia="Times New Roman" w:hAnsi="Times New Roman" w:cs="Times New Roman"/>
          <w:lang w:eastAsia="ar-SA"/>
        </w:rPr>
        <w:tab/>
      </w:r>
      <w:r w:rsidR="0013675C">
        <w:rPr>
          <w:rFonts w:ascii="Times New Roman" w:eastAsia="Times New Roman" w:hAnsi="Times New Roman" w:cs="Times New Roman"/>
          <w:lang w:eastAsia="ar-SA"/>
        </w:rPr>
        <w:tab/>
      </w:r>
      <w:r w:rsidRPr="7FC9C2A1">
        <w:rPr>
          <w:rFonts w:ascii="Times New Roman" w:eastAsia="Times New Roman" w:hAnsi="Times New Roman" w:cs="Times New Roman"/>
          <w:lang w:eastAsia="ar-SA"/>
        </w:rPr>
        <w:t xml:space="preserve">Atle </w:t>
      </w:r>
      <w:r w:rsidRPr="745B4168">
        <w:rPr>
          <w:rFonts w:ascii="Times New Roman" w:eastAsia="Times New Roman" w:hAnsi="Times New Roman" w:cs="Times New Roman"/>
          <w:lang w:eastAsia="ar-SA"/>
        </w:rPr>
        <w:t>Gullestad</w:t>
      </w:r>
      <w:r w:rsidR="7018D182" w:rsidRPr="3F1502CE">
        <w:rPr>
          <w:rFonts w:ascii="Times New Roman" w:eastAsia="Times New Roman" w:hAnsi="Times New Roman" w:cs="Times New Roman"/>
          <w:lang w:eastAsia="ar-SA"/>
        </w:rPr>
        <w:t xml:space="preserve"> </w:t>
      </w:r>
    </w:p>
    <w:p w14:paraId="550F52E3" w14:textId="41A6A2B2" w:rsidR="04E0A462" w:rsidRDefault="04E0A462" w:rsidP="745B4168">
      <w:pPr>
        <w:tabs>
          <w:tab w:val="clear" w:pos="2155"/>
        </w:tabs>
        <w:spacing w:after="0" w:line="240" w:lineRule="auto"/>
        <w:rPr>
          <w:rFonts w:ascii="Times New Roman" w:eastAsia="Times New Roman" w:hAnsi="Times New Roman" w:cs="Times New Roman"/>
          <w:lang w:eastAsia="ar-SA"/>
        </w:rPr>
      </w:pPr>
      <w:r w:rsidRPr="53FB3DBC">
        <w:rPr>
          <w:rFonts w:ascii="Times New Roman" w:eastAsia="Times New Roman" w:hAnsi="Times New Roman" w:cs="Times New Roman"/>
          <w:lang w:eastAsia="ar-SA"/>
        </w:rPr>
        <w:t xml:space="preserve">Seniorrådgiver </w:t>
      </w:r>
      <w:r w:rsidR="0013675C">
        <w:rPr>
          <w:rFonts w:ascii="Times New Roman" w:eastAsia="Times New Roman" w:hAnsi="Times New Roman" w:cs="Times New Roman"/>
          <w:lang w:eastAsia="ar-SA"/>
        </w:rPr>
        <w:tab/>
      </w:r>
      <w:r w:rsidR="0013675C">
        <w:rPr>
          <w:rFonts w:ascii="Times New Roman" w:eastAsia="Times New Roman" w:hAnsi="Times New Roman" w:cs="Times New Roman"/>
          <w:lang w:eastAsia="ar-SA"/>
        </w:rPr>
        <w:tab/>
      </w:r>
      <w:r w:rsidR="0013675C">
        <w:rPr>
          <w:rFonts w:ascii="Times New Roman" w:eastAsia="Times New Roman" w:hAnsi="Times New Roman" w:cs="Times New Roman"/>
          <w:lang w:eastAsia="ar-SA"/>
        </w:rPr>
        <w:tab/>
      </w:r>
      <w:r w:rsidR="0013675C">
        <w:rPr>
          <w:rFonts w:ascii="Times New Roman" w:eastAsia="Times New Roman" w:hAnsi="Times New Roman" w:cs="Times New Roman"/>
          <w:lang w:eastAsia="ar-SA"/>
        </w:rPr>
        <w:tab/>
      </w:r>
      <w:r w:rsidR="00BA7346">
        <w:rPr>
          <w:rFonts w:ascii="Times New Roman" w:eastAsia="Times New Roman" w:hAnsi="Times New Roman" w:cs="Times New Roman"/>
          <w:lang w:eastAsia="ar-SA"/>
        </w:rPr>
        <w:tab/>
      </w:r>
      <w:r w:rsidRPr="53FB3DBC">
        <w:rPr>
          <w:rFonts w:ascii="Times New Roman" w:eastAsia="Times New Roman" w:hAnsi="Times New Roman" w:cs="Times New Roman"/>
          <w:lang w:eastAsia="ar-SA"/>
        </w:rPr>
        <w:t xml:space="preserve">Annette </w:t>
      </w:r>
      <w:r w:rsidRPr="1A9F69CB">
        <w:rPr>
          <w:rFonts w:ascii="Times New Roman" w:eastAsia="Times New Roman" w:hAnsi="Times New Roman" w:cs="Times New Roman"/>
          <w:lang w:eastAsia="ar-SA"/>
        </w:rPr>
        <w:t>Narverud</w:t>
      </w:r>
      <w:r w:rsidR="05B549BD" w:rsidRPr="1419C271">
        <w:rPr>
          <w:rFonts w:ascii="Times New Roman" w:eastAsia="Times New Roman" w:hAnsi="Times New Roman" w:cs="Times New Roman"/>
          <w:lang w:eastAsia="ar-SA"/>
        </w:rPr>
        <w:t xml:space="preserve"> </w:t>
      </w:r>
    </w:p>
    <w:p w14:paraId="3563DAA5" w14:textId="5B08ADC7" w:rsidR="00D00B28" w:rsidRDefault="00D00B28" w:rsidP="745B4168">
      <w:pPr>
        <w:tabs>
          <w:tab w:val="clear" w:pos="2155"/>
        </w:tabs>
        <w:spacing w:after="0" w:line="240" w:lineRule="auto"/>
        <w:rPr>
          <w:rFonts w:ascii="Times New Roman" w:eastAsia="Times New Roman" w:hAnsi="Times New Roman" w:cs="Times New Roman"/>
          <w:lang w:eastAsia="ar-SA"/>
        </w:rPr>
      </w:pPr>
      <w:r w:rsidRPr="25AF0A60">
        <w:rPr>
          <w:rFonts w:ascii="Times New Roman" w:eastAsia="Times New Roman" w:hAnsi="Times New Roman" w:cs="Times New Roman"/>
          <w:lang w:eastAsia="ar-SA"/>
        </w:rPr>
        <w:t xml:space="preserve">Seniorrådgiver </w:t>
      </w:r>
      <w:r>
        <w:tab/>
      </w:r>
      <w:r>
        <w:tab/>
      </w:r>
      <w:r>
        <w:tab/>
      </w:r>
      <w:r>
        <w:tab/>
      </w:r>
      <w:r>
        <w:tab/>
      </w:r>
      <w:r w:rsidRPr="25AF0A60">
        <w:rPr>
          <w:rFonts w:ascii="Times New Roman" w:eastAsia="Times New Roman" w:hAnsi="Times New Roman" w:cs="Times New Roman"/>
          <w:lang w:eastAsia="ar-SA"/>
        </w:rPr>
        <w:t>Andreas Christensen (</w:t>
      </w:r>
      <w:r w:rsidR="00BE4ACA" w:rsidRPr="25AF0A60">
        <w:rPr>
          <w:rFonts w:ascii="Times New Roman" w:eastAsia="Times New Roman" w:hAnsi="Times New Roman" w:cs="Times New Roman"/>
          <w:lang w:eastAsia="ar-SA"/>
        </w:rPr>
        <w:t xml:space="preserve">f.o.m </w:t>
      </w:r>
      <w:r w:rsidR="42A6229D" w:rsidRPr="25AF0A60">
        <w:rPr>
          <w:rFonts w:ascii="Times New Roman" w:eastAsia="Times New Roman" w:hAnsi="Times New Roman" w:cs="Times New Roman"/>
          <w:lang w:eastAsia="ar-SA"/>
        </w:rPr>
        <w:t>01.09.23</w:t>
      </w:r>
      <w:r w:rsidR="00BE4ACA" w:rsidRPr="25AF0A60">
        <w:rPr>
          <w:rFonts w:ascii="Times New Roman" w:eastAsia="Times New Roman" w:hAnsi="Times New Roman" w:cs="Times New Roman"/>
          <w:lang w:eastAsia="ar-SA"/>
        </w:rPr>
        <w:t>)</w:t>
      </w:r>
    </w:p>
    <w:p w14:paraId="1C0A2C3E" w14:textId="77777777" w:rsidR="00BF24E6" w:rsidRDefault="00BF24E6" w:rsidP="00816FF0">
      <w:pPr>
        <w:tabs>
          <w:tab w:val="clear" w:pos="2155"/>
        </w:tabs>
        <w:suppressAutoHyphens/>
        <w:spacing w:after="0" w:line="240" w:lineRule="auto"/>
        <w:rPr>
          <w:rFonts w:ascii="Times New Roman" w:eastAsia="Times New Roman" w:hAnsi="Times New Roman" w:cs="Times New Roman"/>
          <w:lang w:eastAsia="ar-SA"/>
        </w:rPr>
      </w:pPr>
    </w:p>
    <w:p w14:paraId="2075CFD1" w14:textId="4CDED7D0" w:rsidR="00816FF0" w:rsidRDefault="00816FF0" w:rsidP="00816FF0">
      <w:pPr>
        <w:tabs>
          <w:tab w:val="clear" w:pos="2155"/>
        </w:tabs>
        <w:suppressAutoHyphens/>
        <w:spacing w:after="0" w:line="240" w:lineRule="auto"/>
        <w:rPr>
          <w:rFonts w:ascii="Times New Roman" w:eastAsia="Times New Roman" w:hAnsi="Times New Roman" w:cs="Times New Roman"/>
          <w:lang w:eastAsia="ar-SA"/>
        </w:rPr>
      </w:pPr>
      <w:r w:rsidRPr="0C28780F">
        <w:rPr>
          <w:rFonts w:ascii="Times New Roman" w:eastAsia="Times New Roman" w:hAnsi="Times New Roman" w:cs="Times New Roman"/>
          <w:lang w:eastAsia="ar-SA"/>
        </w:rPr>
        <w:t xml:space="preserve">Omstillingstillitsvalgt </w:t>
      </w:r>
      <w:r w:rsidR="002745A9">
        <w:rPr>
          <w:rFonts w:ascii="Times New Roman" w:eastAsia="Times New Roman" w:hAnsi="Times New Roman" w:cs="Times New Roman"/>
          <w:lang w:eastAsia="ar-SA"/>
        </w:rPr>
        <w:tab/>
      </w:r>
      <w:r w:rsidR="002745A9">
        <w:rPr>
          <w:rFonts w:ascii="Times New Roman" w:eastAsia="Times New Roman" w:hAnsi="Times New Roman" w:cs="Times New Roman"/>
          <w:lang w:eastAsia="ar-SA"/>
        </w:rPr>
        <w:tab/>
      </w:r>
      <w:r w:rsidR="002745A9">
        <w:rPr>
          <w:rFonts w:ascii="Times New Roman" w:eastAsia="Times New Roman" w:hAnsi="Times New Roman" w:cs="Times New Roman"/>
          <w:lang w:eastAsia="ar-SA"/>
        </w:rPr>
        <w:tab/>
      </w:r>
      <w:r w:rsidR="002745A9">
        <w:rPr>
          <w:rFonts w:ascii="Times New Roman" w:eastAsia="Times New Roman" w:hAnsi="Times New Roman" w:cs="Times New Roman"/>
          <w:lang w:eastAsia="ar-SA"/>
        </w:rPr>
        <w:tab/>
      </w:r>
      <w:r w:rsidRPr="0C28780F">
        <w:rPr>
          <w:rFonts w:ascii="Times New Roman" w:eastAsia="Times New Roman" w:hAnsi="Times New Roman" w:cs="Times New Roman"/>
          <w:lang w:eastAsia="ar-SA"/>
        </w:rPr>
        <w:t>Morten Skaarer</w:t>
      </w:r>
    </w:p>
    <w:p w14:paraId="3E0E3480" w14:textId="43CB06F9" w:rsidR="00816FF0" w:rsidRDefault="00816FF0" w:rsidP="002745A9">
      <w:pPr>
        <w:tabs>
          <w:tab w:val="clear" w:pos="2155"/>
        </w:tabs>
        <w:suppressAutoHyphens/>
        <w:spacing w:after="0" w:line="240" w:lineRule="auto"/>
      </w:pPr>
      <w:r w:rsidRPr="2B45A916">
        <w:rPr>
          <w:rFonts w:ascii="Times New Roman" w:eastAsia="Times New Roman" w:hAnsi="Times New Roman" w:cs="Times New Roman"/>
          <w:lang w:eastAsia="ar-SA"/>
        </w:rPr>
        <w:t xml:space="preserve">Regnskapsfører </w:t>
      </w:r>
      <w:r w:rsidR="002745A9">
        <w:rPr>
          <w:rFonts w:ascii="Times New Roman" w:eastAsia="Times New Roman" w:hAnsi="Times New Roman" w:cs="Times New Roman"/>
          <w:lang w:eastAsia="ar-SA"/>
        </w:rPr>
        <w:tab/>
      </w:r>
      <w:r w:rsidR="002745A9">
        <w:rPr>
          <w:rFonts w:ascii="Times New Roman" w:eastAsia="Times New Roman" w:hAnsi="Times New Roman" w:cs="Times New Roman"/>
          <w:lang w:eastAsia="ar-SA"/>
        </w:rPr>
        <w:tab/>
      </w:r>
      <w:r w:rsidR="002745A9">
        <w:rPr>
          <w:rFonts w:ascii="Times New Roman" w:eastAsia="Times New Roman" w:hAnsi="Times New Roman" w:cs="Times New Roman"/>
          <w:lang w:eastAsia="ar-SA"/>
        </w:rPr>
        <w:tab/>
      </w:r>
      <w:r w:rsidR="002745A9">
        <w:rPr>
          <w:rFonts w:ascii="Times New Roman" w:eastAsia="Times New Roman" w:hAnsi="Times New Roman" w:cs="Times New Roman"/>
          <w:lang w:eastAsia="ar-SA"/>
        </w:rPr>
        <w:tab/>
      </w:r>
      <w:r w:rsidRPr="2B45A916">
        <w:rPr>
          <w:rFonts w:ascii="Times New Roman" w:eastAsia="Times New Roman" w:hAnsi="Times New Roman" w:cs="Times New Roman"/>
          <w:lang w:eastAsia="ar-SA"/>
        </w:rPr>
        <w:t>Gunvor Kvarving (Hurd)</w:t>
      </w:r>
    </w:p>
    <w:p w14:paraId="1DD3379A" w14:textId="77777777" w:rsidR="006B4524" w:rsidRDefault="006B4524" w:rsidP="00165D6F">
      <w:pPr>
        <w:pStyle w:val="Overskrift2"/>
      </w:pPr>
      <w:bookmarkStart w:id="51" w:name="_Hlk49807609"/>
    </w:p>
    <w:p w14:paraId="7A57D43F" w14:textId="77777777" w:rsidR="000D6551" w:rsidRDefault="000D6551">
      <w:pPr>
        <w:tabs>
          <w:tab w:val="clear" w:pos="2155"/>
        </w:tabs>
        <w:spacing w:after="160" w:line="259" w:lineRule="auto"/>
        <w:rPr>
          <w:rFonts w:asciiTheme="majorHAnsi" w:eastAsiaTheme="majorEastAsia" w:hAnsiTheme="majorHAnsi" w:cstheme="majorBidi"/>
          <w:b/>
          <w:color w:val="262682" w:themeColor="accent1"/>
          <w:sz w:val="26"/>
          <w:szCs w:val="26"/>
        </w:rPr>
      </w:pPr>
      <w:r>
        <w:br w:type="page"/>
      </w:r>
    </w:p>
    <w:p w14:paraId="0CBD661A" w14:textId="0EFCF44E" w:rsidR="00CC098A" w:rsidRDefault="005943C4" w:rsidP="00165D6F">
      <w:pPr>
        <w:pStyle w:val="Overskrift2"/>
      </w:pPr>
      <w:bookmarkStart w:id="52" w:name="_Toc176264524"/>
      <w:r>
        <w:lastRenderedPageBreak/>
        <w:t xml:space="preserve">Vedlegg 4: </w:t>
      </w:r>
      <w:r w:rsidR="00CC098A">
        <w:t>Deltakelse i sentrale utvalg, styrer og råd</w:t>
      </w:r>
      <w:r w:rsidR="00C653DD">
        <w:t xml:space="preserve"> </w:t>
      </w:r>
      <w:r w:rsidR="00385308">
        <w:t>for Akademikerne</w:t>
      </w:r>
      <w:bookmarkEnd w:id="52"/>
      <w:r w:rsidR="00722CC2">
        <w:t xml:space="preserve"> </w:t>
      </w:r>
    </w:p>
    <w:bookmarkEnd w:id="51"/>
    <w:p w14:paraId="2C16EF0D" w14:textId="2BBF4E00" w:rsidR="00320972" w:rsidRDefault="00320972" w:rsidP="00320972">
      <w:r>
        <w:t>Leder:</w:t>
      </w:r>
    </w:p>
    <w:p w14:paraId="06DD7E3A" w14:textId="1360AA4F" w:rsidR="00320972" w:rsidRDefault="00320972" w:rsidP="00506201">
      <w:pPr>
        <w:pStyle w:val="Listeavsnitt"/>
        <w:numPr>
          <w:ilvl w:val="0"/>
          <w:numId w:val="17"/>
        </w:numPr>
      </w:pPr>
      <w:r>
        <w:t xml:space="preserve">Regjeringens kontaktutvalg </w:t>
      </w:r>
    </w:p>
    <w:p w14:paraId="7A401989" w14:textId="217A9FCB" w:rsidR="00320972" w:rsidRDefault="00320972" w:rsidP="00506201">
      <w:pPr>
        <w:pStyle w:val="Listeavsnitt"/>
        <w:numPr>
          <w:ilvl w:val="0"/>
          <w:numId w:val="17"/>
        </w:numPr>
      </w:pPr>
      <w:r>
        <w:t xml:space="preserve">Arbeidsliv- og </w:t>
      </w:r>
      <w:proofErr w:type="spellStart"/>
      <w:r>
        <w:t>pensjonspolitisk</w:t>
      </w:r>
      <w:proofErr w:type="spellEnd"/>
      <w:r>
        <w:t xml:space="preserve"> råd </w:t>
      </w:r>
      <w:r w:rsidR="00CA3183">
        <w:t>(ALPR)</w:t>
      </w:r>
    </w:p>
    <w:p w14:paraId="08208BE4" w14:textId="66EE06D0" w:rsidR="00320972" w:rsidRDefault="00320972" w:rsidP="00506201">
      <w:pPr>
        <w:pStyle w:val="Listeavsnitt"/>
        <w:numPr>
          <w:ilvl w:val="0"/>
          <w:numId w:val="17"/>
        </w:numPr>
      </w:pPr>
      <w:proofErr w:type="spellStart"/>
      <w:r>
        <w:t>Kompetansepolitisk</w:t>
      </w:r>
      <w:proofErr w:type="spellEnd"/>
      <w:r>
        <w:t xml:space="preserve"> råd</w:t>
      </w:r>
    </w:p>
    <w:p w14:paraId="3B4E74D9" w14:textId="3AC2F63A" w:rsidR="00BB7841" w:rsidRDefault="00BB7841" w:rsidP="00506201">
      <w:pPr>
        <w:pStyle w:val="Listeavsnitt"/>
        <w:numPr>
          <w:ilvl w:val="0"/>
          <w:numId w:val="17"/>
        </w:numPr>
      </w:pPr>
      <w:r>
        <w:t>Rå</w:t>
      </w:r>
      <w:r w:rsidR="001C3432">
        <w:t>d</w:t>
      </w:r>
      <w:r>
        <w:t xml:space="preserve"> for rettferdig omstilling</w:t>
      </w:r>
    </w:p>
    <w:p w14:paraId="63A36BB0" w14:textId="09289C95" w:rsidR="00320972" w:rsidRDefault="00320972" w:rsidP="00506201">
      <w:pPr>
        <w:pStyle w:val="Listeavsnitt"/>
        <w:numPr>
          <w:ilvl w:val="0"/>
          <w:numId w:val="17"/>
        </w:numPr>
      </w:pPr>
      <w:r>
        <w:t>Arbeidslivets klimaråd</w:t>
      </w:r>
    </w:p>
    <w:p w14:paraId="71C9250D" w14:textId="02BD2845" w:rsidR="00320972" w:rsidRDefault="00385308" w:rsidP="00320972">
      <w:r>
        <w:t xml:space="preserve">Andre: </w:t>
      </w:r>
    </w:p>
    <w:p w14:paraId="1998EBDE" w14:textId="1A25BD44" w:rsidR="00320972" w:rsidRPr="008F0C35" w:rsidRDefault="006C2DA2" w:rsidP="00506201">
      <w:pPr>
        <w:pStyle w:val="Listeavsnitt"/>
        <w:numPr>
          <w:ilvl w:val="0"/>
          <w:numId w:val="18"/>
        </w:numPr>
      </w:pPr>
      <w:r w:rsidRPr="008F0C35">
        <w:t>Frontfagsutvalget – Annette B. Basma</w:t>
      </w:r>
    </w:p>
    <w:p w14:paraId="1D22FF6F" w14:textId="0759BF9F" w:rsidR="00C71E99" w:rsidRPr="008F0C35" w:rsidRDefault="00C71E99" w:rsidP="00506201">
      <w:pPr>
        <w:pStyle w:val="Listeavsnitt"/>
        <w:numPr>
          <w:ilvl w:val="0"/>
          <w:numId w:val="18"/>
        </w:numPr>
      </w:pPr>
      <w:r w:rsidRPr="008F0C35">
        <w:t>Kompe</w:t>
      </w:r>
      <w:r w:rsidR="00091CE6" w:rsidRPr="008F0C35">
        <w:t>tansereformutvalget – Joakim Østbye</w:t>
      </w:r>
    </w:p>
    <w:p w14:paraId="0DFE5E83" w14:textId="21C6EA37" w:rsidR="00B0238C" w:rsidRDefault="00B0238C" w:rsidP="00B0238C">
      <w:pPr>
        <w:pStyle w:val="Listeavsnitt"/>
        <w:numPr>
          <w:ilvl w:val="0"/>
          <w:numId w:val="18"/>
        </w:numPr>
      </w:pPr>
      <w:r w:rsidRPr="008F0C35">
        <w:t>Lavlønnsutvalget</w:t>
      </w:r>
      <w:r w:rsidR="00F35128" w:rsidRPr="008F0C35">
        <w:t>-</w:t>
      </w:r>
      <w:r w:rsidRPr="008F0C35">
        <w:t xml:space="preserve"> Nina Sverdrup Svendsen</w:t>
      </w:r>
    </w:p>
    <w:p w14:paraId="6EF57FDA" w14:textId="77777777" w:rsidR="00DB2C5A" w:rsidRPr="008F0C35" w:rsidRDefault="00DB2C5A" w:rsidP="00DB2C5A">
      <w:pPr>
        <w:pStyle w:val="Listeavsnitt"/>
        <w:numPr>
          <w:ilvl w:val="0"/>
          <w:numId w:val="18"/>
        </w:numPr>
      </w:pPr>
      <w:r w:rsidRPr="008F0C35">
        <w:t>Feriepengelovutvalget – Astrid M. Svele</w:t>
      </w:r>
    </w:p>
    <w:p w14:paraId="727C8CBF" w14:textId="6713FE78" w:rsidR="00B0238C" w:rsidRPr="008F0C35" w:rsidRDefault="00B0238C" w:rsidP="00B0238C">
      <w:pPr>
        <w:pStyle w:val="Listeavsnitt"/>
        <w:numPr>
          <w:ilvl w:val="0"/>
          <w:numId w:val="18"/>
        </w:numPr>
      </w:pPr>
      <w:r w:rsidRPr="008F0C35">
        <w:t>Arbeidsgruppe om arbeidskonflikter og tvungen lønnsnemnd</w:t>
      </w:r>
      <w:r w:rsidR="00F5622A" w:rsidRPr="008F0C35">
        <w:t xml:space="preserve"> -</w:t>
      </w:r>
      <w:r w:rsidRPr="008F0C35">
        <w:t>Nina Sverdrup Svendsen</w:t>
      </w:r>
    </w:p>
    <w:p w14:paraId="28AB1823" w14:textId="77777777" w:rsidR="00B0238C" w:rsidRPr="008F0C35" w:rsidRDefault="00B0238C" w:rsidP="00B0238C">
      <w:pPr>
        <w:pStyle w:val="Listeavsnitt"/>
        <w:numPr>
          <w:ilvl w:val="0"/>
          <w:numId w:val="18"/>
        </w:numPr>
      </w:pPr>
      <w:r w:rsidRPr="008F0C35">
        <w:t>Kompetansebehovsutvalget - Christine Meling</w:t>
      </w:r>
    </w:p>
    <w:p w14:paraId="1B33DC76" w14:textId="6C697889" w:rsidR="00A71BEC" w:rsidRPr="008F0C35" w:rsidRDefault="00157A5B" w:rsidP="00506201">
      <w:pPr>
        <w:pStyle w:val="Listeavsnitt"/>
        <w:numPr>
          <w:ilvl w:val="0"/>
          <w:numId w:val="18"/>
        </w:numPr>
      </w:pPr>
      <w:r w:rsidRPr="008F0C35">
        <w:t>T</w:t>
      </w:r>
      <w:r w:rsidR="00A71BEC" w:rsidRPr="008F0C35">
        <w:t>ekniske beregningsutvalg for inntektsoppgjørene (TBU) -</w:t>
      </w:r>
      <w:r w:rsidR="001166A0" w:rsidRPr="008F0C35">
        <w:t xml:space="preserve"> </w:t>
      </w:r>
      <w:r w:rsidR="3DEF69C9" w:rsidRPr="008F0C35">
        <w:t>Atle Gullestad</w:t>
      </w:r>
    </w:p>
    <w:p w14:paraId="2EC53AF5" w14:textId="25421B54" w:rsidR="008B1A7C" w:rsidRPr="008F0C35" w:rsidRDefault="008B1A7C">
      <w:pPr>
        <w:pStyle w:val="Listeavsnitt"/>
        <w:numPr>
          <w:ilvl w:val="0"/>
          <w:numId w:val="18"/>
        </w:numPr>
      </w:pPr>
      <w:r w:rsidRPr="008F0C35">
        <w:t>Teknisk beregnings</w:t>
      </w:r>
      <w:r w:rsidR="00972DEC" w:rsidRPr="008F0C35">
        <w:t>- og statistikk</w:t>
      </w:r>
      <w:r w:rsidRPr="008F0C35">
        <w:t>utvalg</w:t>
      </w:r>
      <w:r w:rsidR="00972DEC" w:rsidRPr="008F0C35">
        <w:t xml:space="preserve"> for kommunesektoren</w:t>
      </w:r>
      <w:r w:rsidR="00722CC2" w:rsidRPr="008F0C35">
        <w:t xml:space="preserve"> - </w:t>
      </w:r>
      <w:r w:rsidR="47071A2C" w:rsidRPr="008F0C35">
        <w:t xml:space="preserve">Annette Narverud/ Andreas Christensen </w:t>
      </w:r>
    </w:p>
    <w:p w14:paraId="36A35896" w14:textId="5D2BED90" w:rsidR="006159DA" w:rsidRPr="008F0C35" w:rsidRDefault="006159DA" w:rsidP="00506201">
      <w:pPr>
        <w:pStyle w:val="Listeavsnitt"/>
        <w:numPr>
          <w:ilvl w:val="0"/>
          <w:numId w:val="18"/>
        </w:numPr>
      </w:pPr>
      <w:r w:rsidRPr="008F0C35">
        <w:t>Stati</w:t>
      </w:r>
      <w:r w:rsidR="006A155E" w:rsidRPr="008F0C35">
        <w:t>stikk</w:t>
      </w:r>
      <w:r w:rsidR="00D6237B" w:rsidRPr="008F0C35">
        <w:t xml:space="preserve">- og beregningsutvalget i staten – </w:t>
      </w:r>
      <w:r w:rsidR="2B64D375" w:rsidRPr="008F0C35">
        <w:t>Atle Gullestad</w:t>
      </w:r>
      <w:r w:rsidR="1E1CC53C" w:rsidRPr="008F0C35">
        <w:t xml:space="preserve">/ Andreas Christensen </w:t>
      </w:r>
    </w:p>
    <w:p w14:paraId="066765DD" w14:textId="7E4FD2F4" w:rsidR="00385308" w:rsidRPr="008F0C35" w:rsidRDefault="00A71BEC" w:rsidP="00506201">
      <w:pPr>
        <w:pStyle w:val="Listeavsnitt"/>
        <w:numPr>
          <w:ilvl w:val="0"/>
          <w:numId w:val="18"/>
        </w:numPr>
      </w:pPr>
      <w:r w:rsidRPr="008F0C35">
        <w:t>Beregningsutvalg</w:t>
      </w:r>
      <w:r w:rsidR="00AB15E1" w:rsidRPr="008F0C35">
        <w:t xml:space="preserve"> i </w:t>
      </w:r>
      <w:r w:rsidRPr="008F0C35">
        <w:t xml:space="preserve">Oslo kommune </w:t>
      </w:r>
      <w:r w:rsidR="4527D256" w:rsidRPr="008F0C35">
        <w:t>- Annette Narverud, Anette Bjørlin Basma</w:t>
      </w:r>
      <w:r w:rsidR="53D6D04E" w:rsidRPr="008F0C35">
        <w:t xml:space="preserve">, Andreas Christensen </w:t>
      </w:r>
    </w:p>
    <w:p w14:paraId="6E943626" w14:textId="184C62FD" w:rsidR="009C3669" w:rsidRPr="008F0C35" w:rsidRDefault="00ED3866" w:rsidP="00506201">
      <w:pPr>
        <w:pStyle w:val="Listeavsnitt"/>
        <w:numPr>
          <w:ilvl w:val="0"/>
          <w:numId w:val="18"/>
        </w:numPr>
      </w:pPr>
      <w:r w:rsidRPr="008F0C35">
        <w:t xml:space="preserve">Rådgivende </w:t>
      </w:r>
      <w:r w:rsidR="00DF1FA4" w:rsidRPr="008F0C35">
        <w:t>utvalg</w:t>
      </w:r>
      <w:r w:rsidR="00F943E7" w:rsidRPr="008F0C35">
        <w:t xml:space="preserve"> for «Avtale om statlige OU-midler» - </w:t>
      </w:r>
      <w:r w:rsidR="00722CC2" w:rsidRPr="008F0C35">
        <w:t>Anette</w:t>
      </w:r>
      <w:r w:rsidR="4F1C02E1" w:rsidRPr="008F0C35">
        <w:t xml:space="preserve"> B</w:t>
      </w:r>
      <w:r w:rsidR="00FF0BC4" w:rsidRPr="008F0C35">
        <w:t>.</w:t>
      </w:r>
      <w:r w:rsidR="4F1C02E1" w:rsidRPr="008F0C35">
        <w:t xml:space="preserve"> Basma</w:t>
      </w:r>
    </w:p>
    <w:p w14:paraId="5732F8F3" w14:textId="299E29E0" w:rsidR="00F943E7" w:rsidRPr="008F0C35" w:rsidRDefault="00A446E6" w:rsidP="00506201">
      <w:pPr>
        <w:pStyle w:val="Listeavsnitt"/>
        <w:numPr>
          <w:ilvl w:val="0"/>
          <w:numId w:val="18"/>
        </w:numPr>
      </w:pPr>
      <w:r w:rsidRPr="008F0C35">
        <w:t xml:space="preserve">Rådgivende utvalg for «SG1020 – OU-midler» - </w:t>
      </w:r>
      <w:r w:rsidR="00722CC2" w:rsidRPr="008F0C35">
        <w:t>Anette</w:t>
      </w:r>
      <w:r w:rsidRPr="008F0C35">
        <w:t xml:space="preserve"> </w:t>
      </w:r>
      <w:r w:rsidR="6FDBCB79" w:rsidRPr="008F0C35">
        <w:t>B</w:t>
      </w:r>
      <w:r w:rsidR="00FF0BC4" w:rsidRPr="008F0C35">
        <w:t>.</w:t>
      </w:r>
      <w:r w:rsidR="6FDBCB79" w:rsidRPr="008F0C35">
        <w:t xml:space="preserve"> Basma</w:t>
      </w:r>
    </w:p>
    <w:p w14:paraId="2088437B" w14:textId="1B3E520E" w:rsidR="00764A5C" w:rsidRPr="008F0C35" w:rsidRDefault="00764A5C" w:rsidP="00506201">
      <w:pPr>
        <w:pStyle w:val="Listeavsnitt"/>
        <w:numPr>
          <w:ilvl w:val="0"/>
          <w:numId w:val="18"/>
        </w:numPr>
      </w:pPr>
      <w:r w:rsidRPr="008F0C35">
        <w:t xml:space="preserve">Styret for </w:t>
      </w:r>
      <w:r w:rsidR="00004278" w:rsidRPr="008F0C35">
        <w:t>«Avtale om OU-ordningen</w:t>
      </w:r>
      <w:r w:rsidR="00254714" w:rsidRPr="008F0C35">
        <w:t xml:space="preserve"> for helseforetaken</w:t>
      </w:r>
      <w:r w:rsidR="331623F6" w:rsidRPr="008F0C35">
        <w:t>e</w:t>
      </w:r>
      <w:r w:rsidR="00254714" w:rsidRPr="008F0C35">
        <w:t xml:space="preserve"> i Spekter»</w:t>
      </w:r>
      <w:r w:rsidR="00DA6B99" w:rsidRPr="008F0C35">
        <w:t xml:space="preserve"> - </w:t>
      </w:r>
      <w:r w:rsidR="00722CC2" w:rsidRPr="008F0C35">
        <w:t>Anette</w:t>
      </w:r>
      <w:r w:rsidR="0A4738DF" w:rsidRPr="008F0C35">
        <w:t xml:space="preserve"> B</w:t>
      </w:r>
      <w:r w:rsidR="00FF0BC4" w:rsidRPr="008F0C35">
        <w:t>.</w:t>
      </w:r>
      <w:r w:rsidR="0A4738DF" w:rsidRPr="008F0C35">
        <w:t xml:space="preserve"> Basma</w:t>
      </w:r>
    </w:p>
    <w:p w14:paraId="0D61CBB8" w14:textId="4738E3B9" w:rsidR="00DA6B99" w:rsidRPr="008F0C35" w:rsidRDefault="002D1044">
      <w:pPr>
        <w:pStyle w:val="Listeavsnitt"/>
        <w:numPr>
          <w:ilvl w:val="0"/>
          <w:numId w:val="18"/>
        </w:numPr>
      </w:pPr>
      <w:r w:rsidRPr="008F0C35">
        <w:t xml:space="preserve">Styret for </w:t>
      </w:r>
      <w:r w:rsidR="2120FF1E" w:rsidRPr="008F0C35">
        <w:t>Opplærings- og utviklingsfondet</w:t>
      </w:r>
      <w:r w:rsidRPr="008F0C35">
        <w:t xml:space="preserve"> i Oslo Kommune</w:t>
      </w:r>
      <w:r w:rsidR="0010469F" w:rsidRPr="008F0C35">
        <w:t xml:space="preserve"> - </w:t>
      </w:r>
      <w:r w:rsidR="74C83FA3" w:rsidRPr="008F0C35">
        <w:t xml:space="preserve">Øystein Hageberg, </w:t>
      </w:r>
      <w:r w:rsidR="07450FCC" w:rsidRPr="008F0C35">
        <w:t>Norsk</w:t>
      </w:r>
      <w:r w:rsidR="74C83FA3" w:rsidRPr="008F0C35">
        <w:t xml:space="preserve"> Lektorlag</w:t>
      </w:r>
      <w:r w:rsidR="5250E906" w:rsidRPr="008F0C35">
        <w:t>.</w:t>
      </w:r>
    </w:p>
    <w:p w14:paraId="3D6116E2" w14:textId="6C851DD3" w:rsidR="00D76291" w:rsidRPr="008F0C35" w:rsidRDefault="00DA4421">
      <w:pPr>
        <w:pStyle w:val="Listeavsnitt"/>
        <w:numPr>
          <w:ilvl w:val="0"/>
          <w:numId w:val="18"/>
        </w:numPr>
      </w:pPr>
      <w:r w:rsidRPr="008F0C35">
        <w:t xml:space="preserve">Kontaktutvalget for Oslo kommune – </w:t>
      </w:r>
      <w:r w:rsidR="2728755F" w:rsidRPr="008F0C35">
        <w:t xml:space="preserve">Julius Okkenhaug </w:t>
      </w:r>
    </w:p>
    <w:p w14:paraId="2A3CD493" w14:textId="23F5BB5D" w:rsidR="59F04DB4" w:rsidRPr="008F0C35" w:rsidRDefault="59F04DB4" w:rsidP="00506201">
      <w:pPr>
        <w:pStyle w:val="Listeavsnitt"/>
        <w:numPr>
          <w:ilvl w:val="0"/>
          <w:numId w:val="18"/>
        </w:numPr>
      </w:pPr>
      <w:r w:rsidRPr="008F0C35">
        <w:t>Styret for Pensjonskontoret KS-området - Anders Kvam. O</w:t>
      </w:r>
      <w:r w:rsidR="18CC3113" w:rsidRPr="008F0C35">
        <w:t>le Jakob Knutsen vara.</w:t>
      </w:r>
    </w:p>
    <w:p w14:paraId="236E9DEB" w14:textId="6815EB93" w:rsidR="00320972" w:rsidRPr="008F0C35" w:rsidRDefault="00385308" w:rsidP="00506201">
      <w:pPr>
        <w:pStyle w:val="Listeavsnitt"/>
        <w:numPr>
          <w:ilvl w:val="0"/>
          <w:numId w:val="18"/>
        </w:numPr>
      </w:pPr>
      <w:r w:rsidRPr="008F0C35">
        <w:t>S</w:t>
      </w:r>
      <w:r w:rsidR="00320972" w:rsidRPr="008F0C35">
        <w:t xml:space="preserve">enter for seniorpolitikk </w:t>
      </w:r>
      <w:r w:rsidR="00030876" w:rsidRPr="008F0C35">
        <w:t>–</w:t>
      </w:r>
      <w:r w:rsidR="007C52DE" w:rsidRPr="008F0C35">
        <w:t xml:space="preserve"> </w:t>
      </w:r>
      <w:r w:rsidR="00320972" w:rsidRPr="008F0C35">
        <w:t>styremedlem – Håvard Holm</w:t>
      </w:r>
      <w:r w:rsidR="00CA312D" w:rsidRPr="008F0C35">
        <w:t xml:space="preserve"> t.o</w:t>
      </w:r>
      <w:r w:rsidR="00D00B9E" w:rsidRPr="008F0C35">
        <w:t xml:space="preserve">m </w:t>
      </w:r>
      <w:r w:rsidR="00394864" w:rsidRPr="008F0C35">
        <w:t xml:space="preserve">mai </w:t>
      </w:r>
      <w:r w:rsidR="002F06B2" w:rsidRPr="008F0C35">
        <w:t xml:space="preserve">2024, Astrid Svele </w:t>
      </w:r>
      <w:r w:rsidR="003E7F8E" w:rsidRPr="008F0C35">
        <w:t>fra</w:t>
      </w:r>
      <w:r w:rsidR="00FB65C8" w:rsidRPr="008F0C35">
        <w:t xml:space="preserve"> juni </w:t>
      </w:r>
      <w:r w:rsidR="0034398D" w:rsidRPr="008F0C35">
        <w:t>2024</w:t>
      </w:r>
    </w:p>
    <w:p w14:paraId="230C9CE4" w14:textId="67CFC8C5" w:rsidR="00320972" w:rsidRPr="008F0C35" w:rsidRDefault="00320972" w:rsidP="00506201">
      <w:pPr>
        <w:pStyle w:val="Listeavsnitt"/>
        <w:numPr>
          <w:ilvl w:val="0"/>
          <w:numId w:val="18"/>
        </w:numPr>
        <w:spacing w:after="0"/>
      </w:pPr>
      <w:r w:rsidRPr="008F0C35">
        <w:t>Den norske ILO-komite</w:t>
      </w:r>
      <w:r w:rsidR="00675152" w:rsidRPr="008F0C35">
        <w:t>en</w:t>
      </w:r>
      <w:r w:rsidR="00204BEE" w:rsidRPr="008F0C35">
        <w:t xml:space="preserve"> </w:t>
      </w:r>
      <w:r w:rsidR="00E862C8" w:rsidRPr="008F0C35">
        <w:t xml:space="preserve">- </w:t>
      </w:r>
      <w:r w:rsidR="00095839" w:rsidRPr="008F0C35">
        <w:t xml:space="preserve">Astrid </w:t>
      </w:r>
      <w:r w:rsidR="79939B45" w:rsidRPr="008F0C35">
        <w:t xml:space="preserve">M. </w:t>
      </w:r>
      <w:r w:rsidR="00095839" w:rsidRPr="008F0C35">
        <w:t>Svele</w:t>
      </w:r>
    </w:p>
    <w:p w14:paraId="73E83F94" w14:textId="5EA6F2C8" w:rsidR="00B23945" w:rsidRPr="00AD53B9" w:rsidRDefault="6EB6C68F" w:rsidP="00506201">
      <w:pPr>
        <w:pStyle w:val="Listeavsnitt"/>
        <w:numPr>
          <w:ilvl w:val="0"/>
          <w:numId w:val="18"/>
        </w:numPr>
      </w:pPr>
      <w:r w:rsidRPr="00AD53B9">
        <w:t xml:space="preserve">Arbeidstilsynets regelverksforum – Astrid M. Svele </w:t>
      </w:r>
      <w:r w:rsidR="12921E98" w:rsidRPr="00AD53B9">
        <w:t>Tvisteløsningsnemnda</w:t>
      </w:r>
      <w:r w:rsidR="413A6BF1" w:rsidRPr="00AD53B9">
        <w:t xml:space="preserve"> til arbeidsm</w:t>
      </w:r>
      <w:r w:rsidR="3ECFA7AE" w:rsidRPr="00AD53B9">
        <w:t>il</w:t>
      </w:r>
      <w:r w:rsidR="413A6BF1" w:rsidRPr="00AD53B9">
        <w:t>jøloven</w:t>
      </w:r>
      <w:r w:rsidR="70956CA8" w:rsidRPr="00AD53B9">
        <w:t>, vara</w:t>
      </w:r>
      <w:r w:rsidR="413A6BF1" w:rsidRPr="00AD53B9">
        <w:t xml:space="preserve"> - Ragnhild Bø Raugland</w:t>
      </w:r>
      <w:r w:rsidR="16D3F5A8" w:rsidRPr="00AD53B9">
        <w:t xml:space="preserve"> </w:t>
      </w:r>
      <w:r w:rsidR="413A6BF1" w:rsidRPr="00AD53B9">
        <w:t>(</w:t>
      </w:r>
      <w:r w:rsidR="204D40FE" w:rsidRPr="00AD53B9">
        <w:t>Juristforbundet)</w:t>
      </w:r>
    </w:p>
    <w:p w14:paraId="56A56746" w14:textId="064746F5" w:rsidR="006B444C" w:rsidRPr="00AD53B9" w:rsidRDefault="006B444C" w:rsidP="00506201">
      <w:pPr>
        <w:pStyle w:val="Listeavsnitt"/>
        <w:numPr>
          <w:ilvl w:val="0"/>
          <w:numId w:val="18"/>
        </w:numPr>
      </w:pPr>
      <w:r w:rsidRPr="00AD53B9">
        <w:t>Samarbeidsorgan for bransjeprogrammene</w:t>
      </w:r>
      <w:r w:rsidR="0040264B" w:rsidRPr="00AD53B9">
        <w:t xml:space="preserve"> </w:t>
      </w:r>
      <w:r w:rsidR="007C39DA" w:rsidRPr="00AD53B9">
        <w:t>(HK-</w:t>
      </w:r>
      <w:proofErr w:type="spellStart"/>
      <w:r w:rsidR="007C39DA" w:rsidRPr="00AD53B9">
        <w:t>dir</w:t>
      </w:r>
      <w:proofErr w:type="spellEnd"/>
      <w:r w:rsidR="007C39DA" w:rsidRPr="00AD53B9">
        <w:t>) -</w:t>
      </w:r>
      <w:r w:rsidR="0040264B" w:rsidRPr="00AD53B9">
        <w:t xml:space="preserve"> Joakim Østbye</w:t>
      </w:r>
    </w:p>
    <w:p w14:paraId="11A84AC7" w14:textId="21977992" w:rsidR="73157D67" w:rsidRPr="00AD53B9" w:rsidRDefault="00B36A72" w:rsidP="00506201">
      <w:pPr>
        <w:pStyle w:val="Listeavsnitt"/>
        <w:numPr>
          <w:ilvl w:val="0"/>
          <w:numId w:val="18"/>
        </w:numPr>
      </w:pPr>
      <w:r w:rsidRPr="00AD53B9">
        <w:t xml:space="preserve">Koordineringsgruppen for flere læreplasser- </w:t>
      </w:r>
      <w:r w:rsidR="008B57A9" w:rsidRPr="00AD53B9">
        <w:t xml:space="preserve">Ingeborg </w:t>
      </w:r>
      <w:proofErr w:type="spellStart"/>
      <w:r w:rsidR="00EF3AF4" w:rsidRPr="00AD53B9">
        <w:t>Guleng</w:t>
      </w:r>
      <w:proofErr w:type="spellEnd"/>
      <w:r w:rsidR="00EF3AF4" w:rsidRPr="00AD53B9">
        <w:t xml:space="preserve"> </w:t>
      </w:r>
      <w:r w:rsidR="008B57A9" w:rsidRPr="00AD53B9">
        <w:t>Laugerud</w:t>
      </w:r>
    </w:p>
    <w:p w14:paraId="55817AF8" w14:textId="4D7436C3" w:rsidR="009359E1" w:rsidRPr="008F0C35" w:rsidRDefault="009359E1" w:rsidP="00506201">
      <w:pPr>
        <w:pStyle w:val="Listeavsnitt"/>
        <w:numPr>
          <w:ilvl w:val="0"/>
          <w:numId w:val="18"/>
        </w:numPr>
      </w:pPr>
      <w:r w:rsidRPr="008F0C35">
        <w:t>Nasjonal koordineringsgruppe Inkluderende arbeidsliv – Nina Sverdrup Svendsen</w:t>
      </w:r>
    </w:p>
    <w:p w14:paraId="485D5FC5" w14:textId="700DD850" w:rsidR="00EC7ED8" w:rsidRPr="00AD53B9" w:rsidRDefault="00C22110" w:rsidP="00506201">
      <w:pPr>
        <w:pStyle w:val="Listeavsnitt"/>
        <w:numPr>
          <w:ilvl w:val="0"/>
          <w:numId w:val="18"/>
        </w:numPr>
      </w:pPr>
      <w:r w:rsidRPr="00AD53B9">
        <w:t>Bransjepr</w:t>
      </w:r>
      <w:r w:rsidR="009F1DFA" w:rsidRPr="00AD53B9">
        <w:t>o</w:t>
      </w:r>
      <w:r w:rsidRPr="00AD53B9">
        <w:t>gram IA</w:t>
      </w:r>
      <w:r w:rsidR="00960D46" w:rsidRPr="00AD53B9">
        <w:t xml:space="preserve"> </w:t>
      </w:r>
      <w:r w:rsidR="009614C9" w:rsidRPr="00AD53B9">
        <w:t xml:space="preserve">Sykehus </w:t>
      </w:r>
      <w:r w:rsidR="00B23945" w:rsidRPr="00AD53B9">
        <w:t>-</w:t>
      </w:r>
      <w:r w:rsidR="009614C9" w:rsidRPr="00AD53B9">
        <w:t xml:space="preserve"> </w:t>
      </w:r>
      <w:r w:rsidR="0088059C" w:rsidRPr="00AD53B9">
        <w:t xml:space="preserve">Kristin Krogvold og </w:t>
      </w:r>
      <w:r w:rsidR="001D4DB0" w:rsidRPr="00AD53B9">
        <w:t>Ellen E</w:t>
      </w:r>
      <w:r w:rsidR="003F6634" w:rsidRPr="00AD53B9">
        <w:t>.</w:t>
      </w:r>
      <w:r w:rsidR="001D4DB0" w:rsidRPr="00AD53B9">
        <w:t xml:space="preserve"> Eng</w:t>
      </w:r>
      <w:r w:rsidR="00B53A52" w:rsidRPr="00AD53B9">
        <w:t>h</w:t>
      </w:r>
      <w:r w:rsidR="003F6634" w:rsidRPr="00AD53B9">
        <w:t>,</w:t>
      </w:r>
      <w:r w:rsidR="001D4DB0" w:rsidRPr="00AD53B9">
        <w:t xml:space="preserve"> Akademikerne H</w:t>
      </w:r>
    </w:p>
    <w:p w14:paraId="4C6FCF69" w14:textId="1ACDCEF0" w:rsidR="492FBA5F" w:rsidRPr="00AD53B9" w:rsidRDefault="492FBA5F" w:rsidP="00506201">
      <w:pPr>
        <w:pStyle w:val="Listeavsnitt"/>
        <w:numPr>
          <w:ilvl w:val="0"/>
          <w:numId w:val="18"/>
        </w:numPr>
      </w:pPr>
      <w:r w:rsidRPr="00AD53B9">
        <w:lastRenderedPageBreak/>
        <w:t>Bransjeprogram IA Leverandørindustrien til olje og gass – Anne Ø</w:t>
      </w:r>
      <w:r w:rsidR="00241364" w:rsidRPr="00AD53B9">
        <w:t>y</w:t>
      </w:r>
      <w:r w:rsidRPr="00AD53B9">
        <w:t>en (Tekna)</w:t>
      </w:r>
      <w:r w:rsidR="006A624B" w:rsidRPr="00AD53B9">
        <w:t xml:space="preserve"> t.o.m. </w:t>
      </w:r>
      <w:r w:rsidR="00D15155" w:rsidRPr="00AD53B9">
        <w:t>9.</w:t>
      </w:r>
      <w:r w:rsidR="00D70092" w:rsidRPr="00AD53B9">
        <w:t xml:space="preserve"> </w:t>
      </w:r>
      <w:r w:rsidR="00D15155" w:rsidRPr="00AD53B9">
        <w:t>2021</w:t>
      </w:r>
      <w:r w:rsidR="00AA3F68" w:rsidRPr="00AD53B9">
        <w:t xml:space="preserve">, Peggy Aasheim (Tekna) f.o.m. </w:t>
      </w:r>
      <w:r w:rsidR="005967EF" w:rsidRPr="00AD53B9">
        <w:t>10. 2021.</w:t>
      </w:r>
    </w:p>
    <w:p w14:paraId="7E65A9A2" w14:textId="3DA0AA4D" w:rsidR="00DA3704" w:rsidRPr="008F0C35" w:rsidRDefault="00DA3704" w:rsidP="00506201">
      <w:pPr>
        <w:pStyle w:val="Listeavsnitt"/>
        <w:numPr>
          <w:ilvl w:val="0"/>
          <w:numId w:val="18"/>
        </w:numPr>
      </w:pPr>
      <w:r w:rsidRPr="008F0C35">
        <w:t xml:space="preserve">Arbeidstilsynets råd – Nina Sverdrup </w:t>
      </w:r>
      <w:r w:rsidR="00C12C2B" w:rsidRPr="008F0C35">
        <w:t>S</w:t>
      </w:r>
      <w:r w:rsidRPr="008F0C35">
        <w:t>vendsen</w:t>
      </w:r>
    </w:p>
    <w:p w14:paraId="72C3F474" w14:textId="0D14C373" w:rsidR="00DA3704" w:rsidRPr="008F0C35" w:rsidRDefault="00C12C2B" w:rsidP="00506201">
      <w:pPr>
        <w:pStyle w:val="Listeavsnitt"/>
        <w:numPr>
          <w:ilvl w:val="0"/>
          <w:numId w:val="18"/>
        </w:numPr>
      </w:pPr>
      <w:proofErr w:type="spellStart"/>
      <w:r w:rsidRPr="008F0C35">
        <w:t>STAMIs</w:t>
      </w:r>
      <w:proofErr w:type="spellEnd"/>
      <w:r w:rsidRPr="008F0C35">
        <w:t xml:space="preserve"> fagråd – Nina Sverdrup Svendsen</w:t>
      </w:r>
    </w:p>
    <w:p w14:paraId="1640B88B" w14:textId="7B65D8D6" w:rsidR="00362101" w:rsidRPr="00AD53B9" w:rsidRDefault="00362101" w:rsidP="00506201">
      <w:pPr>
        <w:pStyle w:val="Listeavsnitt"/>
        <w:numPr>
          <w:ilvl w:val="0"/>
          <w:numId w:val="18"/>
        </w:numPr>
      </w:pPr>
      <w:r w:rsidRPr="00AD53B9">
        <w:t>Arbeidsgruppe likestilling i arbeidslivet</w:t>
      </w:r>
      <w:r w:rsidR="004A6069" w:rsidRPr="00AD53B9">
        <w:t xml:space="preserve"> – Nina Sverdrup Svendsen</w:t>
      </w:r>
    </w:p>
    <w:p w14:paraId="25506CAD" w14:textId="4D216859" w:rsidR="00E04176" w:rsidRPr="008F0C35" w:rsidRDefault="00E04176" w:rsidP="00506201">
      <w:pPr>
        <w:pStyle w:val="Listeavsnitt"/>
        <w:numPr>
          <w:ilvl w:val="0"/>
          <w:numId w:val="18"/>
        </w:numPr>
      </w:pPr>
      <w:r w:rsidRPr="008F0C35">
        <w:t>Forum for inklude</w:t>
      </w:r>
      <w:r w:rsidR="00DE63CC" w:rsidRPr="008F0C35">
        <w:t>ring – Nina Sverdrup Svendsen</w:t>
      </w:r>
    </w:p>
    <w:p w14:paraId="60480574" w14:textId="187AE045" w:rsidR="1E54056D" w:rsidRPr="008F0C35" w:rsidRDefault="1E54056D" w:rsidP="00506201">
      <w:pPr>
        <w:pStyle w:val="Listeavsnitt"/>
        <w:numPr>
          <w:ilvl w:val="0"/>
          <w:numId w:val="18"/>
        </w:numPr>
      </w:pPr>
      <w:r w:rsidRPr="008F0C35">
        <w:rPr>
          <w:rFonts w:eastAsiaTheme="minorEastAsia"/>
        </w:rPr>
        <w:t xml:space="preserve">Partssammensatt IA-arbeidsgruppe i staten – Marianne Kringlebotn </w:t>
      </w:r>
      <w:r w:rsidR="00757321" w:rsidRPr="008F0C35">
        <w:rPr>
          <w:rFonts w:eastAsiaTheme="minorEastAsia"/>
        </w:rPr>
        <w:t>(</w:t>
      </w:r>
      <w:r w:rsidR="004A53F2" w:rsidRPr="008F0C35">
        <w:rPr>
          <w:rFonts w:eastAsiaTheme="minorEastAsia"/>
        </w:rPr>
        <w:t>Akademikerne Stat)</w:t>
      </w:r>
    </w:p>
    <w:p w14:paraId="7C66174E" w14:textId="59AA49FF" w:rsidR="1E54056D" w:rsidRPr="008F0C35" w:rsidRDefault="1E54056D" w:rsidP="00506201">
      <w:pPr>
        <w:pStyle w:val="Listeavsnitt"/>
        <w:numPr>
          <w:ilvl w:val="0"/>
          <w:numId w:val="18"/>
        </w:numPr>
      </w:pPr>
      <w:r w:rsidRPr="008F0C35">
        <w:rPr>
          <w:rFonts w:eastAsiaTheme="minorEastAsia"/>
        </w:rPr>
        <w:t xml:space="preserve">“Best sammen” - IA-arbeidet i KS-sektoren – Frode </w:t>
      </w:r>
      <w:proofErr w:type="spellStart"/>
      <w:r w:rsidRPr="008F0C35">
        <w:rPr>
          <w:rFonts w:eastAsiaTheme="minorEastAsia"/>
        </w:rPr>
        <w:t>Svartvatn</w:t>
      </w:r>
      <w:proofErr w:type="spellEnd"/>
      <w:r w:rsidRPr="008F0C35">
        <w:rPr>
          <w:rFonts w:eastAsiaTheme="minorEastAsia"/>
        </w:rPr>
        <w:t xml:space="preserve"> </w:t>
      </w:r>
      <w:r w:rsidR="00537412" w:rsidRPr="008F0C35">
        <w:rPr>
          <w:rFonts w:eastAsiaTheme="minorEastAsia"/>
        </w:rPr>
        <w:t>(Akademikerne K)</w:t>
      </w:r>
    </w:p>
    <w:p w14:paraId="421A1617" w14:textId="13E63812" w:rsidR="00D24700" w:rsidRPr="008F0C35" w:rsidRDefault="00EB1AB4" w:rsidP="00506201">
      <w:pPr>
        <w:pStyle w:val="Listeavsnitt"/>
        <w:numPr>
          <w:ilvl w:val="0"/>
          <w:numId w:val="18"/>
        </w:numPr>
      </w:pPr>
      <w:r w:rsidRPr="008F0C35">
        <w:rPr>
          <w:rFonts w:eastAsiaTheme="minorEastAsia"/>
        </w:rPr>
        <w:t>Utredningsråd</w:t>
      </w:r>
      <w:r w:rsidR="00B548CA" w:rsidRPr="008F0C35">
        <w:rPr>
          <w:rFonts w:eastAsiaTheme="minorEastAsia"/>
        </w:rPr>
        <w:t xml:space="preserve"> </w:t>
      </w:r>
      <w:r w:rsidR="0099274E" w:rsidRPr="008F0C35">
        <w:rPr>
          <w:rFonts w:eastAsiaTheme="minorEastAsia"/>
        </w:rPr>
        <w:t>–</w:t>
      </w:r>
      <w:r w:rsidR="00B548CA" w:rsidRPr="008F0C35">
        <w:rPr>
          <w:rFonts w:eastAsiaTheme="minorEastAsia"/>
        </w:rPr>
        <w:t xml:space="preserve"> fripoliser</w:t>
      </w:r>
      <w:r w:rsidR="0099274E" w:rsidRPr="008F0C35">
        <w:rPr>
          <w:rFonts w:eastAsiaTheme="minorEastAsia"/>
        </w:rPr>
        <w:t xml:space="preserve">, </w:t>
      </w:r>
      <w:r w:rsidR="00A445EE" w:rsidRPr="008F0C35">
        <w:rPr>
          <w:rFonts w:eastAsiaTheme="minorEastAsia"/>
        </w:rPr>
        <w:t xml:space="preserve">Tom Erik </w:t>
      </w:r>
      <w:r w:rsidR="0060544E" w:rsidRPr="008F0C35">
        <w:rPr>
          <w:rFonts w:eastAsiaTheme="minorEastAsia"/>
        </w:rPr>
        <w:t>A</w:t>
      </w:r>
      <w:r w:rsidR="007D1A2D" w:rsidRPr="008F0C35">
        <w:rPr>
          <w:rFonts w:eastAsiaTheme="minorEastAsia"/>
        </w:rPr>
        <w:t xml:space="preserve">abø </w:t>
      </w:r>
      <w:r w:rsidR="00757321" w:rsidRPr="008F0C35">
        <w:rPr>
          <w:rFonts w:eastAsiaTheme="minorEastAsia"/>
        </w:rPr>
        <w:t>(Tekna)</w:t>
      </w:r>
    </w:p>
    <w:p w14:paraId="36B0DBF0" w14:textId="2754395D" w:rsidR="00F34AC1" w:rsidRPr="00C243DD" w:rsidRDefault="00F34AC1" w:rsidP="00FC5B7C">
      <w:pPr>
        <w:pStyle w:val="Overskrift3"/>
      </w:pPr>
      <w:bookmarkStart w:id="53" w:name="_Toc114065562"/>
      <w:bookmarkStart w:id="54" w:name="_Toc176264525"/>
      <w:r w:rsidRPr="00C243DD">
        <w:t>Oppnevninger/annet</w:t>
      </w:r>
      <w:bookmarkEnd w:id="53"/>
      <w:bookmarkEnd w:id="54"/>
    </w:p>
    <w:p w14:paraId="39F2528A" w14:textId="1BAC827F" w:rsidR="00F34AC1" w:rsidRDefault="00F34AC1" w:rsidP="31CFD013">
      <w:r>
        <w:t xml:space="preserve">Akademikerne har med bidrag fra </w:t>
      </w:r>
      <w:r w:rsidR="00634FC9">
        <w:t xml:space="preserve">medlemsorganisasjonene </w:t>
      </w:r>
      <w:r w:rsidR="001B5B19">
        <w:t>spilt inn</w:t>
      </w:r>
      <w:r w:rsidR="009443A1">
        <w:t xml:space="preserve"> til Domstoladmini</w:t>
      </w:r>
      <w:r w:rsidR="00AA003F">
        <w:t>s</w:t>
      </w:r>
      <w:r w:rsidR="009443A1">
        <w:t>trasjonen</w:t>
      </w:r>
      <w:r w:rsidR="001B5B19">
        <w:t xml:space="preserve"> forslag </w:t>
      </w:r>
      <w:r w:rsidR="009E69C1">
        <w:t>til</w:t>
      </w:r>
      <w:r w:rsidR="00C02759">
        <w:t xml:space="preserve"> </w:t>
      </w:r>
      <w:r>
        <w:t xml:space="preserve">arbeidslivskyndige meddommere </w:t>
      </w:r>
      <w:r w:rsidR="00446571">
        <w:t xml:space="preserve">for </w:t>
      </w:r>
      <w:r>
        <w:t>ordinære domstoler for perioden 202</w:t>
      </w:r>
      <w:r w:rsidR="00446571">
        <w:t>5</w:t>
      </w:r>
      <w:r>
        <w:t>-202</w:t>
      </w:r>
      <w:r w:rsidR="00446571">
        <w:t>8</w:t>
      </w:r>
      <w:r>
        <w:t>.</w:t>
      </w:r>
      <w:r w:rsidR="007A30FD">
        <w:t xml:space="preserve"> Det er foreslått </w:t>
      </w:r>
      <w:r w:rsidR="005F2A01">
        <w:t>kandidater til alle landets fylker</w:t>
      </w:r>
      <w:r w:rsidR="00BA710B">
        <w:t xml:space="preserve">. </w:t>
      </w:r>
      <w:r w:rsidR="00AA6BA8">
        <w:t>Selve oppnevningene</w:t>
      </w:r>
      <w:r w:rsidR="004F4908">
        <w:t xml:space="preserve"> </w:t>
      </w:r>
      <w:r w:rsidR="005370F9">
        <w:t>utføres</w:t>
      </w:r>
      <w:r w:rsidR="004F4908">
        <w:t xml:space="preserve"> av Domstoladministrasjonen</w:t>
      </w:r>
      <w:r w:rsidR="00AA6BA8">
        <w:t xml:space="preserve"> høsten 2024</w:t>
      </w:r>
      <w:r w:rsidR="004F4908">
        <w:t>.</w:t>
      </w:r>
    </w:p>
    <w:p w14:paraId="700BCED0" w14:textId="0B03C04B" w:rsidR="009C3D05" w:rsidRDefault="004B2D4E" w:rsidP="31CFD013">
      <w:pPr>
        <w:rPr>
          <w:rFonts w:eastAsiaTheme="minorEastAsia"/>
        </w:rPr>
      </w:pPr>
      <w:r>
        <w:rPr>
          <w:rFonts w:eastAsiaTheme="minorEastAsia"/>
        </w:rPr>
        <w:t xml:space="preserve">Akademikerne </w:t>
      </w:r>
      <w:r w:rsidR="009443A1">
        <w:rPr>
          <w:rFonts w:eastAsiaTheme="minorEastAsia"/>
        </w:rPr>
        <w:t xml:space="preserve">har </w:t>
      </w:r>
      <w:r w:rsidR="000927AD">
        <w:rPr>
          <w:rFonts w:eastAsiaTheme="minorEastAsia"/>
        </w:rPr>
        <w:t xml:space="preserve">med bidrag fra medlemsorganisasjonene </w:t>
      </w:r>
      <w:r w:rsidR="00B55257">
        <w:rPr>
          <w:rFonts w:eastAsiaTheme="minorEastAsia"/>
        </w:rPr>
        <w:t xml:space="preserve">også spilt inn </w:t>
      </w:r>
      <w:r w:rsidR="009C3D05">
        <w:rPr>
          <w:rFonts w:eastAsiaTheme="minorEastAsia"/>
        </w:rPr>
        <w:t xml:space="preserve">til Arbeids- og inkluderingsdepartementet </w:t>
      </w:r>
      <w:r w:rsidR="00B55257">
        <w:rPr>
          <w:rFonts w:eastAsiaTheme="minorEastAsia"/>
        </w:rPr>
        <w:t>navneforslag til meddommere i Sentral arbeidsrett</w:t>
      </w:r>
      <w:r w:rsidR="00E826A8">
        <w:rPr>
          <w:rFonts w:eastAsiaTheme="minorEastAsia"/>
        </w:rPr>
        <w:t xml:space="preserve"> for perioden 2023-2026. </w:t>
      </w:r>
      <w:r w:rsidR="004143BF">
        <w:rPr>
          <w:rFonts w:eastAsiaTheme="minorEastAsia"/>
        </w:rPr>
        <w:t xml:space="preserve">Disse meddommerne </w:t>
      </w:r>
      <w:r w:rsidR="009C3D05">
        <w:rPr>
          <w:rFonts w:eastAsiaTheme="minorEastAsia"/>
        </w:rPr>
        <w:t>ble oppnevnt av Kongen i statsråd juni 2023</w:t>
      </w:r>
      <w:r w:rsidR="003F71EE">
        <w:rPr>
          <w:rFonts w:eastAsiaTheme="minorEastAsia"/>
        </w:rPr>
        <w:t>.</w:t>
      </w:r>
    </w:p>
    <w:p w14:paraId="4E8E05DB" w14:textId="38DD2739" w:rsidR="009C3D05" w:rsidRPr="0017635A" w:rsidRDefault="009C3D05" w:rsidP="31CFD013">
      <w:pPr>
        <w:rPr>
          <w:rFonts w:eastAsiaTheme="minorEastAsia"/>
        </w:rPr>
      </w:pPr>
      <w:r>
        <w:t>Akademikerne forutsetter at alle oppnevnte meddommere opptrer uavhengig</w:t>
      </w:r>
      <w:r w:rsidR="00C268FD">
        <w:t xml:space="preserve"> i sine roller</w:t>
      </w:r>
      <w:r>
        <w:t>. Dette er grunnleggende for en rettsstat.</w:t>
      </w:r>
    </w:p>
    <w:p w14:paraId="2AEB85C6" w14:textId="75C8E2C7" w:rsidR="001E54D6" w:rsidRDefault="001E54D6">
      <w:pPr>
        <w:tabs>
          <w:tab w:val="clear" w:pos="2155"/>
        </w:tabs>
        <w:spacing w:after="160" w:line="259" w:lineRule="auto"/>
        <w:rPr>
          <w:rFonts w:asciiTheme="majorHAnsi" w:eastAsiaTheme="majorEastAsia" w:hAnsiTheme="majorHAnsi" w:cstheme="majorBidi"/>
          <w:b/>
          <w:color w:val="262682" w:themeColor="accent1"/>
          <w:sz w:val="26"/>
          <w:szCs w:val="26"/>
        </w:rPr>
      </w:pPr>
      <w:r>
        <w:br w:type="page"/>
      </w:r>
    </w:p>
    <w:p w14:paraId="2BD45CE1" w14:textId="6B893B66" w:rsidR="00151A8E" w:rsidRDefault="00151A8E" w:rsidP="00151A8E">
      <w:pPr>
        <w:pStyle w:val="paragraph"/>
        <w:spacing w:before="240" w:beforeAutospacing="0" w:after="0" w:afterAutospacing="0"/>
        <w:textAlignment w:val="baseline"/>
        <w:rPr>
          <w:rFonts w:ascii="Segoe UI" w:hAnsi="Segoe UI" w:cs="Segoe UI"/>
          <w:b/>
          <w:bCs/>
          <w:color w:val="262682"/>
          <w:sz w:val="18"/>
          <w:szCs w:val="18"/>
        </w:rPr>
      </w:pPr>
      <w:r>
        <w:rPr>
          <w:rStyle w:val="normaltextrun"/>
          <w:b/>
          <w:bCs/>
          <w:color w:val="262682"/>
          <w:sz w:val="26"/>
          <w:szCs w:val="26"/>
        </w:rPr>
        <w:lastRenderedPageBreak/>
        <w:t>Vedlegg 5: Sentrale høringssvar og innspill </w:t>
      </w:r>
      <w:r>
        <w:rPr>
          <w:rStyle w:val="eop"/>
          <w:b/>
          <w:bCs/>
          <w:color w:val="262682"/>
          <w:sz w:val="26"/>
          <w:szCs w:val="26"/>
        </w:rPr>
        <w:t> </w:t>
      </w:r>
    </w:p>
    <w:p w14:paraId="0CFBE800" w14:textId="77777777" w:rsidR="00151A8E" w:rsidRPr="00726FAC" w:rsidRDefault="00151A8E" w:rsidP="00814408">
      <w:pPr>
        <w:pStyle w:val="paragraph"/>
        <w:spacing w:before="240" w:beforeAutospacing="0" w:after="0" w:afterAutospacing="0"/>
        <w:textAlignment w:val="baseline"/>
        <w:rPr>
          <w:sz w:val="22"/>
          <w:szCs w:val="22"/>
        </w:rPr>
      </w:pPr>
      <w:r w:rsidRPr="00726FAC">
        <w:rPr>
          <w:sz w:val="22"/>
          <w:szCs w:val="22"/>
        </w:rPr>
        <w:t xml:space="preserve">NOU 2022: 7 </w:t>
      </w:r>
      <w:r w:rsidRPr="00726FAC">
        <w:rPr>
          <w:i/>
          <w:iCs/>
          <w:sz w:val="22"/>
          <w:szCs w:val="22"/>
        </w:rPr>
        <w:t>Et forbedret pensjonssystem</w:t>
      </w:r>
      <w:r w:rsidRPr="00726FAC">
        <w:rPr>
          <w:sz w:val="22"/>
          <w:szCs w:val="22"/>
        </w:rPr>
        <w:t>, Arbeids- og inkluderingsdepartementet</w:t>
      </w:r>
    </w:p>
    <w:p w14:paraId="37000DAF" w14:textId="77777777" w:rsidR="00151A8E" w:rsidRPr="00726FAC" w:rsidRDefault="00151A8E" w:rsidP="00814408">
      <w:pPr>
        <w:pStyle w:val="paragraph"/>
        <w:spacing w:before="240" w:beforeAutospacing="0" w:after="0" w:afterAutospacing="0"/>
        <w:textAlignment w:val="baseline"/>
        <w:rPr>
          <w:sz w:val="22"/>
          <w:szCs w:val="22"/>
        </w:rPr>
      </w:pPr>
      <w:r w:rsidRPr="00726FAC">
        <w:rPr>
          <w:sz w:val="22"/>
          <w:szCs w:val="22"/>
        </w:rPr>
        <w:t xml:space="preserve">NOU 2022:9 </w:t>
      </w:r>
      <w:r w:rsidRPr="00726FAC">
        <w:rPr>
          <w:i/>
          <w:iCs/>
          <w:sz w:val="22"/>
          <w:szCs w:val="22"/>
        </w:rPr>
        <w:t>En åpen og opplyst offentlig samtale</w:t>
      </w:r>
      <w:r w:rsidRPr="00726FAC">
        <w:rPr>
          <w:sz w:val="22"/>
          <w:szCs w:val="22"/>
        </w:rPr>
        <w:t xml:space="preserve">, Kultur- og likestillingsdepartementet </w:t>
      </w:r>
    </w:p>
    <w:p w14:paraId="1819C992" w14:textId="77777777" w:rsidR="00151A8E" w:rsidRPr="00726FAC" w:rsidRDefault="00151A8E" w:rsidP="00814408">
      <w:pPr>
        <w:pStyle w:val="paragraph"/>
        <w:spacing w:before="240" w:beforeAutospacing="0" w:after="0" w:afterAutospacing="0"/>
        <w:textAlignment w:val="baseline"/>
        <w:rPr>
          <w:sz w:val="22"/>
          <w:szCs w:val="22"/>
        </w:rPr>
      </w:pPr>
      <w:r w:rsidRPr="00726FAC">
        <w:rPr>
          <w:sz w:val="22"/>
          <w:szCs w:val="22"/>
        </w:rPr>
        <w:t xml:space="preserve">NOU 2022: 11 </w:t>
      </w:r>
      <w:r w:rsidRPr="00726FAC">
        <w:rPr>
          <w:i/>
          <w:iCs/>
          <w:sz w:val="22"/>
          <w:szCs w:val="22"/>
        </w:rPr>
        <w:t>Ditt personvern- vårt felles ansvar</w:t>
      </w:r>
      <w:r w:rsidRPr="00726FAC">
        <w:rPr>
          <w:sz w:val="22"/>
          <w:szCs w:val="22"/>
        </w:rPr>
        <w:t xml:space="preserve">. Personvernkommisjonens rapport, Kommunal- og </w:t>
      </w:r>
      <w:proofErr w:type="spellStart"/>
      <w:r w:rsidRPr="00726FAC">
        <w:rPr>
          <w:sz w:val="22"/>
          <w:szCs w:val="22"/>
        </w:rPr>
        <w:t>distriktsdepartementet</w:t>
      </w:r>
      <w:proofErr w:type="spellEnd"/>
    </w:p>
    <w:p w14:paraId="30569518" w14:textId="77777777" w:rsidR="00151A8E" w:rsidRPr="00726FAC" w:rsidRDefault="00151A8E" w:rsidP="00814408">
      <w:pPr>
        <w:pStyle w:val="paragraph"/>
        <w:spacing w:before="240" w:beforeAutospacing="0" w:after="0" w:afterAutospacing="0"/>
        <w:textAlignment w:val="baseline"/>
        <w:rPr>
          <w:sz w:val="22"/>
          <w:szCs w:val="22"/>
        </w:rPr>
      </w:pPr>
      <w:r w:rsidRPr="00726FAC">
        <w:rPr>
          <w:sz w:val="22"/>
          <w:szCs w:val="22"/>
        </w:rPr>
        <w:t xml:space="preserve">NOU 2022: 13 </w:t>
      </w:r>
      <w:r w:rsidRPr="006A38C2">
        <w:rPr>
          <w:i/>
          <w:iCs/>
          <w:sz w:val="22"/>
          <w:szCs w:val="22"/>
        </w:rPr>
        <w:t>Med videre betydning — Et helhetlig system for kompetanse- og karriereutvikling i barnehage og skole</w:t>
      </w:r>
      <w:r w:rsidRPr="00726FAC">
        <w:rPr>
          <w:sz w:val="22"/>
          <w:szCs w:val="22"/>
        </w:rPr>
        <w:t>, Utdanningsdirektoratet</w:t>
      </w:r>
    </w:p>
    <w:p w14:paraId="04A29642" w14:textId="77777777" w:rsidR="00151A8E" w:rsidRPr="00726FAC" w:rsidRDefault="00151A8E" w:rsidP="00814408">
      <w:pPr>
        <w:pStyle w:val="paragraph"/>
        <w:spacing w:before="240" w:beforeAutospacing="0" w:after="0" w:afterAutospacing="0"/>
        <w:textAlignment w:val="baseline"/>
        <w:rPr>
          <w:sz w:val="22"/>
          <w:szCs w:val="22"/>
        </w:rPr>
      </w:pPr>
      <w:r w:rsidRPr="00726FAC">
        <w:rPr>
          <w:sz w:val="22"/>
          <w:szCs w:val="22"/>
        </w:rPr>
        <w:t xml:space="preserve">NOU 2022: 17 </w:t>
      </w:r>
      <w:r w:rsidRPr="006A38C2">
        <w:rPr>
          <w:i/>
          <w:iCs/>
          <w:sz w:val="22"/>
          <w:szCs w:val="22"/>
        </w:rPr>
        <w:t>Veier inn - ny modell for opptak til universiteter og høyskoler</w:t>
      </w:r>
      <w:r w:rsidRPr="00726FAC">
        <w:rPr>
          <w:sz w:val="22"/>
          <w:szCs w:val="22"/>
        </w:rPr>
        <w:t>, Kunnskapsdepartementet</w:t>
      </w:r>
    </w:p>
    <w:p w14:paraId="6C6B21F7" w14:textId="77777777" w:rsidR="00151A8E" w:rsidRPr="00726FAC" w:rsidRDefault="00151A8E" w:rsidP="00DF2B97">
      <w:pPr>
        <w:pStyle w:val="paragraph"/>
        <w:spacing w:before="240" w:beforeAutospacing="0" w:after="0" w:afterAutospacing="0"/>
        <w:textAlignment w:val="baseline"/>
        <w:rPr>
          <w:sz w:val="22"/>
          <w:szCs w:val="22"/>
        </w:rPr>
      </w:pPr>
      <w:r w:rsidRPr="00726FAC">
        <w:rPr>
          <w:sz w:val="22"/>
          <w:szCs w:val="22"/>
        </w:rPr>
        <w:t xml:space="preserve">NOU 2022: 20 </w:t>
      </w:r>
      <w:r w:rsidRPr="006A38C2">
        <w:rPr>
          <w:i/>
          <w:iCs/>
          <w:sz w:val="22"/>
          <w:szCs w:val="22"/>
        </w:rPr>
        <w:t>Et helhetlig skattesystem</w:t>
      </w:r>
      <w:r w:rsidRPr="00726FAC">
        <w:rPr>
          <w:sz w:val="22"/>
          <w:szCs w:val="22"/>
        </w:rPr>
        <w:t>, Finansdepartementet</w:t>
      </w:r>
    </w:p>
    <w:p w14:paraId="6502DF37" w14:textId="77777777" w:rsidR="00151A8E" w:rsidRPr="00726FAC" w:rsidRDefault="00151A8E" w:rsidP="00DF2B97">
      <w:pPr>
        <w:pStyle w:val="paragraph"/>
        <w:spacing w:before="240" w:beforeAutospacing="0" w:after="0" w:afterAutospacing="0"/>
        <w:textAlignment w:val="baseline"/>
        <w:rPr>
          <w:sz w:val="22"/>
          <w:szCs w:val="22"/>
        </w:rPr>
      </w:pPr>
      <w:r w:rsidRPr="00726FAC">
        <w:rPr>
          <w:sz w:val="22"/>
          <w:szCs w:val="22"/>
        </w:rPr>
        <w:t xml:space="preserve">NOU 2023: 4 </w:t>
      </w:r>
      <w:r w:rsidRPr="006A38C2">
        <w:rPr>
          <w:i/>
          <w:iCs/>
          <w:sz w:val="22"/>
          <w:szCs w:val="22"/>
        </w:rPr>
        <w:t>Tid for handling. Personellet i en bærekraftig helse- og omsorgstjeneste</w:t>
      </w:r>
      <w:r w:rsidRPr="00726FAC">
        <w:rPr>
          <w:sz w:val="22"/>
          <w:szCs w:val="22"/>
        </w:rPr>
        <w:t>, Helse- og omsorgsdepartementet</w:t>
      </w:r>
    </w:p>
    <w:p w14:paraId="3A3A1CC5" w14:textId="77777777" w:rsidR="00151A8E" w:rsidRPr="00726FAC" w:rsidRDefault="00151A8E" w:rsidP="00DF2B97">
      <w:pPr>
        <w:pStyle w:val="paragraph"/>
        <w:spacing w:before="240" w:beforeAutospacing="0" w:after="0" w:afterAutospacing="0"/>
        <w:textAlignment w:val="baseline"/>
        <w:rPr>
          <w:sz w:val="22"/>
          <w:szCs w:val="22"/>
        </w:rPr>
      </w:pPr>
      <w:r w:rsidRPr="00726FAC">
        <w:rPr>
          <w:sz w:val="22"/>
          <w:szCs w:val="22"/>
        </w:rPr>
        <w:t xml:space="preserve">NOU 2023: 8 </w:t>
      </w:r>
      <w:r w:rsidRPr="006A38C2">
        <w:rPr>
          <w:i/>
          <w:iCs/>
          <w:sz w:val="22"/>
          <w:szCs w:val="22"/>
        </w:rPr>
        <w:t>Fellesskapets sykehus. Styring, finansiering, samhandling og ledelse</w:t>
      </w:r>
      <w:r w:rsidRPr="00726FAC">
        <w:rPr>
          <w:sz w:val="22"/>
          <w:szCs w:val="22"/>
        </w:rPr>
        <w:t>, Helse- og omsorgsdepartementet</w:t>
      </w:r>
    </w:p>
    <w:p w14:paraId="626E7899" w14:textId="77777777" w:rsidR="00151A8E" w:rsidRPr="00726FAC" w:rsidRDefault="00151A8E" w:rsidP="00DF2B97">
      <w:pPr>
        <w:pStyle w:val="paragraph"/>
        <w:spacing w:before="240" w:beforeAutospacing="0" w:after="0" w:afterAutospacing="0"/>
        <w:textAlignment w:val="baseline"/>
        <w:rPr>
          <w:sz w:val="22"/>
          <w:szCs w:val="22"/>
        </w:rPr>
      </w:pPr>
      <w:r w:rsidRPr="00726FAC">
        <w:rPr>
          <w:sz w:val="22"/>
          <w:szCs w:val="22"/>
        </w:rPr>
        <w:t xml:space="preserve">NOU 2023: 9 </w:t>
      </w:r>
      <w:r w:rsidRPr="006A38C2">
        <w:rPr>
          <w:i/>
          <w:iCs/>
          <w:sz w:val="22"/>
          <w:szCs w:val="22"/>
        </w:rPr>
        <w:t>Generalistkommunesystemet</w:t>
      </w:r>
      <w:r w:rsidRPr="00726FAC">
        <w:rPr>
          <w:sz w:val="22"/>
          <w:szCs w:val="22"/>
        </w:rPr>
        <w:t xml:space="preserve">, Kommunal- og </w:t>
      </w:r>
      <w:proofErr w:type="spellStart"/>
      <w:r w:rsidRPr="00726FAC">
        <w:rPr>
          <w:sz w:val="22"/>
          <w:szCs w:val="22"/>
        </w:rPr>
        <w:t>distriktsdepartementet</w:t>
      </w:r>
      <w:proofErr w:type="spellEnd"/>
    </w:p>
    <w:p w14:paraId="431566EA" w14:textId="77777777" w:rsidR="00151A8E" w:rsidRPr="00726FAC" w:rsidRDefault="00151A8E" w:rsidP="00DF2B97">
      <w:pPr>
        <w:pStyle w:val="paragraph"/>
        <w:spacing w:before="240" w:beforeAutospacing="0" w:after="0" w:afterAutospacing="0"/>
        <w:textAlignment w:val="baseline"/>
        <w:rPr>
          <w:sz w:val="22"/>
          <w:szCs w:val="22"/>
        </w:rPr>
      </w:pPr>
      <w:r w:rsidRPr="00726FAC">
        <w:rPr>
          <w:sz w:val="22"/>
          <w:szCs w:val="22"/>
        </w:rPr>
        <w:t xml:space="preserve">NOU 2023: 16 </w:t>
      </w:r>
      <w:r w:rsidRPr="006A38C2">
        <w:rPr>
          <w:i/>
          <w:iCs/>
          <w:sz w:val="22"/>
          <w:szCs w:val="22"/>
        </w:rPr>
        <w:t>Evaluering av pandemihåndteringen – rapport fra Koronautvalget</w:t>
      </w:r>
      <w:r w:rsidRPr="00726FAC">
        <w:rPr>
          <w:sz w:val="22"/>
          <w:szCs w:val="22"/>
        </w:rPr>
        <w:t>, Justis- og beredskapsdepartementet</w:t>
      </w:r>
    </w:p>
    <w:p w14:paraId="2719F6FA" w14:textId="77777777" w:rsidR="00151A8E" w:rsidRPr="00726FAC" w:rsidRDefault="00151A8E" w:rsidP="00DF2B97">
      <w:pPr>
        <w:pStyle w:val="paragraph"/>
        <w:spacing w:before="240" w:beforeAutospacing="0" w:after="0" w:afterAutospacing="0"/>
        <w:textAlignment w:val="baseline"/>
        <w:rPr>
          <w:sz w:val="22"/>
          <w:szCs w:val="22"/>
        </w:rPr>
      </w:pPr>
      <w:r w:rsidRPr="00726FAC">
        <w:rPr>
          <w:sz w:val="22"/>
          <w:szCs w:val="22"/>
        </w:rPr>
        <w:t xml:space="preserve">NOU 2023: 17 </w:t>
      </w:r>
      <w:r w:rsidRPr="006A38C2">
        <w:rPr>
          <w:i/>
          <w:iCs/>
          <w:sz w:val="22"/>
          <w:szCs w:val="22"/>
        </w:rPr>
        <w:t>Nå er det alvor- rustet for en usikker fremtid</w:t>
      </w:r>
      <w:r w:rsidRPr="00726FAC">
        <w:rPr>
          <w:sz w:val="22"/>
          <w:szCs w:val="22"/>
        </w:rPr>
        <w:t>, Justis- og beredskapsdepartementet</w:t>
      </w:r>
    </w:p>
    <w:p w14:paraId="2668E1C2" w14:textId="77777777" w:rsidR="00113DED" w:rsidRPr="00726FAC" w:rsidRDefault="00151A8E" w:rsidP="00DF2B97">
      <w:pPr>
        <w:pStyle w:val="paragraph"/>
        <w:spacing w:before="240" w:beforeAutospacing="0" w:after="0" w:afterAutospacing="0"/>
        <w:textAlignment w:val="baseline"/>
        <w:rPr>
          <w:sz w:val="22"/>
          <w:szCs w:val="22"/>
        </w:rPr>
      </w:pPr>
      <w:r w:rsidRPr="00726FAC">
        <w:rPr>
          <w:sz w:val="22"/>
          <w:szCs w:val="22"/>
        </w:rPr>
        <w:t xml:space="preserve">NOU 2023: 21 </w:t>
      </w:r>
      <w:r w:rsidRPr="006A38C2">
        <w:rPr>
          <w:i/>
          <w:iCs/>
          <w:sz w:val="22"/>
          <w:szCs w:val="22"/>
        </w:rPr>
        <w:t>Embetsordningen – i takt med tiden</w:t>
      </w:r>
      <w:r w:rsidRPr="00726FAC">
        <w:rPr>
          <w:sz w:val="22"/>
          <w:szCs w:val="22"/>
        </w:rPr>
        <w:t xml:space="preserve">, Kommunal- og </w:t>
      </w:r>
      <w:proofErr w:type="spellStart"/>
      <w:r w:rsidRPr="00726FAC">
        <w:rPr>
          <w:sz w:val="22"/>
          <w:szCs w:val="22"/>
        </w:rPr>
        <w:t>distriktsdepartementet</w:t>
      </w:r>
      <w:proofErr w:type="spellEnd"/>
    </w:p>
    <w:p w14:paraId="57F7CCFC" w14:textId="5F6AFC96" w:rsidR="00151A8E" w:rsidRPr="00726FAC" w:rsidRDefault="00151A8E" w:rsidP="00DF2B97">
      <w:pPr>
        <w:pStyle w:val="paragraph"/>
        <w:spacing w:before="240" w:beforeAutospacing="0" w:after="0" w:afterAutospacing="0"/>
        <w:textAlignment w:val="baseline"/>
        <w:rPr>
          <w:sz w:val="22"/>
          <w:szCs w:val="22"/>
        </w:rPr>
      </w:pPr>
      <w:r w:rsidRPr="00726FAC">
        <w:rPr>
          <w:sz w:val="22"/>
          <w:szCs w:val="22"/>
        </w:rPr>
        <w:t xml:space="preserve">NOU 2023:25 </w:t>
      </w:r>
      <w:r w:rsidRPr="006A38C2">
        <w:rPr>
          <w:i/>
          <w:iCs/>
          <w:sz w:val="22"/>
          <w:szCs w:val="22"/>
        </w:rPr>
        <w:t>Omstilling til lavutslipp- veivalg for klimapolitikken mot 2050</w:t>
      </w:r>
      <w:r w:rsidRPr="00726FAC">
        <w:rPr>
          <w:sz w:val="22"/>
          <w:szCs w:val="22"/>
        </w:rPr>
        <w:t>, Klima- og miljødepartementet</w:t>
      </w:r>
    </w:p>
    <w:p w14:paraId="587FCAC5" w14:textId="77777777" w:rsidR="00151A8E" w:rsidRPr="00726FAC" w:rsidRDefault="00151A8E" w:rsidP="00DF2B97">
      <w:pPr>
        <w:pStyle w:val="paragraph"/>
        <w:spacing w:before="240" w:beforeAutospacing="0" w:after="0" w:afterAutospacing="0"/>
        <w:textAlignment w:val="baseline"/>
        <w:rPr>
          <w:sz w:val="22"/>
          <w:szCs w:val="22"/>
        </w:rPr>
      </w:pPr>
      <w:r w:rsidRPr="00726FAC">
        <w:rPr>
          <w:sz w:val="22"/>
          <w:szCs w:val="22"/>
        </w:rPr>
        <w:t xml:space="preserve">NOU 2023:30 </w:t>
      </w:r>
      <w:r w:rsidRPr="006A38C2">
        <w:rPr>
          <w:i/>
          <w:iCs/>
          <w:sz w:val="22"/>
          <w:szCs w:val="22"/>
        </w:rPr>
        <w:t>Utfordringer for lønnsdannelsen og norsk økonomi</w:t>
      </w:r>
      <w:r w:rsidRPr="00726FAC">
        <w:rPr>
          <w:sz w:val="22"/>
          <w:szCs w:val="22"/>
        </w:rPr>
        <w:t>, Finansdepartementet</w:t>
      </w:r>
    </w:p>
    <w:p w14:paraId="3992BEA2" w14:textId="77777777" w:rsidR="00151A8E" w:rsidRPr="00726FAC" w:rsidRDefault="00151A8E" w:rsidP="00DF2B97">
      <w:pPr>
        <w:pStyle w:val="paragraph"/>
        <w:spacing w:before="240" w:beforeAutospacing="0" w:after="0" w:afterAutospacing="0"/>
        <w:textAlignment w:val="baseline"/>
        <w:rPr>
          <w:sz w:val="22"/>
          <w:szCs w:val="22"/>
        </w:rPr>
      </w:pPr>
      <w:r w:rsidRPr="00726FAC">
        <w:rPr>
          <w:sz w:val="22"/>
          <w:szCs w:val="22"/>
        </w:rPr>
        <w:t xml:space="preserve">NOU 2024:2 </w:t>
      </w:r>
      <w:r w:rsidRPr="006A38C2">
        <w:rPr>
          <w:i/>
          <w:iCs/>
          <w:sz w:val="22"/>
          <w:szCs w:val="22"/>
        </w:rPr>
        <w:t>I samspill med naturen- Naturrisiko for næringer, sektorer og samfunn i Norge</w:t>
      </w:r>
      <w:r w:rsidRPr="00726FAC">
        <w:rPr>
          <w:sz w:val="22"/>
          <w:szCs w:val="22"/>
        </w:rPr>
        <w:t>, Klima- og miljødepartementet</w:t>
      </w:r>
    </w:p>
    <w:p w14:paraId="4DA8293D" w14:textId="77777777" w:rsidR="00151A8E" w:rsidRPr="00726FAC" w:rsidRDefault="00151A8E" w:rsidP="00DF2B97">
      <w:pPr>
        <w:pStyle w:val="paragraph"/>
        <w:spacing w:before="240" w:beforeAutospacing="0" w:after="0" w:afterAutospacing="0"/>
        <w:textAlignment w:val="baseline"/>
        <w:rPr>
          <w:sz w:val="22"/>
          <w:szCs w:val="22"/>
        </w:rPr>
      </w:pPr>
      <w:r w:rsidRPr="00726FAC">
        <w:rPr>
          <w:sz w:val="22"/>
          <w:szCs w:val="22"/>
        </w:rPr>
        <w:t xml:space="preserve">NOU 2024:3 </w:t>
      </w:r>
      <w:r w:rsidRPr="006A38C2">
        <w:rPr>
          <w:i/>
          <w:iCs/>
          <w:sz w:val="22"/>
          <w:szCs w:val="22"/>
        </w:rPr>
        <w:t>Felles innsats mot ekstremisme: Bedre vilkår for det forebyggende arbeidet</w:t>
      </w:r>
      <w:r w:rsidRPr="00726FAC">
        <w:rPr>
          <w:sz w:val="22"/>
          <w:szCs w:val="22"/>
        </w:rPr>
        <w:t>, Kultur- og likestillingsdepartementet</w:t>
      </w:r>
    </w:p>
    <w:p w14:paraId="4742E193" w14:textId="77777777" w:rsidR="00151A8E" w:rsidRPr="00726FAC" w:rsidRDefault="00151A8E" w:rsidP="00DF2B97">
      <w:pPr>
        <w:pStyle w:val="paragraph"/>
        <w:spacing w:before="240" w:beforeAutospacing="0" w:after="0" w:afterAutospacing="0"/>
        <w:textAlignment w:val="baseline"/>
        <w:rPr>
          <w:sz w:val="22"/>
          <w:szCs w:val="22"/>
        </w:rPr>
      </w:pPr>
      <w:r w:rsidRPr="00726FAC">
        <w:rPr>
          <w:sz w:val="22"/>
          <w:szCs w:val="22"/>
        </w:rPr>
        <w:t>Fjerning av minstegrense for rett til medlemskap i Statens pensjonskasse og enkelte andre lover, Arbeids- og inkluderingsdepartementet</w:t>
      </w:r>
    </w:p>
    <w:p w14:paraId="6BD4AB20" w14:textId="375C95BF" w:rsidR="00151A8E" w:rsidRPr="00726FAC" w:rsidRDefault="00151A8E" w:rsidP="00DF2B97">
      <w:pPr>
        <w:pStyle w:val="paragraph"/>
        <w:spacing w:before="240" w:beforeAutospacing="0" w:after="0" w:afterAutospacing="0"/>
        <w:textAlignment w:val="baseline"/>
        <w:rPr>
          <w:sz w:val="22"/>
          <w:szCs w:val="22"/>
        </w:rPr>
      </w:pPr>
      <w:r w:rsidRPr="00726FAC">
        <w:rPr>
          <w:sz w:val="22"/>
          <w:szCs w:val="22"/>
        </w:rPr>
        <w:t xml:space="preserve">Grunnlag for ny universitets- og høyskolelov, Kunnskapsdepartementet </w:t>
      </w:r>
    </w:p>
    <w:p w14:paraId="58B5EBF3" w14:textId="55209226" w:rsidR="00151A8E" w:rsidRPr="00726FAC" w:rsidRDefault="00151A8E" w:rsidP="007F6E24">
      <w:pPr>
        <w:pStyle w:val="paragraph"/>
        <w:spacing w:before="240" w:beforeAutospacing="0" w:after="0" w:afterAutospacing="0"/>
        <w:textAlignment w:val="baseline"/>
        <w:rPr>
          <w:sz w:val="22"/>
          <w:szCs w:val="22"/>
        </w:rPr>
      </w:pPr>
      <w:r w:rsidRPr="00726FAC">
        <w:rPr>
          <w:sz w:val="22"/>
          <w:szCs w:val="22"/>
        </w:rPr>
        <w:lastRenderedPageBreak/>
        <w:t xml:space="preserve">Forslag til endringer i arbeidsmiljøloven og </w:t>
      </w:r>
      <w:proofErr w:type="spellStart"/>
      <w:r w:rsidRPr="00726FAC">
        <w:rPr>
          <w:sz w:val="22"/>
          <w:szCs w:val="22"/>
        </w:rPr>
        <w:t>statsansatteloven</w:t>
      </w:r>
      <w:proofErr w:type="spellEnd"/>
      <w:r w:rsidRPr="00726FAC">
        <w:rPr>
          <w:sz w:val="22"/>
          <w:szCs w:val="22"/>
        </w:rPr>
        <w:t xml:space="preserve"> mv. for å sikre arbeidstakere tydelige og mer forutsigbare arbeidsvilkår – gjennomføring av direktiv (EU) 2019/1152, Arbeids- og inkluderingsdepartementet </w:t>
      </w:r>
    </w:p>
    <w:p w14:paraId="5629B6E5" w14:textId="77777777" w:rsidR="00151A8E" w:rsidRPr="00726FAC" w:rsidRDefault="00151A8E" w:rsidP="007F6E24">
      <w:pPr>
        <w:pStyle w:val="paragraph"/>
        <w:spacing w:before="240" w:beforeAutospacing="0" w:after="0" w:afterAutospacing="0"/>
        <w:textAlignment w:val="baseline"/>
        <w:rPr>
          <w:sz w:val="22"/>
          <w:szCs w:val="22"/>
        </w:rPr>
      </w:pPr>
      <w:r w:rsidRPr="00726FAC">
        <w:rPr>
          <w:sz w:val="22"/>
          <w:szCs w:val="22"/>
        </w:rPr>
        <w:t>Forslag om permitterte ansatte i private tjenestepensjonsordninger (videreføring av midlertidige lovregler), Finansdepartementet</w:t>
      </w:r>
    </w:p>
    <w:p w14:paraId="195A656E" w14:textId="77777777" w:rsidR="00151A8E" w:rsidRPr="00726FAC" w:rsidRDefault="00151A8E" w:rsidP="007F6E24">
      <w:pPr>
        <w:pStyle w:val="paragraph"/>
        <w:spacing w:before="240" w:beforeAutospacing="0" w:after="0" w:afterAutospacing="0"/>
        <w:textAlignment w:val="baseline"/>
        <w:rPr>
          <w:sz w:val="22"/>
          <w:szCs w:val="22"/>
        </w:rPr>
      </w:pPr>
      <w:r w:rsidRPr="00726FAC">
        <w:rPr>
          <w:sz w:val="22"/>
          <w:szCs w:val="22"/>
        </w:rPr>
        <w:t>Rapport fra ekspertutvalget for klimavennlige investeringer, Nærings- og fiskeridepartementet</w:t>
      </w:r>
    </w:p>
    <w:p w14:paraId="3BF1F890" w14:textId="77777777" w:rsidR="00151A8E" w:rsidRPr="00726FAC" w:rsidRDefault="00151A8E" w:rsidP="007F6E24">
      <w:pPr>
        <w:pStyle w:val="paragraph"/>
        <w:spacing w:before="240" w:beforeAutospacing="0" w:after="0" w:afterAutospacing="0"/>
        <w:textAlignment w:val="baseline"/>
        <w:rPr>
          <w:sz w:val="22"/>
          <w:szCs w:val="22"/>
        </w:rPr>
      </w:pPr>
      <w:r w:rsidRPr="00726FAC">
        <w:rPr>
          <w:sz w:val="22"/>
          <w:szCs w:val="22"/>
        </w:rPr>
        <w:t xml:space="preserve">Innleie fra bemanningsforetak - Forslag til forskriftsbestemmelser om </w:t>
      </w:r>
      <w:proofErr w:type="gramStart"/>
      <w:r w:rsidRPr="00726FAC">
        <w:rPr>
          <w:sz w:val="22"/>
          <w:szCs w:val="22"/>
        </w:rPr>
        <w:t>innleie</w:t>
      </w:r>
      <w:proofErr w:type="gramEnd"/>
      <w:r w:rsidRPr="00726FAC">
        <w:rPr>
          <w:sz w:val="22"/>
          <w:szCs w:val="22"/>
        </w:rPr>
        <w:t xml:space="preserve"> til helse- og omsorgstjenesten og innleie av rådgivere og konsulenter med spesialkompetanse, Arbeids- og inkluderingsdepartementet </w:t>
      </w:r>
    </w:p>
    <w:p w14:paraId="4CD990B7" w14:textId="77777777" w:rsidR="00151A8E" w:rsidRPr="00726FAC" w:rsidRDefault="00151A8E" w:rsidP="007F6E24">
      <w:pPr>
        <w:pStyle w:val="paragraph"/>
        <w:spacing w:before="240" w:beforeAutospacing="0" w:after="0" w:afterAutospacing="0"/>
        <w:textAlignment w:val="baseline"/>
        <w:rPr>
          <w:sz w:val="22"/>
          <w:szCs w:val="22"/>
        </w:rPr>
      </w:pPr>
      <w:r w:rsidRPr="00726FAC">
        <w:rPr>
          <w:sz w:val="22"/>
          <w:szCs w:val="22"/>
        </w:rPr>
        <w:t>Forskrift om endring i forskrift om utdanningsstøtte, Kunnskapsdepartementet</w:t>
      </w:r>
    </w:p>
    <w:p w14:paraId="5191A59B" w14:textId="77777777" w:rsidR="00151A8E" w:rsidRPr="00726FAC" w:rsidRDefault="00151A8E" w:rsidP="007F6E24">
      <w:pPr>
        <w:pStyle w:val="paragraph"/>
        <w:spacing w:before="240" w:beforeAutospacing="0" w:after="0" w:afterAutospacing="0"/>
        <w:textAlignment w:val="baseline"/>
        <w:rPr>
          <w:sz w:val="22"/>
          <w:szCs w:val="22"/>
        </w:rPr>
      </w:pPr>
      <w:r w:rsidRPr="00726FAC">
        <w:rPr>
          <w:sz w:val="22"/>
          <w:szCs w:val="22"/>
        </w:rPr>
        <w:t>Studieavgift for studenter fra land utenfor EØS-området eller Sveits mm. – endringer i universitets- og høyskoleloven, Kunnskapsdepartementet</w:t>
      </w:r>
    </w:p>
    <w:p w14:paraId="5B8AFF14" w14:textId="77777777" w:rsidR="00151A8E" w:rsidRPr="00726FAC" w:rsidRDefault="00151A8E" w:rsidP="007F6E24">
      <w:pPr>
        <w:pStyle w:val="paragraph"/>
        <w:spacing w:before="240" w:beforeAutospacing="0" w:after="0" w:afterAutospacing="0"/>
        <w:textAlignment w:val="baseline"/>
        <w:rPr>
          <w:sz w:val="22"/>
          <w:szCs w:val="22"/>
        </w:rPr>
      </w:pPr>
      <w:r w:rsidRPr="00726FAC">
        <w:rPr>
          <w:sz w:val="22"/>
          <w:szCs w:val="22"/>
        </w:rPr>
        <w:t xml:space="preserve">Forslag til </w:t>
      </w:r>
      <w:proofErr w:type="spellStart"/>
      <w:r w:rsidRPr="00726FAC">
        <w:rPr>
          <w:sz w:val="22"/>
          <w:szCs w:val="22"/>
        </w:rPr>
        <w:t>endringar</w:t>
      </w:r>
      <w:proofErr w:type="spellEnd"/>
      <w:r w:rsidRPr="00726FAC">
        <w:rPr>
          <w:sz w:val="22"/>
          <w:szCs w:val="22"/>
        </w:rPr>
        <w:t xml:space="preserve"> i forskrift om organisering, ledelse og medvirkning – gjennomføring av direktiv 2019/1832 i norsk rett, Arbeidstilsynet </w:t>
      </w:r>
    </w:p>
    <w:p w14:paraId="7E687EF3" w14:textId="77777777" w:rsidR="00151A8E" w:rsidRPr="00726FAC" w:rsidRDefault="00151A8E" w:rsidP="007F6E24">
      <w:pPr>
        <w:pStyle w:val="paragraph"/>
        <w:spacing w:before="240" w:beforeAutospacing="0" w:after="0" w:afterAutospacing="0"/>
        <w:textAlignment w:val="baseline"/>
        <w:rPr>
          <w:sz w:val="22"/>
          <w:szCs w:val="22"/>
        </w:rPr>
      </w:pPr>
      <w:r w:rsidRPr="00726FAC">
        <w:rPr>
          <w:sz w:val="22"/>
          <w:szCs w:val="22"/>
        </w:rPr>
        <w:t>Akademikernes innspill til Klimautvalget 2050</w:t>
      </w:r>
    </w:p>
    <w:p w14:paraId="3716A4EB" w14:textId="7AC51855" w:rsidR="00151A8E" w:rsidRPr="00726FAC" w:rsidRDefault="00151A8E" w:rsidP="007F6E24">
      <w:pPr>
        <w:pStyle w:val="paragraph"/>
        <w:spacing w:before="240" w:beforeAutospacing="0" w:after="0" w:afterAutospacing="0"/>
        <w:textAlignment w:val="baseline"/>
        <w:rPr>
          <w:sz w:val="22"/>
          <w:szCs w:val="22"/>
        </w:rPr>
      </w:pPr>
      <w:r w:rsidRPr="00726FAC">
        <w:rPr>
          <w:sz w:val="22"/>
          <w:szCs w:val="22"/>
        </w:rPr>
        <w:t xml:space="preserve">Høring - Grunnrenteskatt på havbruk, Finansdepartementet </w:t>
      </w:r>
    </w:p>
    <w:p w14:paraId="47CB34C3" w14:textId="7A4B1FB6" w:rsidR="005A1420" w:rsidRDefault="00151A8E" w:rsidP="007F6E24">
      <w:pPr>
        <w:pStyle w:val="paragraph"/>
        <w:spacing w:before="240" w:beforeAutospacing="0" w:after="0" w:afterAutospacing="0"/>
        <w:textAlignment w:val="baseline"/>
        <w:rPr>
          <w:sz w:val="22"/>
          <w:szCs w:val="22"/>
        </w:rPr>
      </w:pPr>
      <w:r w:rsidRPr="00726FAC">
        <w:rPr>
          <w:sz w:val="22"/>
          <w:szCs w:val="22"/>
        </w:rPr>
        <w:t>Høring – delt</w:t>
      </w:r>
      <w:r w:rsidR="004C7129">
        <w:rPr>
          <w:sz w:val="22"/>
          <w:szCs w:val="22"/>
        </w:rPr>
        <w:t xml:space="preserve"> </w:t>
      </w:r>
      <w:r w:rsidRPr="00726FAC">
        <w:rPr>
          <w:sz w:val="22"/>
          <w:szCs w:val="22"/>
        </w:rPr>
        <w:t>pensjonsgrunnlag (AID)</w:t>
      </w:r>
      <w:r w:rsidR="004B51B9">
        <w:rPr>
          <w:sz w:val="22"/>
          <w:szCs w:val="22"/>
        </w:rPr>
        <w:t xml:space="preserve"> </w:t>
      </w:r>
    </w:p>
    <w:p w14:paraId="725075C3" w14:textId="40D5091B" w:rsidR="00151A8E" w:rsidRPr="00726FAC" w:rsidRDefault="00151A8E" w:rsidP="007F6E24">
      <w:pPr>
        <w:pStyle w:val="paragraph"/>
        <w:spacing w:before="240" w:beforeAutospacing="0" w:after="0" w:afterAutospacing="0"/>
        <w:textAlignment w:val="baseline"/>
        <w:rPr>
          <w:sz w:val="22"/>
          <w:szCs w:val="22"/>
        </w:rPr>
      </w:pPr>
      <w:r w:rsidRPr="00726FAC">
        <w:rPr>
          <w:sz w:val="22"/>
          <w:szCs w:val="22"/>
        </w:rPr>
        <w:t xml:space="preserve">Forslag om endringer i skikkethetsforskriften i høyere utdanning, Kunnskapsdepartementet </w:t>
      </w:r>
    </w:p>
    <w:p w14:paraId="13C29C86" w14:textId="77777777" w:rsidR="00151A8E" w:rsidRPr="00726FAC" w:rsidRDefault="00151A8E" w:rsidP="007F6E24">
      <w:pPr>
        <w:pStyle w:val="paragraph"/>
        <w:spacing w:before="240" w:beforeAutospacing="0" w:after="0" w:afterAutospacing="0"/>
        <w:textAlignment w:val="baseline"/>
        <w:rPr>
          <w:sz w:val="22"/>
          <w:szCs w:val="22"/>
        </w:rPr>
      </w:pPr>
      <w:r w:rsidRPr="00726FAC">
        <w:rPr>
          <w:sz w:val="22"/>
          <w:szCs w:val="22"/>
        </w:rPr>
        <w:t>Forskrift om endring i forskrift om utdanningsstøtte, Kunnskapsdepartementet</w:t>
      </w:r>
    </w:p>
    <w:p w14:paraId="2BFB7CB3" w14:textId="77777777" w:rsidR="00151A8E" w:rsidRPr="00726FAC" w:rsidRDefault="00151A8E" w:rsidP="007F6E24">
      <w:pPr>
        <w:pStyle w:val="paragraph"/>
        <w:spacing w:before="240" w:beforeAutospacing="0" w:after="0" w:afterAutospacing="0"/>
        <w:textAlignment w:val="baseline"/>
        <w:rPr>
          <w:sz w:val="22"/>
          <w:szCs w:val="22"/>
        </w:rPr>
      </w:pPr>
      <w:r w:rsidRPr="00726FAC">
        <w:rPr>
          <w:sz w:val="22"/>
          <w:szCs w:val="22"/>
        </w:rPr>
        <w:t>Forslag til tiltak for bedre kjønnsbalanse i styrer og ledelse​, Nærings- og fiskeridepartementet</w:t>
      </w:r>
    </w:p>
    <w:p w14:paraId="10376FD2" w14:textId="77777777" w:rsidR="00151A8E" w:rsidRPr="00726FAC" w:rsidRDefault="00151A8E" w:rsidP="007F6E24">
      <w:pPr>
        <w:pStyle w:val="paragraph"/>
        <w:spacing w:before="240" w:beforeAutospacing="0" w:after="0" w:afterAutospacing="0"/>
        <w:textAlignment w:val="baseline"/>
        <w:rPr>
          <w:sz w:val="22"/>
          <w:szCs w:val="22"/>
        </w:rPr>
      </w:pPr>
      <w:r w:rsidRPr="00726FAC">
        <w:rPr>
          <w:sz w:val="22"/>
          <w:szCs w:val="22"/>
        </w:rPr>
        <w:t>Innspill til utredning av lavere aldersgrense for stipendbasert utdanningsstøtte til voksne i videregående opplæring, Kunnskapsdepartementet</w:t>
      </w:r>
    </w:p>
    <w:p w14:paraId="4A6B7E49" w14:textId="77777777" w:rsidR="0031215F" w:rsidRDefault="0031215F" w:rsidP="007F6E24">
      <w:pPr>
        <w:rPr>
          <w:rFonts w:ascii="Times New Roman" w:eastAsia="Times New Roman" w:hAnsi="Times New Roman" w:cs="Times New Roman"/>
          <w:lang w:eastAsia="nb-NO"/>
        </w:rPr>
      </w:pPr>
    </w:p>
    <w:p w14:paraId="172DA95F" w14:textId="1C9CE78B" w:rsidR="00151A8E" w:rsidRPr="00726FAC" w:rsidRDefault="00151A8E" w:rsidP="007F6E24">
      <w:pPr>
        <w:rPr>
          <w:rFonts w:ascii="Times New Roman" w:eastAsia="Times New Roman" w:hAnsi="Times New Roman" w:cs="Times New Roman"/>
          <w:lang w:eastAsia="nb-NO"/>
        </w:rPr>
      </w:pPr>
      <w:r w:rsidRPr="00726FAC">
        <w:rPr>
          <w:rFonts w:ascii="Times New Roman" w:eastAsia="Times New Roman" w:hAnsi="Times New Roman" w:cs="Times New Roman"/>
          <w:lang w:eastAsia="nb-NO"/>
        </w:rPr>
        <w:t>Innspill til regjeringens strategi for likestilling mellom menn og kvinner (KUD)</w:t>
      </w:r>
    </w:p>
    <w:p w14:paraId="4DC771C3" w14:textId="5F62F545" w:rsidR="00151A8E" w:rsidRPr="00726FAC" w:rsidRDefault="00151A8E" w:rsidP="00151A8E">
      <w:pPr>
        <w:rPr>
          <w:rFonts w:ascii="Times New Roman" w:eastAsia="Times New Roman" w:hAnsi="Times New Roman" w:cs="Times New Roman"/>
          <w:lang w:eastAsia="nb-NO"/>
        </w:rPr>
      </w:pPr>
      <w:r w:rsidRPr="00726FAC">
        <w:rPr>
          <w:rFonts w:ascii="Times New Roman" w:eastAsia="Times New Roman" w:hAnsi="Times New Roman" w:cs="Times New Roman"/>
          <w:lang w:eastAsia="nb-NO"/>
        </w:rPr>
        <w:t>Forslag til forskriftsfesting av en ny ungdomsgaranti (AID)</w:t>
      </w:r>
    </w:p>
    <w:p w14:paraId="7764196B" w14:textId="77777777" w:rsidR="00151A8E" w:rsidRPr="00726FAC" w:rsidRDefault="00151A8E" w:rsidP="007F6E24">
      <w:pPr>
        <w:pStyle w:val="paragraph"/>
        <w:spacing w:before="240" w:beforeAutospacing="0" w:after="0" w:afterAutospacing="0"/>
        <w:textAlignment w:val="baseline"/>
        <w:rPr>
          <w:sz w:val="22"/>
          <w:szCs w:val="22"/>
        </w:rPr>
      </w:pPr>
      <w:r w:rsidRPr="00726FAC">
        <w:rPr>
          <w:sz w:val="22"/>
          <w:szCs w:val="22"/>
        </w:rPr>
        <w:t>Rapport fra ekspertgruppe som har vurdert akkreditering av universiteter, Kunnskapsdepartementet</w:t>
      </w:r>
    </w:p>
    <w:p w14:paraId="0FADE8B0" w14:textId="0FA0304A" w:rsidR="00151A8E" w:rsidRPr="00726FAC" w:rsidRDefault="00151A8E" w:rsidP="002827F5">
      <w:pPr>
        <w:pStyle w:val="paragraph"/>
        <w:spacing w:before="240" w:beforeAutospacing="0" w:after="0" w:afterAutospacing="0"/>
        <w:textAlignment w:val="baseline"/>
        <w:rPr>
          <w:sz w:val="22"/>
          <w:szCs w:val="22"/>
        </w:rPr>
      </w:pPr>
      <w:r w:rsidRPr="00726FAC">
        <w:rPr>
          <w:sz w:val="22"/>
          <w:szCs w:val="22"/>
        </w:rPr>
        <w:t xml:space="preserve">Innleie fra bemanningsforetak – Forslag til lov- og forskriftsregulering av </w:t>
      </w:r>
      <w:proofErr w:type="gramStart"/>
      <w:r w:rsidRPr="00726FAC">
        <w:rPr>
          <w:sz w:val="22"/>
          <w:szCs w:val="22"/>
        </w:rPr>
        <w:t>innleie</w:t>
      </w:r>
      <w:proofErr w:type="gramEnd"/>
      <w:r w:rsidRPr="00726FAC">
        <w:rPr>
          <w:sz w:val="22"/>
          <w:szCs w:val="22"/>
        </w:rPr>
        <w:t xml:space="preserve"> til arrangement, Arbeids- og inkluderingsdepartementet </w:t>
      </w:r>
    </w:p>
    <w:p w14:paraId="1DC46C20" w14:textId="77777777" w:rsidR="00151A8E" w:rsidRPr="00726FAC" w:rsidRDefault="00151A8E" w:rsidP="002827F5">
      <w:pPr>
        <w:pStyle w:val="paragraph"/>
        <w:spacing w:before="240" w:beforeAutospacing="0" w:after="0" w:afterAutospacing="0"/>
        <w:textAlignment w:val="baseline"/>
        <w:rPr>
          <w:sz w:val="22"/>
          <w:szCs w:val="22"/>
        </w:rPr>
      </w:pPr>
      <w:r w:rsidRPr="00726FAC">
        <w:rPr>
          <w:sz w:val="22"/>
          <w:szCs w:val="22"/>
        </w:rPr>
        <w:lastRenderedPageBreak/>
        <w:t>Forslag til regler om avverging av skade og bruk av fysisk inngripen i ny opplæringslov og privatskoleloven, Kunnskapsdepartementet</w:t>
      </w:r>
    </w:p>
    <w:p w14:paraId="01E9D2B9" w14:textId="77777777" w:rsidR="00151A8E" w:rsidRPr="00726FAC" w:rsidRDefault="00151A8E" w:rsidP="002827F5">
      <w:pPr>
        <w:pStyle w:val="paragraph"/>
        <w:spacing w:before="240" w:beforeAutospacing="0" w:after="0" w:afterAutospacing="0"/>
        <w:textAlignment w:val="baseline"/>
        <w:rPr>
          <w:sz w:val="22"/>
          <w:szCs w:val="22"/>
        </w:rPr>
      </w:pPr>
      <w:r w:rsidRPr="00726FAC">
        <w:rPr>
          <w:sz w:val="22"/>
          <w:szCs w:val="22"/>
        </w:rPr>
        <w:t>Innspill til regjeringens arbeid knyttet til selvstendig næringsdrivende og frilanseres sosiale ordninger​, Arbeids- og inkluderingsdepartementet</w:t>
      </w:r>
    </w:p>
    <w:p w14:paraId="0245B1E4" w14:textId="77777777" w:rsidR="00151A8E" w:rsidRPr="00726FAC" w:rsidRDefault="00151A8E" w:rsidP="002827F5">
      <w:pPr>
        <w:pStyle w:val="paragraph"/>
        <w:spacing w:before="240" w:beforeAutospacing="0" w:after="0" w:afterAutospacing="0"/>
        <w:textAlignment w:val="baseline"/>
        <w:rPr>
          <w:sz w:val="22"/>
          <w:szCs w:val="22"/>
        </w:rPr>
      </w:pPr>
      <w:r w:rsidRPr="00726FAC">
        <w:rPr>
          <w:sz w:val="22"/>
          <w:szCs w:val="22"/>
        </w:rPr>
        <w:t xml:space="preserve">Endring i arbeidsmiljøloven – forslag om å heve den øvre rammen for overtredelsesgebyr, Arbeids- og inkluderingsdepartementet </w:t>
      </w:r>
    </w:p>
    <w:p w14:paraId="46C63186" w14:textId="77777777" w:rsidR="00151A8E" w:rsidRPr="00726FAC" w:rsidRDefault="00151A8E" w:rsidP="002827F5">
      <w:pPr>
        <w:pStyle w:val="paragraph"/>
        <w:spacing w:before="240" w:beforeAutospacing="0" w:after="0" w:afterAutospacing="0"/>
        <w:textAlignment w:val="baseline"/>
        <w:rPr>
          <w:sz w:val="22"/>
          <w:szCs w:val="22"/>
        </w:rPr>
      </w:pPr>
      <w:r w:rsidRPr="00726FAC">
        <w:rPr>
          <w:sz w:val="22"/>
          <w:szCs w:val="22"/>
        </w:rPr>
        <w:t xml:space="preserve">Garantiordninger ved konkurs i forsikringsforetak som tilbyr yrkesskadeforsikring, Finansdepartementet </w:t>
      </w:r>
    </w:p>
    <w:p w14:paraId="3C66CD46" w14:textId="77777777" w:rsidR="00151A8E" w:rsidRPr="00726FAC" w:rsidRDefault="00151A8E" w:rsidP="002827F5">
      <w:pPr>
        <w:pStyle w:val="paragraph"/>
        <w:spacing w:before="240" w:beforeAutospacing="0" w:after="0" w:afterAutospacing="0"/>
        <w:textAlignment w:val="baseline"/>
        <w:rPr>
          <w:sz w:val="22"/>
          <w:szCs w:val="22"/>
        </w:rPr>
      </w:pPr>
      <w:r w:rsidRPr="00726FAC">
        <w:rPr>
          <w:sz w:val="22"/>
          <w:szCs w:val="22"/>
        </w:rPr>
        <w:t>Innspill til Stortingsmeldingen om profesjonsutdanningene​, Kunnskapsdepartementet</w:t>
      </w:r>
    </w:p>
    <w:p w14:paraId="4EDDC255" w14:textId="77777777" w:rsidR="00151A8E" w:rsidRPr="00726FAC" w:rsidRDefault="00151A8E" w:rsidP="002827F5">
      <w:pPr>
        <w:pStyle w:val="paragraph"/>
        <w:spacing w:before="240" w:beforeAutospacing="0" w:after="0" w:afterAutospacing="0"/>
        <w:textAlignment w:val="baseline"/>
        <w:rPr>
          <w:sz w:val="22"/>
          <w:szCs w:val="22"/>
        </w:rPr>
      </w:pPr>
      <w:r w:rsidRPr="00726FAC">
        <w:rPr>
          <w:sz w:val="22"/>
          <w:szCs w:val="22"/>
        </w:rPr>
        <w:t>Forslag til endring i reglene om hvem som kan ansettes i lærerstilling og forslag om å tydeliggjøre reglene om faglig ansvar for opplæringen, Kunnskapsdepartementet</w:t>
      </w:r>
    </w:p>
    <w:p w14:paraId="2C7510CB" w14:textId="77777777" w:rsidR="00151A8E" w:rsidRPr="00726FAC" w:rsidRDefault="00151A8E" w:rsidP="002827F5">
      <w:pPr>
        <w:pStyle w:val="paragraph"/>
        <w:spacing w:before="240" w:beforeAutospacing="0" w:after="0" w:afterAutospacing="0"/>
        <w:textAlignment w:val="baseline"/>
        <w:rPr>
          <w:sz w:val="22"/>
          <w:szCs w:val="22"/>
        </w:rPr>
      </w:pPr>
      <w:r w:rsidRPr="00726FAC">
        <w:rPr>
          <w:sz w:val="22"/>
          <w:szCs w:val="22"/>
        </w:rPr>
        <w:t>Forslag til endringer i diskrimineringsombudsloven og likestillings og diskrimineringsloven, Kultur- og likestillingsdepartementet (ok! Sendt des -23)</w:t>
      </w:r>
    </w:p>
    <w:p w14:paraId="22121463" w14:textId="77777777" w:rsidR="00151A8E" w:rsidRPr="00726FAC" w:rsidRDefault="00151A8E" w:rsidP="002827F5">
      <w:pPr>
        <w:pStyle w:val="paragraph"/>
        <w:spacing w:before="240" w:beforeAutospacing="0" w:after="0" w:afterAutospacing="0"/>
        <w:textAlignment w:val="baseline"/>
        <w:rPr>
          <w:sz w:val="22"/>
          <w:szCs w:val="22"/>
        </w:rPr>
      </w:pPr>
      <w:r w:rsidRPr="00726FAC">
        <w:rPr>
          <w:sz w:val="22"/>
          <w:szCs w:val="22"/>
        </w:rPr>
        <w:t>Forslag til endringer i lov om utdanningsstøtte – rentebelastning​, Kunnskapsdepartementet</w:t>
      </w:r>
    </w:p>
    <w:p w14:paraId="2AA4EF3C" w14:textId="552CA1A3" w:rsidR="00151A8E" w:rsidRPr="00726FAC" w:rsidRDefault="00151A8E" w:rsidP="002827F5">
      <w:pPr>
        <w:pStyle w:val="paragraph"/>
        <w:spacing w:before="240" w:beforeAutospacing="0" w:after="0" w:afterAutospacing="0"/>
        <w:textAlignment w:val="baseline"/>
        <w:rPr>
          <w:sz w:val="22"/>
          <w:szCs w:val="22"/>
        </w:rPr>
      </w:pPr>
      <w:r w:rsidRPr="00726FAC">
        <w:rPr>
          <w:sz w:val="22"/>
          <w:szCs w:val="22"/>
        </w:rPr>
        <w:t>Representantforslag 33 S (2023–2024) om mer fleksible og fremtidsrettede arbeidstidsordninger (ok, men dette er til info ingen ordinær høring vi sendte foreningene for innspill, men et skriftlig innspill utarbeidet til komitehøring, skal den da med? Sendt des – 23)</w:t>
      </w:r>
    </w:p>
    <w:p w14:paraId="147A9F66" w14:textId="77777777" w:rsidR="00151A8E" w:rsidRPr="00726FAC" w:rsidRDefault="00151A8E" w:rsidP="002827F5">
      <w:pPr>
        <w:pStyle w:val="paragraph"/>
        <w:spacing w:before="240" w:beforeAutospacing="0" w:after="0" w:afterAutospacing="0"/>
        <w:textAlignment w:val="baseline"/>
        <w:rPr>
          <w:sz w:val="22"/>
          <w:szCs w:val="22"/>
        </w:rPr>
      </w:pPr>
      <w:r w:rsidRPr="00726FAC">
        <w:rPr>
          <w:sz w:val="22"/>
          <w:szCs w:val="22"/>
        </w:rPr>
        <w:t>Endringer i sivilbeskyttelsesloven - sivil arbeidskraftberedskap når rikets selvstendighet eller sikkerhet er i fare​, Justis- og beredskapsdepartementet</w:t>
      </w:r>
    </w:p>
    <w:p w14:paraId="3F41D449" w14:textId="77777777" w:rsidR="00151A8E" w:rsidRPr="00726FAC" w:rsidRDefault="00151A8E" w:rsidP="002827F5">
      <w:pPr>
        <w:pStyle w:val="paragraph"/>
        <w:spacing w:before="240" w:beforeAutospacing="0" w:after="0" w:afterAutospacing="0"/>
        <w:textAlignment w:val="baseline"/>
        <w:rPr>
          <w:sz w:val="22"/>
          <w:szCs w:val="22"/>
        </w:rPr>
      </w:pPr>
      <w:r w:rsidRPr="00726FAC">
        <w:rPr>
          <w:sz w:val="22"/>
          <w:szCs w:val="22"/>
        </w:rPr>
        <w:t xml:space="preserve">Forslag til forskrift om undervisnings- og forskningsstillinger og rekrutteringsstillinger​, Direktoratet for høyere utdanning og kompetanse </w:t>
      </w:r>
    </w:p>
    <w:p w14:paraId="5B79D241" w14:textId="77777777" w:rsidR="00151A8E" w:rsidRPr="00726FAC" w:rsidRDefault="00151A8E" w:rsidP="002827F5">
      <w:pPr>
        <w:pStyle w:val="paragraph"/>
        <w:spacing w:before="240" w:beforeAutospacing="0" w:after="0" w:afterAutospacing="0"/>
        <w:textAlignment w:val="baseline"/>
        <w:rPr>
          <w:sz w:val="22"/>
          <w:szCs w:val="22"/>
        </w:rPr>
      </w:pPr>
      <w:r w:rsidRPr="00726FAC">
        <w:rPr>
          <w:sz w:val="22"/>
          <w:szCs w:val="22"/>
        </w:rPr>
        <w:t xml:space="preserve">Innspill til representantforslag om Norges neste steg for kunstig intelligens </w:t>
      </w:r>
      <w:proofErr w:type="spellStart"/>
      <w:r w:rsidRPr="00726FAC">
        <w:rPr>
          <w:sz w:val="22"/>
          <w:szCs w:val="22"/>
        </w:rPr>
        <w:t>dok</w:t>
      </w:r>
      <w:proofErr w:type="spellEnd"/>
      <w:r w:rsidRPr="00726FAC">
        <w:rPr>
          <w:sz w:val="22"/>
          <w:szCs w:val="22"/>
        </w:rPr>
        <w:t xml:space="preserve"> 8:46 S, Kommunal- og forvaltningskomiteen</w:t>
      </w:r>
    </w:p>
    <w:p w14:paraId="6B83EA5E" w14:textId="77777777" w:rsidR="00151A8E" w:rsidRPr="00726FAC" w:rsidRDefault="00151A8E" w:rsidP="002827F5">
      <w:pPr>
        <w:pStyle w:val="paragraph"/>
        <w:spacing w:before="240" w:beforeAutospacing="0" w:after="0" w:afterAutospacing="0"/>
        <w:textAlignment w:val="baseline"/>
        <w:rPr>
          <w:sz w:val="22"/>
          <w:szCs w:val="22"/>
        </w:rPr>
      </w:pPr>
      <w:r w:rsidRPr="00726FAC">
        <w:rPr>
          <w:sz w:val="22"/>
          <w:szCs w:val="22"/>
        </w:rPr>
        <w:t>Høring om endringer i lov om statens ansatte mv (</w:t>
      </w:r>
      <w:proofErr w:type="spellStart"/>
      <w:r w:rsidRPr="00726FAC">
        <w:rPr>
          <w:sz w:val="22"/>
          <w:szCs w:val="22"/>
        </w:rPr>
        <w:t>statsansatteloven</w:t>
      </w:r>
      <w:proofErr w:type="spellEnd"/>
      <w:r w:rsidRPr="00726FAC">
        <w:rPr>
          <w:sz w:val="22"/>
          <w:szCs w:val="22"/>
        </w:rPr>
        <w:t>), Digitaliserings- og forvaltningsdepartementet</w:t>
      </w:r>
    </w:p>
    <w:p w14:paraId="3EC3016C" w14:textId="77777777" w:rsidR="00151A8E" w:rsidRPr="00726FAC" w:rsidRDefault="00151A8E" w:rsidP="002827F5">
      <w:pPr>
        <w:pStyle w:val="paragraph"/>
        <w:spacing w:before="240" w:beforeAutospacing="0" w:after="0" w:afterAutospacing="0"/>
        <w:textAlignment w:val="baseline"/>
        <w:rPr>
          <w:sz w:val="22"/>
          <w:szCs w:val="22"/>
        </w:rPr>
      </w:pPr>
      <w:r w:rsidRPr="00726FAC">
        <w:rPr>
          <w:sz w:val="22"/>
          <w:szCs w:val="22"/>
        </w:rPr>
        <w:t xml:space="preserve">Forslag til endringer i plan- og bygningsloven og kart- og planforskriften, Kommunal- og </w:t>
      </w:r>
      <w:proofErr w:type="spellStart"/>
      <w:r w:rsidRPr="00726FAC">
        <w:rPr>
          <w:sz w:val="22"/>
          <w:szCs w:val="22"/>
        </w:rPr>
        <w:t>distriktsdepartementet</w:t>
      </w:r>
      <w:proofErr w:type="spellEnd"/>
    </w:p>
    <w:p w14:paraId="5A1A6E04" w14:textId="77777777" w:rsidR="00151A8E" w:rsidRPr="00726FAC" w:rsidRDefault="00151A8E" w:rsidP="002827F5">
      <w:pPr>
        <w:pStyle w:val="paragraph"/>
        <w:spacing w:before="240" w:beforeAutospacing="0" w:after="0" w:afterAutospacing="0"/>
        <w:textAlignment w:val="baseline"/>
        <w:rPr>
          <w:sz w:val="22"/>
          <w:szCs w:val="22"/>
        </w:rPr>
      </w:pPr>
      <w:r w:rsidRPr="00726FAC">
        <w:rPr>
          <w:sz w:val="22"/>
          <w:szCs w:val="22"/>
        </w:rPr>
        <w:t xml:space="preserve">Forslag til lov om gjennomføring av ELA- forordningen, Arbeids- og inkluderingsdepartementet </w:t>
      </w:r>
    </w:p>
    <w:p w14:paraId="42FB6ADE" w14:textId="77777777" w:rsidR="00151A8E" w:rsidRPr="00726FAC" w:rsidRDefault="00151A8E" w:rsidP="002827F5">
      <w:pPr>
        <w:pStyle w:val="paragraph"/>
        <w:spacing w:before="240" w:beforeAutospacing="0" w:after="0" w:afterAutospacing="0"/>
        <w:textAlignment w:val="baseline"/>
        <w:rPr>
          <w:sz w:val="22"/>
          <w:szCs w:val="22"/>
        </w:rPr>
      </w:pPr>
      <w:r w:rsidRPr="00726FAC">
        <w:rPr>
          <w:sz w:val="22"/>
          <w:szCs w:val="22"/>
        </w:rPr>
        <w:t xml:space="preserve">Forslag om heving av toleransebeløpet for </w:t>
      </w:r>
      <w:proofErr w:type="spellStart"/>
      <w:r w:rsidRPr="00726FAC">
        <w:rPr>
          <w:sz w:val="22"/>
          <w:szCs w:val="22"/>
        </w:rPr>
        <w:t>avkorting</w:t>
      </w:r>
      <w:proofErr w:type="spellEnd"/>
      <w:r w:rsidRPr="00726FAC">
        <w:rPr>
          <w:sz w:val="22"/>
          <w:szCs w:val="22"/>
        </w:rPr>
        <w:t xml:space="preserve"> av avtalefestet pensjon fra Statens pensjonskasse, Arbeids- og inkluderingsdepartementet</w:t>
      </w:r>
    </w:p>
    <w:p w14:paraId="423F9134" w14:textId="77777777" w:rsidR="00151A8E" w:rsidRPr="00726FAC" w:rsidRDefault="00151A8E" w:rsidP="002827F5">
      <w:pPr>
        <w:pStyle w:val="paragraph"/>
        <w:spacing w:before="240" w:beforeAutospacing="0" w:after="0" w:afterAutospacing="0"/>
        <w:textAlignment w:val="baseline"/>
        <w:rPr>
          <w:sz w:val="22"/>
          <w:szCs w:val="22"/>
        </w:rPr>
      </w:pPr>
      <w:r w:rsidRPr="00726FAC">
        <w:rPr>
          <w:sz w:val="22"/>
          <w:szCs w:val="22"/>
        </w:rPr>
        <w:lastRenderedPageBreak/>
        <w:t>Akademikernes innspill til rundebordskonferanse om næringsrettet forskning, Høyre, FrP, Venstre og KrF</w:t>
      </w:r>
    </w:p>
    <w:p w14:paraId="1BB24778" w14:textId="77777777" w:rsidR="00151A8E" w:rsidRPr="00726FAC" w:rsidRDefault="00151A8E" w:rsidP="002827F5">
      <w:pPr>
        <w:pStyle w:val="paragraph"/>
        <w:spacing w:before="240" w:beforeAutospacing="0" w:after="0" w:afterAutospacing="0"/>
        <w:textAlignment w:val="baseline"/>
        <w:rPr>
          <w:sz w:val="22"/>
          <w:szCs w:val="22"/>
        </w:rPr>
      </w:pPr>
      <w:r w:rsidRPr="00726FAC">
        <w:rPr>
          <w:sz w:val="22"/>
          <w:szCs w:val="22"/>
        </w:rPr>
        <w:t>Innspill til stortingsmelding om gründere og oppstartsbedrifter, Nærings- og fiskeridepartementet</w:t>
      </w:r>
    </w:p>
    <w:p w14:paraId="216C7653" w14:textId="334E76B6" w:rsidR="00151A8E" w:rsidRPr="00726FAC" w:rsidRDefault="00151A8E" w:rsidP="002827F5">
      <w:pPr>
        <w:pStyle w:val="paragraph"/>
        <w:spacing w:before="240" w:beforeAutospacing="0" w:after="0" w:afterAutospacing="0"/>
        <w:textAlignment w:val="baseline"/>
        <w:rPr>
          <w:sz w:val="22"/>
          <w:szCs w:val="22"/>
        </w:rPr>
      </w:pPr>
      <w:r w:rsidRPr="00726FAC">
        <w:rPr>
          <w:sz w:val="22"/>
          <w:szCs w:val="22"/>
        </w:rPr>
        <w:t xml:space="preserve">Akademikernes innspill til gjennomgang av Forskningsrådets rolle og funksjon, Kunnskapsdepartementet </w:t>
      </w:r>
    </w:p>
    <w:p w14:paraId="1E1D9301" w14:textId="7B5CA289" w:rsidR="00E230C0" w:rsidRPr="007454E3" w:rsidRDefault="00E230C0" w:rsidP="00151A8E">
      <w:pPr>
        <w:pStyle w:val="Overskrift2"/>
      </w:pPr>
    </w:p>
    <w:sectPr w:rsidR="00E230C0" w:rsidRPr="007454E3" w:rsidSect="00BD2A91">
      <w:headerReference w:type="default" r:id="rId17"/>
      <w:footerReference w:type="default" r:id="rId18"/>
      <w:headerReference w:type="first" r:id="rId19"/>
      <w:footerReference w:type="first" r:id="rId20"/>
      <w:pgSz w:w="11907" w:h="16840" w:code="9"/>
      <w:pgMar w:top="3119" w:right="1701" w:bottom="1701" w:left="1701" w:header="397" w:footer="79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B32A3" w14:textId="77777777" w:rsidR="00E91991" w:rsidRDefault="00E91991" w:rsidP="00893D2C">
      <w:pPr>
        <w:spacing w:after="0" w:line="240" w:lineRule="auto"/>
      </w:pPr>
      <w:r>
        <w:separator/>
      </w:r>
    </w:p>
  </w:endnote>
  <w:endnote w:type="continuationSeparator" w:id="0">
    <w:p w14:paraId="5EF0570E" w14:textId="77777777" w:rsidR="00E91991" w:rsidRDefault="00E91991" w:rsidP="00893D2C">
      <w:pPr>
        <w:spacing w:after="0" w:line="240" w:lineRule="auto"/>
      </w:pPr>
      <w:r>
        <w:continuationSeparator/>
      </w:r>
    </w:p>
  </w:endnote>
  <w:endnote w:type="continuationNotice" w:id="1">
    <w:p w14:paraId="0B628FCF" w14:textId="77777777" w:rsidR="00E91991" w:rsidRDefault="00E919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haroni">
    <w:charset w:val="B1"/>
    <w:family w:val="auto"/>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725BA" w14:textId="77777777" w:rsidR="00271DA3" w:rsidRPr="00EF0C13" w:rsidRDefault="00271DA3" w:rsidP="00EF0C13">
    <w:pPr>
      <w:pStyle w:val="Bunntekst"/>
    </w:pPr>
    <w:r>
      <w:fldChar w:fldCharType="begin"/>
    </w:r>
    <w:r>
      <w:instrText xml:space="preserve"> PAGE  \* Arabic  \* MERGEFORMAT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AE6FD" w14:textId="77777777" w:rsidR="00271DA3" w:rsidRDefault="00271DA3">
    <w:pPr>
      <w:pStyle w:val="Bunntekst"/>
    </w:pPr>
    <w:r>
      <w:fldChar w:fldCharType="begin"/>
    </w:r>
    <w:r>
      <w:instrText xml:space="preserve"> PAGE  \* Arabic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7C1FE" w14:textId="77777777" w:rsidR="00E91991" w:rsidRDefault="00E91991" w:rsidP="00893D2C">
      <w:pPr>
        <w:spacing w:after="0" w:line="240" w:lineRule="auto"/>
      </w:pPr>
      <w:r>
        <w:separator/>
      </w:r>
    </w:p>
  </w:footnote>
  <w:footnote w:type="continuationSeparator" w:id="0">
    <w:p w14:paraId="4E2330BD" w14:textId="77777777" w:rsidR="00E91991" w:rsidRDefault="00E91991" w:rsidP="00893D2C">
      <w:pPr>
        <w:spacing w:after="0" w:line="240" w:lineRule="auto"/>
      </w:pPr>
      <w:r>
        <w:continuationSeparator/>
      </w:r>
    </w:p>
  </w:footnote>
  <w:footnote w:type="continuationNotice" w:id="1">
    <w:p w14:paraId="3B097C86" w14:textId="77777777" w:rsidR="00E91991" w:rsidRDefault="00E9199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D841F" w14:textId="77777777" w:rsidR="00271DA3" w:rsidRDefault="00271DA3">
    <w:pPr>
      <w:pStyle w:val="Topptekst"/>
    </w:pPr>
    <w:r>
      <w:rPr>
        <w:noProof/>
      </w:rPr>
      <w:drawing>
        <wp:anchor distT="0" distB="0" distL="114300" distR="114300" simplePos="0" relativeHeight="251658240" behindDoc="0" locked="0" layoutInCell="1" allowOverlap="1" wp14:anchorId="5EBC5794" wp14:editId="7A78B136">
          <wp:simplePos x="0" y="0"/>
          <wp:positionH relativeFrom="page">
            <wp:posOffset>5544273</wp:posOffset>
          </wp:positionH>
          <wp:positionV relativeFrom="page">
            <wp:posOffset>544010</wp:posOffset>
          </wp:positionV>
          <wp:extent cx="1490345" cy="391795"/>
          <wp:effectExtent l="0" t="0" r="0" b="8255"/>
          <wp:wrapNone/>
          <wp:docPr id="1"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ten_primærlogo_brev_Akademikerne.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90345" cy="39179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A619A" w14:textId="77777777" w:rsidR="003033BA" w:rsidRDefault="003033BA">
    <w:pPr>
      <w:pStyle w:val="Topptekst"/>
      <w:rPr>
        <w:i/>
        <w:iCs/>
      </w:rPr>
    </w:pPr>
  </w:p>
  <w:p w14:paraId="4788EEDB" w14:textId="022B5478" w:rsidR="00271DA3" w:rsidRPr="00A05D21" w:rsidRDefault="00271DA3">
    <w:pPr>
      <w:pStyle w:val="Topptekst"/>
      <w:rPr>
        <w:i/>
        <w:iCs/>
      </w:rPr>
    </w:pPr>
    <w:r w:rsidRPr="00A05D21">
      <w:rPr>
        <w:i/>
        <w:iCs/>
        <w:noProof/>
      </w:rPr>
      <w:drawing>
        <wp:anchor distT="0" distB="0" distL="114300" distR="114300" simplePos="0" relativeHeight="251658241" behindDoc="0" locked="0" layoutInCell="1" allowOverlap="1" wp14:anchorId="03336CC4" wp14:editId="66E05053">
          <wp:simplePos x="0" y="0"/>
          <wp:positionH relativeFrom="page">
            <wp:posOffset>5220970</wp:posOffset>
          </wp:positionH>
          <wp:positionV relativeFrom="page">
            <wp:posOffset>540385</wp:posOffset>
          </wp:positionV>
          <wp:extent cx="1490400" cy="392400"/>
          <wp:effectExtent l="0" t="0" r="0" b="8255"/>
          <wp:wrapNone/>
          <wp:docPr id="2" name="Grafik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ten_primærlogo_brev_Akademikerne.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90400" cy="392400"/>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85C73BE"/>
    <w:lvl w:ilvl="0">
      <w:start w:val="1"/>
      <w:numFmt w:val="decimal"/>
      <w:pStyle w:val="Nummerertliste5"/>
      <w:lvlText w:val="%1."/>
      <w:lvlJc w:val="left"/>
      <w:pPr>
        <w:tabs>
          <w:tab w:val="num" w:pos="1492"/>
        </w:tabs>
        <w:ind w:left="1492" w:hanging="360"/>
      </w:pPr>
    </w:lvl>
  </w:abstractNum>
  <w:abstractNum w:abstractNumId="1" w15:restartNumberingAfterBreak="0">
    <w:nsid w:val="FFFFFF7D"/>
    <w:multiLevelType w:val="hybridMultilevel"/>
    <w:tmpl w:val="3CA016CA"/>
    <w:lvl w:ilvl="0" w:tplc="E63C257C">
      <w:start w:val="1"/>
      <w:numFmt w:val="decimal"/>
      <w:pStyle w:val="Nummerertliste4"/>
      <w:lvlText w:val="%1."/>
      <w:lvlJc w:val="left"/>
      <w:pPr>
        <w:tabs>
          <w:tab w:val="num" w:pos="1209"/>
        </w:tabs>
        <w:ind w:left="1209" w:hanging="360"/>
      </w:pPr>
    </w:lvl>
    <w:lvl w:ilvl="1" w:tplc="5A1424F4">
      <w:numFmt w:val="decimal"/>
      <w:lvlText w:val=""/>
      <w:lvlJc w:val="left"/>
    </w:lvl>
    <w:lvl w:ilvl="2" w:tplc="22CE9CA2">
      <w:numFmt w:val="decimal"/>
      <w:lvlText w:val=""/>
      <w:lvlJc w:val="left"/>
    </w:lvl>
    <w:lvl w:ilvl="3" w:tplc="62CCC900">
      <w:numFmt w:val="decimal"/>
      <w:lvlText w:val=""/>
      <w:lvlJc w:val="left"/>
    </w:lvl>
    <w:lvl w:ilvl="4" w:tplc="B0901490">
      <w:numFmt w:val="decimal"/>
      <w:lvlText w:val=""/>
      <w:lvlJc w:val="left"/>
    </w:lvl>
    <w:lvl w:ilvl="5" w:tplc="346A193A">
      <w:numFmt w:val="decimal"/>
      <w:lvlText w:val=""/>
      <w:lvlJc w:val="left"/>
    </w:lvl>
    <w:lvl w:ilvl="6" w:tplc="34029986">
      <w:numFmt w:val="decimal"/>
      <w:lvlText w:val=""/>
      <w:lvlJc w:val="left"/>
    </w:lvl>
    <w:lvl w:ilvl="7" w:tplc="557494A2">
      <w:numFmt w:val="decimal"/>
      <w:lvlText w:val=""/>
      <w:lvlJc w:val="left"/>
    </w:lvl>
    <w:lvl w:ilvl="8" w:tplc="B84028E2">
      <w:numFmt w:val="decimal"/>
      <w:lvlText w:val=""/>
      <w:lvlJc w:val="left"/>
    </w:lvl>
  </w:abstractNum>
  <w:abstractNum w:abstractNumId="2" w15:restartNumberingAfterBreak="0">
    <w:nsid w:val="FFFFFF7E"/>
    <w:multiLevelType w:val="hybridMultilevel"/>
    <w:tmpl w:val="0FB25F38"/>
    <w:lvl w:ilvl="0" w:tplc="4FDC39B8">
      <w:start w:val="1"/>
      <w:numFmt w:val="decimal"/>
      <w:pStyle w:val="Nummerertliste3"/>
      <w:lvlText w:val="%1."/>
      <w:lvlJc w:val="left"/>
      <w:pPr>
        <w:tabs>
          <w:tab w:val="num" w:pos="926"/>
        </w:tabs>
        <w:ind w:left="926" w:hanging="360"/>
      </w:pPr>
    </w:lvl>
    <w:lvl w:ilvl="1" w:tplc="AA169258">
      <w:numFmt w:val="decimal"/>
      <w:lvlText w:val=""/>
      <w:lvlJc w:val="left"/>
    </w:lvl>
    <w:lvl w:ilvl="2" w:tplc="A7FE4A6C">
      <w:numFmt w:val="decimal"/>
      <w:lvlText w:val=""/>
      <w:lvlJc w:val="left"/>
    </w:lvl>
    <w:lvl w:ilvl="3" w:tplc="68B8E4BA">
      <w:numFmt w:val="decimal"/>
      <w:lvlText w:val=""/>
      <w:lvlJc w:val="left"/>
    </w:lvl>
    <w:lvl w:ilvl="4" w:tplc="73C49A40">
      <w:numFmt w:val="decimal"/>
      <w:lvlText w:val=""/>
      <w:lvlJc w:val="left"/>
    </w:lvl>
    <w:lvl w:ilvl="5" w:tplc="347280FA">
      <w:numFmt w:val="decimal"/>
      <w:lvlText w:val=""/>
      <w:lvlJc w:val="left"/>
    </w:lvl>
    <w:lvl w:ilvl="6" w:tplc="61AA2456">
      <w:numFmt w:val="decimal"/>
      <w:lvlText w:val=""/>
      <w:lvlJc w:val="left"/>
    </w:lvl>
    <w:lvl w:ilvl="7" w:tplc="7D8CC188">
      <w:numFmt w:val="decimal"/>
      <w:lvlText w:val=""/>
      <w:lvlJc w:val="left"/>
    </w:lvl>
    <w:lvl w:ilvl="8" w:tplc="16AE931C">
      <w:numFmt w:val="decimal"/>
      <w:lvlText w:val=""/>
      <w:lvlJc w:val="left"/>
    </w:lvl>
  </w:abstractNum>
  <w:abstractNum w:abstractNumId="3" w15:restartNumberingAfterBreak="0">
    <w:nsid w:val="FFFFFF7F"/>
    <w:multiLevelType w:val="hybridMultilevel"/>
    <w:tmpl w:val="FC7CDA3E"/>
    <w:lvl w:ilvl="0" w:tplc="E580E0EA">
      <w:start w:val="1"/>
      <w:numFmt w:val="decimal"/>
      <w:pStyle w:val="Nummerertliste2"/>
      <w:lvlText w:val="%1."/>
      <w:lvlJc w:val="left"/>
      <w:pPr>
        <w:tabs>
          <w:tab w:val="num" w:pos="643"/>
        </w:tabs>
        <w:ind w:left="643" w:hanging="360"/>
      </w:pPr>
    </w:lvl>
    <w:lvl w:ilvl="1" w:tplc="243207EA">
      <w:numFmt w:val="decimal"/>
      <w:lvlText w:val=""/>
      <w:lvlJc w:val="left"/>
    </w:lvl>
    <w:lvl w:ilvl="2" w:tplc="0D34E7FC">
      <w:numFmt w:val="decimal"/>
      <w:lvlText w:val=""/>
      <w:lvlJc w:val="left"/>
    </w:lvl>
    <w:lvl w:ilvl="3" w:tplc="6CC8D38C">
      <w:numFmt w:val="decimal"/>
      <w:lvlText w:val=""/>
      <w:lvlJc w:val="left"/>
    </w:lvl>
    <w:lvl w:ilvl="4" w:tplc="311E9B78">
      <w:numFmt w:val="decimal"/>
      <w:lvlText w:val=""/>
      <w:lvlJc w:val="left"/>
    </w:lvl>
    <w:lvl w:ilvl="5" w:tplc="D5908828">
      <w:numFmt w:val="decimal"/>
      <w:lvlText w:val=""/>
      <w:lvlJc w:val="left"/>
    </w:lvl>
    <w:lvl w:ilvl="6" w:tplc="E2C681E2">
      <w:numFmt w:val="decimal"/>
      <w:lvlText w:val=""/>
      <w:lvlJc w:val="left"/>
    </w:lvl>
    <w:lvl w:ilvl="7" w:tplc="46CE9CA2">
      <w:numFmt w:val="decimal"/>
      <w:lvlText w:val=""/>
      <w:lvlJc w:val="left"/>
    </w:lvl>
    <w:lvl w:ilvl="8" w:tplc="8CFE7D92">
      <w:numFmt w:val="decimal"/>
      <w:lvlText w:val=""/>
      <w:lvlJc w:val="left"/>
    </w:lvl>
  </w:abstractNum>
  <w:abstractNum w:abstractNumId="4" w15:restartNumberingAfterBreak="0">
    <w:nsid w:val="FFFFFF80"/>
    <w:multiLevelType w:val="singleLevel"/>
    <w:tmpl w:val="6C8A7A82"/>
    <w:lvl w:ilvl="0">
      <w:start w:val="1"/>
      <w:numFmt w:val="bullet"/>
      <w:pStyle w:val="Punktliste5"/>
      <w:lvlText w:val=""/>
      <w:lvlJc w:val="left"/>
      <w:pPr>
        <w:tabs>
          <w:tab w:val="num" w:pos="1492"/>
        </w:tabs>
        <w:ind w:left="1492" w:hanging="360"/>
      </w:pPr>
      <w:rPr>
        <w:rFonts w:ascii="Symbol" w:hAnsi="Symbol" w:hint="default"/>
      </w:rPr>
    </w:lvl>
  </w:abstractNum>
  <w:abstractNum w:abstractNumId="5" w15:restartNumberingAfterBreak="0">
    <w:nsid w:val="FFFFFF81"/>
    <w:multiLevelType w:val="hybridMultilevel"/>
    <w:tmpl w:val="C172CC78"/>
    <w:lvl w:ilvl="0" w:tplc="0EDA1F1A">
      <w:start w:val="1"/>
      <w:numFmt w:val="bullet"/>
      <w:pStyle w:val="Punktliste4"/>
      <w:lvlText w:val=""/>
      <w:lvlJc w:val="left"/>
      <w:pPr>
        <w:tabs>
          <w:tab w:val="num" w:pos="1209"/>
        </w:tabs>
        <w:ind w:left="1209" w:hanging="360"/>
      </w:pPr>
      <w:rPr>
        <w:rFonts w:ascii="Symbol" w:hAnsi="Symbol" w:hint="default"/>
      </w:rPr>
    </w:lvl>
    <w:lvl w:ilvl="1" w:tplc="AAE46BC0">
      <w:numFmt w:val="decimal"/>
      <w:lvlText w:val=""/>
      <w:lvlJc w:val="left"/>
    </w:lvl>
    <w:lvl w:ilvl="2" w:tplc="34E0C532">
      <w:numFmt w:val="decimal"/>
      <w:lvlText w:val=""/>
      <w:lvlJc w:val="left"/>
    </w:lvl>
    <w:lvl w:ilvl="3" w:tplc="CCAEB8EE">
      <w:numFmt w:val="decimal"/>
      <w:lvlText w:val=""/>
      <w:lvlJc w:val="left"/>
    </w:lvl>
    <w:lvl w:ilvl="4" w:tplc="13168F56">
      <w:numFmt w:val="decimal"/>
      <w:lvlText w:val=""/>
      <w:lvlJc w:val="left"/>
    </w:lvl>
    <w:lvl w:ilvl="5" w:tplc="80EEBFEC">
      <w:numFmt w:val="decimal"/>
      <w:lvlText w:val=""/>
      <w:lvlJc w:val="left"/>
    </w:lvl>
    <w:lvl w:ilvl="6" w:tplc="4880DB60">
      <w:numFmt w:val="decimal"/>
      <w:lvlText w:val=""/>
      <w:lvlJc w:val="left"/>
    </w:lvl>
    <w:lvl w:ilvl="7" w:tplc="925A3090">
      <w:numFmt w:val="decimal"/>
      <w:lvlText w:val=""/>
      <w:lvlJc w:val="left"/>
    </w:lvl>
    <w:lvl w:ilvl="8" w:tplc="85BE5604">
      <w:numFmt w:val="decimal"/>
      <w:lvlText w:val=""/>
      <w:lvlJc w:val="left"/>
    </w:lvl>
  </w:abstractNum>
  <w:abstractNum w:abstractNumId="6" w15:restartNumberingAfterBreak="0">
    <w:nsid w:val="FFFFFF82"/>
    <w:multiLevelType w:val="hybridMultilevel"/>
    <w:tmpl w:val="9FBC8D34"/>
    <w:lvl w:ilvl="0" w:tplc="4680F696">
      <w:start w:val="1"/>
      <w:numFmt w:val="bullet"/>
      <w:pStyle w:val="Punktliste3"/>
      <w:lvlText w:val=""/>
      <w:lvlJc w:val="left"/>
      <w:pPr>
        <w:tabs>
          <w:tab w:val="num" w:pos="926"/>
        </w:tabs>
        <w:ind w:left="926" w:hanging="360"/>
      </w:pPr>
      <w:rPr>
        <w:rFonts w:ascii="Symbol" w:hAnsi="Symbol" w:hint="default"/>
      </w:rPr>
    </w:lvl>
    <w:lvl w:ilvl="1" w:tplc="7298D4EE">
      <w:numFmt w:val="decimal"/>
      <w:lvlText w:val=""/>
      <w:lvlJc w:val="left"/>
    </w:lvl>
    <w:lvl w:ilvl="2" w:tplc="33C8E50C">
      <w:numFmt w:val="decimal"/>
      <w:lvlText w:val=""/>
      <w:lvlJc w:val="left"/>
    </w:lvl>
    <w:lvl w:ilvl="3" w:tplc="866E8A00">
      <w:numFmt w:val="decimal"/>
      <w:lvlText w:val=""/>
      <w:lvlJc w:val="left"/>
    </w:lvl>
    <w:lvl w:ilvl="4" w:tplc="C930B394">
      <w:numFmt w:val="decimal"/>
      <w:lvlText w:val=""/>
      <w:lvlJc w:val="left"/>
    </w:lvl>
    <w:lvl w:ilvl="5" w:tplc="ACA6FE62">
      <w:numFmt w:val="decimal"/>
      <w:lvlText w:val=""/>
      <w:lvlJc w:val="left"/>
    </w:lvl>
    <w:lvl w:ilvl="6" w:tplc="AC72264A">
      <w:numFmt w:val="decimal"/>
      <w:lvlText w:val=""/>
      <w:lvlJc w:val="left"/>
    </w:lvl>
    <w:lvl w:ilvl="7" w:tplc="624C7D50">
      <w:numFmt w:val="decimal"/>
      <w:lvlText w:val=""/>
      <w:lvlJc w:val="left"/>
    </w:lvl>
    <w:lvl w:ilvl="8" w:tplc="D19E480E">
      <w:numFmt w:val="decimal"/>
      <w:lvlText w:val=""/>
      <w:lvlJc w:val="left"/>
    </w:lvl>
  </w:abstractNum>
  <w:abstractNum w:abstractNumId="7" w15:restartNumberingAfterBreak="0">
    <w:nsid w:val="FFFFFF83"/>
    <w:multiLevelType w:val="hybridMultilevel"/>
    <w:tmpl w:val="A70862B0"/>
    <w:lvl w:ilvl="0" w:tplc="35D81828">
      <w:start w:val="1"/>
      <w:numFmt w:val="bullet"/>
      <w:pStyle w:val="Punktliste2"/>
      <w:lvlText w:val=""/>
      <w:lvlJc w:val="left"/>
      <w:pPr>
        <w:tabs>
          <w:tab w:val="num" w:pos="643"/>
        </w:tabs>
        <w:ind w:left="643" w:hanging="360"/>
      </w:pPr>
      <w:rPr>
        <w:rFonts w:ascii="Symbol" w:hAnsi="Symbol" w:hint="default"/>
      </w:rPr>
    </w:lvl>
    <w:lvl w:ilvl="1" w:tplc="0C90388E">
      <w:numFmt w:val="decimal"/>
      <w:lvlText w:val=""/>
      <w:lvlJc w:val="left"/>
    </w:lvl>
    <w:lvl w:ilvl="2" w:tplc="0A62A7A2">
      <w:numFmt w:val="decimal"/>
      <w:lvlText w:val=""/>
      <w:lvlJc w:val="left"/>
    </w:lvl>
    <w:lvl w:ilvl="3" w:tplc="95BCF67E">
      <w:numFmt w:val="decimal"/>
      <w:lvlText w:val=""/>
      <w:lvlJc w:val="left"/>
    </w:lvl>
    <w:lvl w:ilvl="4" w:tplc="E612C182">
      <w:numFmt w:val="decimal"/>
      <w:lvlText w:val=""/>
      <w:lvlJc w:val="left"/>
    </w:lvl>
    <w:lvl w:ilvl="5" w:tplc="0A8CD670">
      <w:numFmt w:val="decimal"/>
      <w:lvlText w:val=""/>
      <w:lvlJc w:val="left"/>
    </w:lvl>
    <w:lvl w:ilvl="6" w:tplc="0E50894C">
      <w:numFmt w:val="decimal"/>
      <w:lvlText w:val=""/>
      <w:lvlJc w:val="left"/>
    </w:lvl>
    <w:lvl w:ilvl="7" w:tplc="9148229A">
      <w:numFmt w:val="decimal"/>
      <w:lvlText w:val=""/>
      <w:lvlJc w:val="left"/>
    </w:lvl>
    <w:lvl w:ilvl="8" w:tplc="EF423796">
      <w:numFmt w:val="decimal"/>
      <w:lvlText w:val=""/>
      <w:lvlJc w:val="left"/>
    </w:lvl>
  </w:abstractNum>
  <w:abstractNum w:abstractNumId="8" w15:restartNumberingAfterBreak="0">
    <w:nsid w:val="FFFFFF88"/>
    <w:multiLevelType w:val="singleLevel"/>
    <w:tmpl w:val="177EB1A6"/>
    <w:lvl w:ilvl="0">
      <w:start w:val="1"/>
      <w:numFmt w:val="decimal"/>
      <w:pStyle w:val="Nummerertliste"/>
      <w:lvlText w:val="%1."/>
      <w:lvlJc w:val="left"/>
      <w:pPr>
        <w:tabs>
          <w:tab w:val="num" w:pos="360"/>
        </w:tabs>
        <w:ind w:left="360" w:hanging="360"/>
      </w:pPr>
    </w:lvl>
  </w:abstractNum>
  <w:abstractNum w:abstractNumId="9" w15:restartNumberingAfterBreak="0">
    <w:nsid w:val="FFFFFF89"/>
    <w:multiLevelType w:val="singleLevel"/>
    <w:tmpl w:val="2C7E3FE4"/>
    <w:lvl w:ilvl="0">
      <w:start w:val="1"/>
      <w:numFmt w:val="bullet"/>
      <w:pStyle w:val="Punktliste"/>
      <w:lvlText w:val="­"/>
      <w:lvlJc w:val="left"/>
      <w:pPr>
        <w:ind w:left="360" w:hanging="360"/>
      </w:pPr>
      <w:rPr>
        <w:rFonts w:ascii="Arial" w:hAnsi="Arial" w:hint="default"/>
      </w:rPr>
    </w:lvl>
  </w:abstractNum>
  <w:abstractNum w:abstractNumId="10" w15:restartNumberingAfterBreak="0">
    <w:nsid w:val="00000010"/>
    <w:multiLevelType w:val="hybridMultilevel"/>
    <w:tmpl w:val="1EE49A3A"/>
    <w:lvl w:ilvl="0" w:tplc="852A125E">
      <w:start w:val="1"/>
      <w:numFmt w:val="bullet"/>
      <w:pStyle w:val="Kulepunkter"/>
      <w:lvlText w:val=""/>
      <w:lvlJc w:val="left"/>
      <w:pPr>
        <w:tabs>
          <w:tab w:val="num" w:pos="0"/>
        </w:tabs>
        <w:ind w:left="720" w:hanging="360"/>
      </w:pPr>
      <w:rPr>
        <w:rFonts w:ascii="Symbol" w:hAnsi="Symbol"/>
        <w:color w:val="808080" w:themeColor="background1" w:themeShade="80"/>
      </w:rPr>
    </w:lvl>
    <w:lvl w:ilvl="1" w:tplc="28083962">
      <w:numFmt w:val="decimal"/>
      <w:lvlText w:val=""/>
      <w:lvlJc w:val="left"/>
    </w:lvl>
    <w:lvl w:ilvl="2" w:tplc="F2368640">
      <w:numFmt w:val="decimal"/>
      <w:lvlText w:val=""/>
      <w:lvlJc w:val="left"/>
    </w:lvl>
    <w:lvl w:ilvl="3" w:tplc="A9329612">
      <w:numFmt w:val="decimal"/>
      <w:lvlText w:val=""/>
      <w:lvlJc w:val="left"/>
    </w:lvl>
    <w:lvl w:ilvl="4" w:tplc="ACD034AA">
      <w:numFmt w:val="decimal"/>
      <w:lvlText w:val=""/>
      <w:lvlJc w:val="left"/>
    </w:lvl>
    <w:lvl w:ilvl="5" w:tplc="CE9A7E98">
      <w:numFmt w:val="decimal"/>
      <w:lvlText w:val=""/>
      <w:lvlJc w:val="left"/>
    </w:lvl>
    <w:lvl w:ilvl="6" w:tplc="34A4CFAE">
      <w:numFmt w:val="decimal"/>
      <w:lvlText w:val=""/>
      <w:lvlJc w:val="left"/>
    </w:lvl>
    <w:lvl w:ilvl="7" w:tplc="05525A6A">
      <w:numFmt w:val="decimal"/>
      <w:lvlText w:val=""/>
      <w:lvlJc w:val="left"/>
    </w:lvl>
    <w:lvl w:ilvl="8" w:tplc="0D40D318">
      <w:numFmt w:val="decimal"/>
      <w:lvlText w:val=""/>
      <w:lvlJc w:val="left"/>
    </w:lvl>
  </w:abstractNum>
  <w:abstractNum w:abstractNumId="11" w15:restartNumberingAfterBreak="0">
    <w:nsid w:val="07AD3410"/>
    <w:multiLevelType w:val="hybridMultilevel"/>
    <w:tmpl w:val="EE5023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0E5D40BC"/>
    <w:multiLevelType w:val="hybridMultilevel"/>
    <w:tmpl w:val="0414001D"/>
    <w:styleLink w:val="1ai"/>
    <w:lvl w:ilvl="0" w:tplc="4AE83A20">
      <w:start w:val="1"/>
      <w:numFmt w:val="decimal"/>
      <w:lvlText w:val="%1)"/>
      <w:lvlJc w:val="left"/>
      <w:pPr>
        <w:ind w:left="360" w:hanging="360"/>
      </w:pPr>
    </w:lvl>
    <w:lvl w:ilvl="1" w:tplc="36B075E6">
      <w:start w:val="1"/>
      <w:numFmt w:val="lowerLetter"/>
      <w:lvlText w:val="%2)"/>
      <w:lvlJc w:val="left"/>
      <w:pPr>
        <w:ind w:left="720" w:hanging="360"/>
      </w:pPr>
    </w:lvl>
    <w:lvl w:ilvl="2" w:tplc="88F6EA00">
      <w:start w:val="1"/>
      <w:numFmt w:val="lowerRoman"/>
      <w:lvlText w:val="%3)"/>
      <w:lvlJc w:val="left"/>
      <w:pPr>
        <w:ind w:left="1080" w:hanging="360"/>
      </w:pPr>
    </w:lvl>
    <w:lvl w:ilvl="3" w:tplc="82A0CE4E">
      <w:start w:val="1"/>
      <w:numFmt w:val="decimal"/>
      <w:lvlText w:val="(%4)"/>
      <w:lvlJc w:val="left"/>
      <w:pPr>
        <w:ind w:left="1440" w:hanging="360"/>
      </w:pPr>
    </w:lvl>
    <w:lvl w:ilvl="4" w:tplc="2CFE6EEE">
      <w:start w:val="1"/>
      <w:numFmt w:val="lowerLetter"/>
      <w:lvlText w:val="(%5)"/>
      <w:lvlJc w:val="left"/>
      <w:pPr>
        <w:ind w:left="1800" w:hanging="360"/>
      </w:pPr>
    </w:lvl>
    <w:lvl w:ilvl="5" w:tplc="3BE67B28">
      <w:start w:val="1"/>
      <w:numFmt w:val="lowerRoman"/>
      <w:lvlText w:val="(%6)"/>
      <w:lvlJc w:val="left"/>
      <w:pPr>
        <w:ind w:left="2160" w:hanging="360"/>
      </w:pPr>
    </w:lvl>
    <w:lvl w:ilvl="6" w:tplc="54EC3870">
      <w:start w:val="1"/>
      <w:numFmt w:val="decimal"/>
      <w:lvlText w:val="%7."/>
      <w:lvlJc w:val="left"/>
      <w:pPr>
        <w:ind w:left="2520" w:hanging="360"/>
      </w:pPr>
    </w:lvl>
    <w:lvl w:ilvl="7" w:tplc="97B6BCC6">
      <w:start w:val="1"/>
      <w:numFmt w:val="lowerLetter"/>
      <w:lvlText w:val="%8."/>
      <w:lvlJc w:val="left"/>
      <w:pPr>
        <w:ind w:left="2880" w:hanging="360"/>
      </w:pPr>
    </w:lvl>
    <w:lvl w:ilvl="8" w:tplc="AF1414D4">
      <w:start w:val="1"/>
      <w:numFmt w:val="lowerRoman"/>
      <w:lvlText w:val="%9."/>
      <w:lvlJc w:val="left"/>
      <w:pPr>
        <w:ind w:left="3240" w:hanging="360"/>
      </w:pPr>
    </w:lvl>
  </w:abstractNum>
  <w:abstractNum w:abstractNumId="13" w15:restartNumberingAfterBreak="0">
    <w:nsid w:val="15EA6CD1"/>
    <w:multiLevelType w:val="hybridMultilevel"/>
    <w:tmpl w:val="D9CE4722"/>
    <w:lvl w:ilvl="0" w:tplc="578AE45C">
      <w:start w:val="1"/>
      <w:numFmt w:val="bullet"/>
      <w:lvlText w:val="•"/>
      <w:lvlJc w:val="left"/>
      <w:pPr>
        <w:tabs>
          <w:tab w:val="num" w:pos="720"/>
        </w:tabs>
        <w:ind w:left="720" w:hanging="360"/>
      </w:pPr>
      <w:rPr>
        <w:rFonts w:ascii="Arial" w:hAnsi="Arial" w:hint="default"/>
      </w:rPr>
    </w:lvl>
    <w:lvl w:ilvl="1" w:tplc="61B00D12" w:tentative="1">
      <w:start w:val="1"/>
      <w:numFmt w:val="bullet"/>
      <w:lvlText w:val="•"/>
      <w:lvlJc w:val="left"/>
      <w:pPr>
        <w:tabs>
          <w:tab w:val="num" w:pos="1440"/>
        </w:tabs>
        <w:ind w:left="1440" w:hanging="360"/>
      </w:pPr>
      <w:rPr>
        <w:rFonts w:ascii="Arial" w:hAnsi="Arial" w:hint="default"/>
      </w:rPr>
    </w:lvl>
    <w:lvl w:ilvl="2" w:tplc="AAEA52D4" w:tentative="1">
      <w:start w:val="1"/>
      <w:numFmt w:val="bullet"/>
      <w:lvlText w:val="•"/>
      <w:lvlJc w:val="left"/>
      <w:pPr>
        <w:tabs>
          <w:tab w:val="num" w:pos="2160"/>
        </w:tabs>
        <w:ind w:left="2160" w:hanging="360"/>
      </w:pPr>
      <w:rPr>
        <w:rFonts w:ascii="Arial" w:hAnsi="Arial" w:hint="default"/>
      </w:rPr>
    </w:lvl>
    <w:lvl w:ilvl="3" w:tplc="17706E70" w:tentative="1">
      <w:start w:val="1"/>
      <w:numFmt w:val="bullet"/>
      <w:lvlText w:val="•"/>
      <w:lvlJc w:val="left"/>
      <w:pPr>
        <w:tabs>
          <w:tab w:val="num" w:pos="2880"/>
        </w:tabs>
        <w:ind w:left="2880" w:hanging="360"/>
      </w:pPr>
      <w:rPr>
        <w:rFonts w:ascii="Arial" w:hAnsi="Arial" w:hint="default"/>
      </w:rPr>
    </w:lvl>
    <w:lvl w:ilvl="4" w:tplc="3E7C9624" w:tentative="1">
      <w:start w:val="1"/>
      <w:numFmt w:val="bullet"/>
      <w:lvlText w:val="•"/>
      <w:lvlJc w:val="left"/>
      <w:pPr>
        <w:tabs>
          <w:tab w:val="num" w:pos="3600"/>
        </w:tabs>
        <w:ind w:left="3600" w:hanging="360"/>
      </w:pPr>
      <w:rPr>
        <w:rFonts w:ascii="Arial" w:hAnsi="Arial" w:hint="default"/>
      </w:rPr>
    </w:lvl>
    <w:lvl w:ilvl="5" w:tplc="6F406650" w:tentative="1">
      <w:start w:val="1"/>
      <w:numFmt w:val="bullet"/>
      <w:lvlText w:val="•"/>
      <w:lvlJc w:val="left"/>
      <w:pPr>
        <w:tabs>
          <w:tab w:val="num" w:pos="4320"/>
        </w:tabs>
        <w:ind w:left="4320" w:hanging="360"/>
      </w:pPr>
      <w:rPr>
        <w:rFonts w:ascii="Arial" w:hAnsi="Arial" w:hint="default"/>
      </w:rPr>
    </w:lvl>
    <w:lvl w:ilvl="6" w:tplc="842E60AE" w:tentative="1">
      <w:start w:val="1"/>
      <w:numFmt w:val="bullet"/>
      <w:lvlText w:val="•"/>
      <w:lvlJc w:val="left"/>
      <w:pPr>
        <w:tabs>
          <w:tab w:val="num" w:pos="5040"/>
        </w:tabs>
        <w:ind w:left="5040" w:hanging="360"/>
      </w:pPr>
      <w:rPr>
        <w:rFonts w:ascii="Arial" w:hAnsi="Arial" w:hint="default"/>
      </w:rPr>
    </w:lvl>
    <w:lvl w:ilvl="7" w:tplc="7A800992" w:tentative="1">
      <w:start w:val="1"/>
      <w:numFmt w:val="bullet"/>
      <w:lvlText w:val="•"/>
      <w:lvlJc w:val="left"/>
      <w:pPr>
        <w:tabs>
          <w:tab w:val="num" w:pos="5760"/>
        </w:tabs>
        <w:ind w:left="5760" w:hanging="360"/>
      </w:pPr>
      <w:rPr>
        <w:rFonts w:ascii="Arial" w:hAnsi="Arial" w:hint="default"/>
      </w:rPr>
    </w:lvl>
    <w:lvl w:ilvl="8" w:tplc="9BAA411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8C73B9C"/>
    <w:multiLevelType w:val="hybridMultilevel"/>
    <w:tmpl w:val="0C7AFD0E"/>
    <w:lvl w:ilvl="0" w:tplc="273222F6">
      <w:numFmt w:val="bullet"/>
      <w:lvlText w:val="-"/>
      <w:lvlJc w:val="left"/>
      <w:pPr>
        <w:ind w:left="2880" w:hanging="2160"/>
      </w:pPr>
      <w:rPr>
        <w:rFonts w:ascii="Times New Roman" w:eastAsiaTheme="minorHAnsi" w:hAnsi="Times New Roman" w:cs="Times New Roman"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5" w15:restartNumberingAfterBreak="0">
    <w:nsid w:val="1DC83E8A"/>
    <w:multiLevelType w:val="multilevel"/>
    <w:tmpl w:val="EEEA0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3327211"/>
    <w:multiLevelType w:val="hybridMultilevel"/>
    <w:tmpl w:val="8F8436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24F86E54"/>
    <w:multiLevelType w:val="multilevel"/>
    <w:tmpl w:val="76F8629A"/>
    <w:styleLink w:val="Artikkelavsnitt"/>
    <w:lvl w:ilvl="0">
      <w:start w:val="1"/>
      <w:numFmt w:val="upperRoman"/>
      <w:lvlText w:val="Artikkel %1."/>
      <w:lvlJc w:val="left"/>
      <w:pPr>
        <w:ind w:left="0" w:firstLine="0"/>
      </w:pPr>
    </w:lvl>
    <w:lvl w:ilvl="1">
      <w:start w:val="1"/>
      <w:numFmt w:val="decimal"/>
      <w:lvlText w:val="Inndeling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2ADE3F60"/>
    <w:multiLevelType w:val="hybridMultilevel"/>
    <w:tmpl w:val="FDE869A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2E110E48"/>
    <w:multiLevelType w:val="multilevel"/>
    <w:tmpl w:val="14EAD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F242F7D"/>
    <w:multiLevelType w:val="hybridMultilevel"/>
    <w:tmpl w:val="B4D0307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15:restartNumberingAfterBreak="0">
    <w:nsid w:val="348878F6"/>
    <w:multiLevelType w:val="multilevel"/>
    <w:tmpl w:val="6EA2C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7266AB9"/>
    <w:multiLevelType w:val="hybridMultilevel"/>
    <w:tmpl w:val="01FC667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399D7704"/>
    <w:multiLevelType w:val="hybridMultilevel"/>
    <w:tmpl w:val="1DE089D4"/>
    <w:lvl w:ilvl="0" w:tplc="02027886">
      <w:start w:val="1"/>
      <w:numFmt w:val="bullet"/>
      <w:lvlText w:val=""/>
      <w:lvlJc w:val="left"/>
      <w:pPr>
        <w:ind w:left="720" w:hanging="360"/>
      </w:pPr>
      <w:rPr>
        <w:rFonts w:ascii="Symbol" w:hAnsi="Symbol" w:hint="default"/>
        <w:color w:val="auto"/>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3ABE4A79"/>
    <w:multiLevelType w:val="multilevel"/>
    <w:tmpl w:val="8CFAF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BF13A70"/>
    <w:multiLevelType w:val="hybridMultilevel"/>
    <w:tmpl w:val="9998D7E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40B35D3E"/>
    <w:multiLevelType w:val="multilevel"/>
    <w:tmpl w:val="BCACA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5B5726C"/>
    <w:multiLevelType w:val="hybridMultilevel"/>
    <w:tmpl w:val="C85ACF4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4C4C4F0B"/>
    <w:multiLevelType w:val="multilevel"/>
    <w:tmpl w:val="B48020CC"/>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E87646A"/>
    <w:multiLevelType w:val="multilevel"/>
    <w:tmpl w:val="203E3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6346065"/>
    <w:multiLevelType w:val="hybridMultilevel"/>
    <w:tmpl w:val="FD96F502"/>
    <w:lvl w:ilvl="0" w:tplc="02027886">
      <w:start w:val="1"/>
      <w:numFmt w:val="bullet"/>
      <w:lvlText w:val=""/>
      <w:lvlJc w:val="left"/>
      <w:pPr>
        <w:ind w:left="720" w:hanging="360"/>
      </w:pPr>
      <w:rPr>
        <w:rFonts w:ascii="Symbol" w:hAnsi="Symbol" w:hint="default"/>
        <w:color w:val="auto"/>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56373970"/>
    <w:multiLevelType w:val="hybridMultilevel"/>
    <w:tmpl w:val="9856C30C"/>
    <w:lvl w:ilvl="0" w:tplc="24505DA8">
      <w:start w:val="1"/>
      <w:numFmt w:val="decimal"/>
      <w:lvlText w:val="%1."/>
      <w:lvlJc w:val="left"/>
      <w:pPr>
        <w:ind w:left="1020" w:hanging="360"/>
      </w:pPr>
    </w:lvl>
    <w:lvl w:ilvl="1" w:tplc="503ED66E">
      <w:start w:val="1"/>
      <w:numFmt w:val="decimal"/>
      <w:lvlText w:val="%2."/>
      <w:lvlJc w:val="left"/>
      <w:pPr>
        <w:ind w:left="1020" w:hanging="360"/>
      </w:pPr>
    </w:lvl>
    <w:lvl w:ilvl="2" w:tplc="D8F0173E">
      <w:start w:val="1"/>
      <w:numFmt w:val="decimal"/>
      <w:lvlText w:val="%3."/>
      <w:lvlJc w:val="left"/>
      <w:pPr>
        <w:ind w:left="1020" w:hanging="360"/>
      </w:pPr>
    </w:lvl>
    <w:lvl w:ilvl="3" w:tplc="21BC6C4E">
      <w:start w:val="1"/>
      <w:numFmt w:val="decimal"/>
      <w:lvlText w:val="%4."/>
      <w:lvlJc w:val="left"/>
      <w:pPr>
        <w:ind w:left="1020" w:hanging="360"/>
      </w:pPr>
    </w:lvl>
    <w:lvl w:ilvl="4" w:tplc="819A60CC">
      <w:start w:val="1"/>
      <w:numFmt w:val="decimal"/>
      <w:lvlText w:val="%5."/>
      <w:lvlJc w:val="left"/>
      <w:pPr>
        <w:ind w:left="1020" w:hanging="360"/>
      </w:pPr>
    </w:lvl>
    <w:lvl w:ilvl="5" w:tplc="DF0A1490">
      <w:start w:val="1"/>
      <w:numFmt w:val="decimal"/>
      <w:lvlText w:val="%6."/>
      <w:lvlJc w:val="left"/>
      <w:pPr>
        <w:ind w:left="1020" w:hanging="360"/>
      </w:pPr>
    </w:lvl>
    <w:lvl w:ilvl="6" w:tplc="5C0C9FCA">
      <w:start w:val="1"/>
      <w:numFmt w:val="decimal"/>
      <w:lvlText w:val="%7."/>
      <w:lvlJc w:val="left"/>
      <w:pPr>
        <w:ind w:left="1020" w:hanging="360"/>
      </w:pPr>
    </w:lvl>
    <w:lvl w:ilvl="7" w:tplc="A14436C0">
      <w:start w:val="1"/>
      <w:numFmt w:val="decimal"/>
      <w:lvlText w:val="%8."/>
      <w:lvlJc w:val="left"/>
      <w:pPr>
        <w:ind w:left="1020" w:hanging="360"/>
      </w:pPr>
    </w:lvl>
    <w:lvl w:ilvl="8" w:tplc="E77E6A5C">
      <w:start w:val="1"/>
      <w:numFmt w:val="decimal"/>
      <w:lvlText w:val="%9."/>
      <w:lvlJc w:val="left"/>
      <w:pPr>
        <w:ind w:left="1020" w:hanging="360"/>
      </w:pPr>
    </w:lvl>
  </w:abstractNum>
  <w:abstractNum w:abstractNumId="32" w15:restartNumberingAfterBreak="0">
    <w:nsid w:val="57884C0F"/>
    <w:multiLevelType w:val="multilevel"/>
    <w:tmpl w:val="5E6A5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CFB4654"/>
    <w:multiLevelType w:val="hybridMultilevel"/>
    <w:tmpl w:val="AF060456"/>
    <w:lvl w:ilvl="0" w:tplc="9684B53E">
      <w:start w:val="1"/>
      <w:numFmt w:val="bullet"/>
      <w:lvlText w:val="•"/>
      <w:lvlJc w:val="left"/>
      <w:pPr>
        <w:tabs>
          <w:tab w:val="num" w:pos="720"/>
        </w:tabs>
        <w:ind w:left="720" w:hanging="360"/>
      </w:pPr>
      <w:rPr>
        <w:rFonts w:ascii="Arial" w:hAnsi="Arial" w:hint="default"/>
      </w:rPr>
    </w:lvl>
    <w:lvl w:ilvl="1" w:tplc="855A4856" w:tentative="1">
      <w:start w:val="1"/>
      <w:numFmt w:val="bullet"/>
      <w:lvlText w:val="•"/>
      <w:lvlJc w:val="left"/>
      <w:pPr>
        <w:tabs>
          <w:tab w:val="num" w:pos="1440"/>
        </w:tabs>
        <w:ind w:left="1440" w:hanging="360"/>
      </w:pPr>
      <w:rPr>
        <w:rFonts w:ascii="Arial" w:hAnsi="Arial" w:hint="default"/>
      </w:rPr>
    </w:lvl>
    <w:lvl w:ilvl="2" w:tplc="748EFC1E" w:tentative="1">
      <w:start w:val="1"/>
      <w:numFmt w:val="bullet"/>
      <w:lvlText w:val="•"/>
      <w:lvlJc w:val="left"/>
      <w:pPr>
        <w:tabs>
          <w:tab w:val="num" w:pos="2160"/>
        </w:tabs>
        <w:ind w:left="2160" w:hanging="360"/>
      </w:pPr>
      <w:rPr>
        <w:rFonts w:ascii="Arial" w:hAnsi="Arial" w:hint="default"/>
      </w:rPr>
    </w:lvl>
    <w:lvl w:ilvl="3" w:tplc="C1D213D2" w:tentative="1">
      <w:start w:val="1"/>
      <w:numFmt w:val="bullet"/>
      <w:lvlText w:val="•"/>
      <w:lvlJc w:val="left"/>
      <w:pPr>
        <w:tabs>
          <w:tab w:val="num" w:pos="2880"/>
        </w:tabs>
        <w:ind w:left="2880" w:hanging="360"/>
      </w:pPr>
      <w:rPr>
        <w:rFonts w:ascii="Arial" w:hAnsi="Arial" w:hint="default"/>
      </w:rPr>
    </w:lvl>
    <w:lvl w:ilvl="4" w:tplc="D2861DB8" w:tentative="1">
      <w:start w:val="1"/>
      <w:numFmt w:val="bullet"/>
      <w:lvlText w:val="•"/>
      <w:lvlJc w:val="left"/>
      <w:pPr>
        <w:tabs>
          <w:tab w:val="num" w:pos="3600"/>
        </w:tabs>
        <w:ind w:left="3600" w:hanging="360"/>
      </w:pPr>
      <w:rPr>
        <w:rFonts w:ascii="Arial" w:hAnsi="Arial" w:hint="default"/>
      </w:rPr>
    </w:lvl>
    <w:lvl w:ilvl="5" w:tplc="77D8F706" w:tentative="1">
      <w:start w:val="1"/>
      <w:numFmt w:val="bullet"/>
      <w:lvlText w:val="•"/>
      <w:lvlJc w:val="left"/>
      <w:pPr>
        <w:tabs>
          <w:tab w:val="num" w:pos="4320"/>
        </w:tabs>
        <w:ind w:left="4320" w:hanging="360"/>
      </w:pPr>
      <w:rPr>
        <w:rFonts w:ascii="Arial" w:hAnsi="Arial" w:hint="default"/>
      </w:rPr>
    </w:lvl>
    <w:lvl w:ilvl="6" w:tplc="4DF62C70" w:tentative="1">
      <w:start w:val="1"/>
      <w:numFmt w:val="bullet"/>
      <w:lvlText w:val="•"/>
      <w:lvlJc w:val="left"/>
      <w:pPr>
        <w:tabs>
          <w:tab w:val="num" w:pos="5040"/>
        </w:tabs>
        <w:ind w:left="5040" w:hanging="360"/>
      </w:pPr>
      <w:rPr>
        <w:rFonts w:ascii="Arial" w:hAnsi="Arial" w:hint="default"/>
      </w:rPr>
    </w:lvl>
    <w:lvl w:ilvl="7" w:tplc="2E7A8EBA" w:tentative="1">
      <w:start w:val="1"/>
      <w:numFmt w:val="bullet"/>
      <w:lvlText w:val="•"/>
      <w:lvlJc w:val="left"/>
      <w:pPr>
        <w:tabs>
          <w:tab w:val="num" w:pos="5760"/>
        </w:tabs>
        <w:ind w:left="5760" w:hanging="360"/>
      </w:pPr>
      <w:rPr>
        <w:rFonts w:ascii="Arial" w:hAnsi="Arial" w:hint="default"/>
      </w:rPr>
    </w:lvl>
    <w:lvl w:ilvl="8" w:tplc="2062A8CC"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5DD86785"/>
    <w:multiLevelType w:val="hybridMultilevel"/>
    <w:tmpl w:val="6AF844CA"/>
    <w:lvl w:ilvl="0" w:tplc="BE206A0A">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5" w15:restartNumberingAfterBreak="0">
    <w:nsid w:val="608344C5"/>
    <w:multiLevelType w:val="hybridMultilevel"/>
    <w:tmpl w:val="E23488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6" w15:restartNumberingAfterBreak="0">
    <w:nsid w:val="61F65DFA"/>
    <w:multiLevelType w:val="hybridMultilevel"/>
    <w:tmpl w:val="129A0EB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15:restartNumberingAfterBreak="0">
    <w:nsid w:val="69121AEC"/>
    <w:multiLevelType w:val="hybridMultilevel"/>
    <w:tmpl w:val="BF326F7A"/>
    <w:lvl w:ilvl="0" w:tplc="273222F6">
      <w:numFmt w:val="bullet"/>
      <w:lvlText w:val="-"/>
      <w:lvlJc w:val="left"/>
      <w:pPr>
        <w:ind w:left="2520" w:hanging="21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6D4A75F7"/>
    <w:multiLevelType w:val="hybridMultilevel"/>
    <w:tmpl w:val="BC8265E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9" w15:restartNumberingAfterBreak="0">
    <w:nsid w:val="732A6DDE"/>
    <w:multiLevelType w:val="multilevel"/>
    <w:tmpl w:val="3B9649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4645E45"/>
    <w:multiLevelType w:val="hybridMultilevel"/>
    <w:tmpl w:val="B2367264"/>
    <w:lvl w:ilvl="0" w:tplc="C06C6684">
      <w:start w:val="1"/>
      <w:numFmt w:val="decimal"/>
      <w:lvlText w:val="%1."/>
      <w:lvlJc w:val="left"/>
      <w:pPr>
        <w:tabs>
          <w:tab w:val="num" w:pos="720"/>
        </w:tabs>
        <w:ind w:left="720" w:hanging="360"/>
      </w:pPr>
    </w:lvl>
    <w:lvl w:ilvl="1" w:tplc="6AE2D960" w:tentative="1">
      <w:start w:val="1"/>
      <w:numFmt w:val="decimal"/>
      <w:lvlText w:val="%2."/>
      <w:lvlJc w:val="left"/>
      <w:pPr>
        <w:tabs>
          <w:tab w:val="num" w:pos="1440"/>
        </w:tabs>
        <w:ind w:left="1440" w:hanging="360"/>
      </w:pPr>
    </w:lvl>
    <w:lvl w:ilvl="2" w:tplc="DECA7548" w:tentative="1">
      <w:start w:val="1"/>
      <w:numFmt w:val="decimal"/>
      <w:lvlText w:val="%3."/>
      <w:lvlJc w:val="left"/>
      <w:pPr>
        <w:tabs>
          <w:tab w:val="num" w:pos="2160"/>
        </w:tabs>
        <w:ind w:left="2160" w:hanging="360"/>
      </w:pPr>
    </w:lvl>
    <w:lvl w:ilvl="3" w:tplc="AFB8BF12" w:tentative="1">
      <w:start w:val="1"/>
      <w:numFmt w:val="decimal"/>
      <w:lvlText w:val="%4."/>
      <w:lvlJc w:val="left"/>
      <w:pPr>
        <w:tabs>
          <w:tab w:val="num" w:pos="2880"/>
        </w:tabs>
        <w:ind w:left="2880" w:hanging="360"/>
      </w:pPr>
    </w:lvl>
    <w:lvl w:ilvl="4" w:tplc="A300C106" w:tentative="1">
      <w:start w:val="1"/>
      <w:numFmt w:val="decimal"/>
      <w:lvlText w:val="%5."/>
      <w:lvlJc w:val="left"/>
      <w:pPr>
        <w:tabs>
          <w:tab w:val="num" w:pos="3600"/>
        </w:tabs>
        <w:ind w:left="3600" w:hanging="360"/>
      </w:pPr>
    </w:lvl>
    <w:lvl w:ilvl="5" w:tplc="B78019A8" w:tentative="1">
      <w:start w:val="1"/>
      <w:numFmt w:val="decimal"/>
      <w:lvlText w:val="%6."/>
      <w:lvlJc w:val="left"/>
      <w:pPr>
        <w:tabs>
          <w:tab w:val="num" w:pos="4320"/>
        </w:tabs>
        <w:ind w:left="4320" w:hanging="360"/>
      </w:pPr>
    </w:lvl>
    <w:lvl w:ilvl="6" w:tplc="BB5EB64E" w:tentative="1">
      <w:start w:val="1"/>
      <w:numFmt w:val="decimal"/>
      <w:lvlText w:val="%7."/>
      <w:lvlJc w:val="left"/>
      <w:pPr>
        <w:tabs>
          <w:tab w:val="num" w:pos="5040"/>
        </w:tabs>
        <w:ind w:left="5040" w:hanging="360"/>
      </w:pPr>
    </w:lvl>
    <w:lvl w:ilvl="7" w:tplc="720E0F16" w:tentative="1">
      <w:start w:val="1"/>
      <w:numFmt w:val="decimal"/>
      <w:lvlText w:val="%8."/>
      <w:lvlJc w:val="left"/>
      <w:pPr>
        <w:tabs>
          <w:tab w:val="num" w:pos="5760"/>
        </w:tabs>
        <w:ind w:left="5760" w:hanging="360"/>
      </w:pPr>
    </w:lvl>
    <w:lvl w:ilvl="8" w:tplc="1AB4BA4A" w:tentative="1">
      <w:start w:val="1"/>
      <w:numFmt w:val="decimal"/>
      <w:lvlText w:val="%9."/>
      <w:lvlJc w:val="left"/>
      <w:pPr>
        <w:tabs>
          <w:tab w:val="num" w:pos="6480"/>
        </w:tabs>
        <w:ind w:left="6480" w:hanging="360"/>
      </w:pPr>
    </w:lvl>
  </w:abstractNum>
  <w:abstractNum w:abstractNumId="41" w15:restartNumberingAfterBreak="0">
    <w:nsid w:val="75503D26"/>
    <w:multiLevelType w:val="hybridMultilevel"/>
    <w:tmpl w:val="2C30AEC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2" w15:restartNumberingAfterBreak="0">
    <w:nsid w:val="761D0F3D"/>
    <w:multiLevelType w:val="hybridMultilevel"/>
    <w:tmpl w:val="F138A85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3" w15:restartNumberingAfterBreak="0">
    <w:nsid w:val="79410E2C"/>
    <w:multiLevelType w:val="multilevel"/>
    <w:tmpl w:val="D7489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C841B54"/>
    <w:multiLevelType w:val="multilevel"/>
    <w:tmpl w:val="1480C04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EAE2599"/>
    <w:multiLevelType w:val="hybridMultilevel"/>
    <w:tmpl w:val="8F74FA1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598025055">
    <w:abstractNumId w:val="28"/>
  </w:num>
  <w:num w:numId="2" w16cid:durableId="1737317348">
    <w:abstractNumId w:val="12"/>
  </w:num>
  <w:num w:numId="3" w16cid:durableId="576745164">
    <w:abstractNumId w:val="17"/>
  </w:num>
  <w:num w:numId="4" w16cid:durableId="1525631881">
    <w:abstractNumId w:val="8"/>
  </w:num>
  <w:num w:numId="5" w16cid:durableId="1316029660">
    <w:abstractNumId w:val="3"/>
  </w:num>
  <w:num w:numId="6" w16cid:durableId="755516871">
    <w:abstractNumId w:val="2"/>
  </w:num>
  <w:num w:numId="7" w16cid:durableId="709914403">
    <w:abstractNumId w:val="1"/>
  </w:num>
  <w:num w:numId="8" w16cid:durableId="1366298311">
    <w:abstractNumId w:val="0"/>
  </w:num>
  <w:num w:numId="9" w16cid:durableId="425230244">
    <w:abstractNumId w:val="9"/>
  </w:num>
  <w:num w:numId="10" w16cid:durableId="864094533">
    <w:abstractNumId w:val="7"/>
  </w:num>
  <w:num w:numId="11" w16cid:durableId="2034383327">
    <w:abstractNumId w:val="6"/>
  </w:num>
  <w:num w:numId="12" w16cid:durableId="336155816">
    <w:abstractNumId w:val="5"/>
  </w:num>
  <w:num w:numId="13" w16cid:durableId="1327516259">
    <w:abstractNumId w:val="4"/>
  </w:num>
  <w:num w:numId="14" w16cid:durableId="252983035">
    <w:abstractNumId w:val="10"/>
  </w:num>
  <w:num w:numId="15" w16cid:durableId="674307969">
    <w:abstractNumId w:val="30"/>
  </w:num>
  <w:num w:numId="16" w16cid:durableId="1934431154">
    <w:abstractNumId w:val="23"/>
  </w:num>
  <w:num w:numId="17" w16cid:durableId="411701542">
    <w:abstractNumId w:val="25"/>
  </w:num>
  <w:num w:numId="18" w16cid:durableId="20666888">
    <w:abstractNumId w:val="45"/>
  </w:num>
  <w:num w:numId="19" w16cid:durableId="2037658016">
    <w:abstractNumId w:val="41"/>
  </w:num>
  <w:num w:numId="20" w16cid:durableId="1439983672">
    <w:abstractNumId w:val="11"/>
  </w:num>
  <w:num w:numId="21" w16cid:durableId="2127238026">
    <w:abstractNumId w:val="16"/>
  </w:num>
  <w:num w:numId="22" w16cid:durableId="965159478">
    <w:abstractNumId w:val="44"/>
  </w:num>
  <w:num w:numId="23" w16cid:durableId="568806036">
    <w:abstractNumId w:val="34"/>
  </w:num>
  <w:num w:numId="24" w16cid:durableId="1111700694">
    <w:abstractNumId w:val="27"/>
  </w:num>
  <w:num w:numId="25" w16cid:durableId="1053037940">
    <w:abstractNumId w:val="38"/>
  </w:num>
  <w:num w:numId="26" w16cid:durableId="754479177">
    <w:abstractNumId w:val="42"/>
  </w:num>
  <w:num w:numId="27" w16cid:durableId="1249846815">
    <w:abstractNumId w:val="22"/>
  </w:num>
  <w:num w:numId="28" w16cid:durableId="953437608">
    <w:abstractNumId w:val="36"/>
  </w:num>
  <w:num w:numId="29" w16cid:durableId="2121026571">
    <w:abstractNumId w:val="37"/>
  </w:num>
  <w:num w:numId="30" w16cid:durableId="1098716404">
    <w:abstractNumId w:val="14"/>
  </w:num>
  <w:num w:numId="31" w16cid:durableId="1411930223">
    <w:abstractNumId w:val="43"/>
  </w:num>
  <w:num w:numId="32" w16cid:durableId="1145320115">
    <w:abstractNumId w:val="19"/>
  </w:num>
  <w:num w:numId="33" w16cid:durableId="320164112">
    <w:abstractNumId w:val="15"/>
  </w:num>
  <w:num w:numId="34" w16cid:durableId="21710733">
    <w:abstractNumId w:val="32"/>
  </w:num>
  <w:num w:numId="35" w16cid:durableId="519971240">
    <w:abstractNumId w:val="20"/>
  </w:num>
  <w:num w:numId="36" w16cid:durableId="836380990">
    <w:abstractNumId w:val="35"/>
  </w:num>
  <w:num w:numId="37" w16cid:durableId="439647889">
    <w:abstractNumId w:val="40"/>
  </w:num>
  <w:num w:numId="38" w16cid:durableId="699356385">
    <w:abstractNumId w:val="29"/>
  </w:num>
  <w:num w:numId="39" w16cid:durableId="1547134983">
    <w:abstractNumId w:val="26"/>
  </w:num>
  <w:num w:numId="40" w16cid:durableId="1228296902">
    <w:abstractNumId w:val="24"/>
  </w:num>
  <w:num w:numId="41" w16cid:durableId="1629244752">
    <w:abstractNumId w:val="31"/>
  </w:num>
  <w:num w:numId="42" w16cid:durableId="320699981">
    <w:abstractNumId w:val="13"/>
  </w:num>
  <w:num w:numId="43" w16cid:durableId="277642695">
    <w:abstractNumId w:val="33"/>
  </w:num>
  <w:num w:numId="44" w16cid:durableId="43453864">
    <w:abstractNumId w:val="39"/>
  </w:num>
  <w:num w:numId="45" w16cid:durableId="1280531569">
    <w:abstractNumId w:val="18"/>
  </w:num>
  <w:num w:numId="46" w16cid:durableId="1484812362">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71D"/>
    <w:rsid w:val="00000079"/>
    <w:rsid w:val="00000238"/>
    <w:rsid w:val="000002F2"/>
    <w:rsid w:val="0000049C"/>
    <w:rsid w:val="00000561"/>
    <w:rsid w:val="00000654"/>
    <w:rsid w:val="00000866"/>
    <w:rsid w:val="000011EE"/>
    <w:rsid w:val="0000122A"/>
    <w:rsid w:val="00001CEB"/>
    <w:rsid w:val="000020B3"/>
    <w:rsid w:val="00002225"/>
    <w:rsid w:val="00002590"/>
    <w:rsid w:val="00002748"/>
    <w:rsid w:val="00002953"/>
    <w:rsid w:val="000030BB"/>
    <w:rsid w:val="000031B5"/>
    <w:rsid w:val="0000320E"/>
    <w:rsid w:val="000032D9"/>
    <w:rsid w:val="0000356B"/>
    <w:rsid w:val="00003A47"/>
    <w:rsid w:val="00003D66"/>
    <w:rsid w:val="00003D8A"/>
    <w:rsid w:val="00003E8F"/>
    <w:rsid w:val="00003F0E"/>
    <w:rsid w:val="000040B1"/>
    <w:rsid w:val="00004278"/>
    <w:rsid w:val="00004329"/>
    <w:rsid w:val="000043E3"/>
    <w:rsid w:val="00004698"/>
    <w:rsid w:val="0000481D"/>
    <w:rsid w:val="0000495C"/>
    <w:rsid w:val="0000521C"/>
    <w:rsid w:val="00005310"/>
    <w:rsid w:val="00005869"/>
    <w:rsid w:val="00005C24"/>
    <w:rsid w:val="00005EFE"/>
    <w:rsid w:val="00006007"/>
    <w:rsid w:val="0000609F"/>
    <w:rsid w:val="000061E4"/>
    <w:rsid w:val="00006209"/>
    <w:rsid w:val="00006362"/>
    <w:rsid w:val="000066D6"/>
    <w:rsid w:val="00006AB0"/>
    <w:rsid w:val="00007206"/>
    <w:rsid w:val="00007560"/>
    <w:rsid w:val="000076D4"/>
    <w:rsid w:val="00007C5E"/>
    <w:rsid w:val="00007F11"/>
    <w:rsid w:val="00010566"/>
    <w:rsid w:val="0001097E"/>
    <w:rsid w:val="00010E72"/>
    <w:rsid w:val="00010E73"/>
    <w:rsid w:val="00011329"/>
    <w:rsid w:val="00011600"/>
    <w:rsid w:val="00011BB7"/>
    <w:rsid w:val="00011E14"/>
    <w:rsid w:val="0001223B"/>
    <w:rsid w:val="000122BD"/>
    <w:rsid w:val="000124DE"/>
    <w:rsid w:val="000127DE"/>
    <w:rsid w:val="00013783"/>
    <w:rsid w:val="0001378A"/>
    <w:rsid w:val="00013829"/>
    <w:rsid w:val="0001422C"/>
    <w:rsid w:val="00014405"/>
    <w:rsid w:val="0001452C"/>
    <w:rsid w:val="00014AA8"/>
    <w:rsid w:val="00014C33"/>
    <w:rsid w:val="00014F40"/>
    <w:rsid w:val="00015285"/>
    <w:rsid w:val="00015851"/>
    <w:rsid w:val="00015A1F"/>
    <w:rsid w:val="00015AAA"/>
    <w:rsid w:val="00015E22"/>
    <w:rsid w:val="00016E6C"/>
    <w:rsid w:val="00017689"/>
    <w:rsid w:val="000178D0"/>
    <w:rsid w:val="00017996"/>
    <w:rsid w:val="00017BDB"/>
    <w:rsid w:val="00017C2C"/>
    <w:rsid w:val="00017E8E"/>
    <w:rsid w:val="000202DE"/>
    <w:rsid w:val="000209AB"/>
    <w:rsid w:val="00020AC2"/>
    <w:rsid w:val="00021545"/>
    <w:rsid w:val="000216F2"/>
    <w:rsid w:val="00021C08"/>
    <w:rsid w:val="00021DF4"/>
    <w:rsid w:val="00021E81"/>
    <w:rsid w:val="0002225C"/>
    <w:rsid w:val="00022782"/>
    <w:rsid w:val="00023054"/>
    <w:rsid w:val="00023A9B"/>
    <w:rsid w:val="00024755"/>
    <w:rsid w:val="00024A20"/>
    <w:rsid w:val="00024C26"/>
    <w:rsid w:val="00025025"/>
    <w:rsid w:val="0002550B"/>
    <w:rsid w:val="00025549"/>
    <w:rsid w:val="00025B4B"/>
    <w:rsid w:val="00025DB2"/>
    <w:rsid w:val="00026D84"/>
    <w:rsid w:val="000270EC"/>
    <w:rsid w:val="00027420"/>
    <w:rsid w:val="00027908"/>
    <w:rsid w:val="00027A1C"/>
    <w:rsid w:val="00027EB3"/>
    <w:rsid w:val="00027F5D"/>
    <w:rsid w:val="00027FDB"/>
    <w:rsid w:val="00030876"/>
    <w:rsid w:val="00030AEC"/>
    <w:rsid w:val="00030E96"/>
    <w:rsid w:val="00031191"/>
    <w:rsid w:val="0003171A"/>
    <w:rsid w:val="00031D69"/>
    <w:rsid w:val="0003208A"/>
    <w:rsid w:val="000320F1"/>
    <w:rsid w:val="00032178"/>
    <w:rsid w:val="000323FC"/>
    <w:rsid w:val="00032BA5"/>
    <w:rsid w:val="00032D51"/>
    <w:rsid w:val="00032F18"/>
    <w:rsid w:val="00032F32"/>
    <w:rsid w:val="000331D6"/>
    <w:rsid w:val="0003327B"/>
    <w:rsid w:val="00033520"/>
    <w:rsid w:val="000343B1"/>
    <w:rsid w:val="00034409"/>
    <w:rsid w:val="000344D9"/>
    <w:rsid w:val="00034644"/>
    <w:rsid w:val="000348FA"/>
    <w:rsid w:val="00034C56"/>
    <w:rsid w:val="00034D67"/>
    <w:rsid w:val="00035596"/>
    <w:rsid w:val="00035D73"/>
    <w:rsid w:val="00035D83"/>
    <w:rsid w:val="00035DB4"/>
    <w:rsid w:val="00035DF4"/>
    <w:rsid w:val="00035F8E"/>
    <w:rsid w:val="00036488"/>
    <w:rsid w:val="00036651"/>
    <w:rsid w:val="00036C0E"/>
    <w:rsid w:val="00036E48"/>
    <w:rsid w:val="00037103"/>
    <w:rsid w:val="00037215"/>
    <w:rsid w:val="00037589"/>
    <w:rsid w:val="000400C9"/>
    <w:rsid w:val="00040524"/>
    <w:rsid w:val="0004068F"/>
    <w:rsid w:val="000409BF"/>
    <w:rsid w:val="00040DD7"/>
    <w:rsid w:val="00041A78"/>
    <w:rsid w:val="00041C12"/>
    <w:rsid w:val="00041ED1"/>
    <w:rsid w:val="000421A3"/>
    <w:rsid w:val="000426CC"/>
    <w:rsid w:val="00042B1D"/>
    <w:rsid w:val="00042E35"/>
    <w:rsid w:val="00042F47"/>
    <w:rsid w:val="00042F5E"/>
    <w:rsid w:val="000436EC"/>
    <w:rsid w:val="00043C7E"/>
    <w:rsid w:val="00043CAB"/>
    <w:rsid w:val="00043FC7"/>
    <w:rsid w:val="000441D7"/>
    <w:rsid w:val="00045039"/>
    <w:rsid w:val="0004511B"/>
    <w:rsid w:val="000452CB"/>
    <w:rsid w:val="00045954"/>
    <w:rsid w:val="00045C46"/>
    <w:rsid w:val="00045FE9"/>
    <w:rsid w:val="0004647F"/>
    <w:rsid w:val="000468AD"/>
    <w:rsid w:val="000469B2"/>
    <w:rsid w:val="000470CE"/>
    <w:rsid w:val="000471D5"/>
    <w:rsid w:val="000473F0"/>
    <w:rsid w:val="00047972"/>
    <w:rsid w:val="00047AC3"/>
    <w:rsid w:val="0005087A"/>
    <w:rsid w:val="0005178E"/>
    <w:rsid w:val="000519B4"/>
    <w:rsid w:val="00051C1B"/>
    <w:rsid w:val="00051F43"/>
    <w:rsid w:val="000521A8"/>
    <w:rsid w:val="000528E3"/>
    <w:rsid w:val="000531D4"/>
    <w:rsid w:val="00053310"/>
    <w:rsid w:val="0005396E"/>
    <w:rsid w:val="00053A28"/>
    <w:rsid w:val="00053A62"/>
    <w:rsid w:val="00053DF9"/>
    <w:rsid w:val="00053F03"/>
    <w:rsid w:val="0005427A"/>
    <w:rsid w:val="0005490C"/>
    <w:rsid w:val="00054D25"/>
    <w:rsid w:val="00055104"/>
    <w:rsid w:val="0005549D"/>
    <w:rsid w:val="000555DE"/>
    <w:rsid w:val="00055863"/>
    <w:rsid w:val="00055A91"/>
    <w:rsid w:val="00055C44"/>
    <w:rsid w:val="000565BA"/>
    <w:rsid w:val="0005744E"/>
    <w:rsid w:val="00057CC9"/>
    <w:rsid w:val="00057FB0"/>
    <w:rsid w:val="00060079"/>
    <w:rsid w:val="0006028E"/>
    <w:rsid w:val="0006029B"/>
    <w:rsid w:val="000603A0"/>
    <w:rsid w:val="00060D88"/>
    <w:rsid w:val="00060DCD"/>
    <w:rsid w:val="000610F6"/>
    <w:rsid w:val="0006118C"/>
    <w:rsid w:val="00061231"/>
    <w:rsid w:val="000614A7"/>
    <w:rsid w:val="00061BFB"/>
    <w:rsid w:val="00061FC1"/>
    <w:rsid w:val="000623B8"/>
    <w:rsid w:val="000623D9"/>
    <w:rsid w:val="00062B3A"/>
    <w:rsid w:val="00062DDA"/>
    <w:rsid w:val="000634D4"/>
    <w:rsid w:val="00063829"/>
    <w:rsid w:val="000638D3"/>
    <w:rsid w:val="00063B53"/>
    <w:rsid w:val="00063EE5"/>
    <w:rsid w:val="0006420E"/>
    <w:rsid w:val="00064B38"/>
    <w:rsid w:val="00064B9F"/>
    <w:rsid w:val="00064DE9"/>
    <w:rsid w:val="000654FA"/>
    <w:rsid w:val="0006566A"/>
    <w:rsid w:val="00065DD4"/>
    <w:rsid w:val="00065E45"/>
    <w:rsid w:val="000672B7"/>
    <w:rsid w:val="0006781A"/>
    <w:rsid w:val="000678DF"/>
    <w:rsid w:val="00067DD8"/>
    <w:rsid w:val="00067F9E"/>
    <w:rsid w:val="00070049"/>
    <w:rsid w:val="0007037C"/>
    <w:rsid w:val="00070A4A"/>
    <w:rsid w:val="00070C72"/>
    <w:rsid w:val="00070D43"/>
    <w:rsid w:val="0007171B"/>
    <w:rsid w:val="0007214D"/>
    <w:rsid w:val="00072257"/>
    <w:rsid w:val="0007236F"/>
    <w:rsid w:val="0007277C"/>
    <w:rsid w:val="000727F5"/>
    <w:rsid w:val="000728BC"/>
    <w:rsid w:val="00072985"/>
    <w:rsid w:val="00072FC6"/>
    <w:rsid w:val="0007307B"/>
    <w:rsid w:val="00073502"/>
    <w:rsid w:val="00073562"/>
    <w:rsid w:val="00073825"/>
    <w:rsid w:val="00073975"/>
    <w:rsid w:val="00073C64"/>
    <w:rsid w:val="00074675"/>
    <w:rsid w:val="000748BD"/>
    <w:rsid w:val="000749CC"/>
    <w:rsid w:val="00074A34"/>
    <w:rsid w:val="00074E17"/>
    <w:rsid w:val="000758C0"/>
    <w:rsid w:val="00075924"/>
    <w:rsid w:val="00075DB5"/>
    <w:rsid w:val="00076121"/>
    <w:rsid w:val="000765B6"/>
    <w:rsid w:val="000768B1"/>
    <w:rsid w:val="00076BBC"/>
    <w:rsid w:val="00076C59"/>
    <w:rsid w:val="00076E6F"/>
    <w:rsid w:val="00076EF2"/>
    <w:rsid w:val="0007732B"/>
    <w:rsid w:val="00080034"/>
    <w:rsid w:val="000800AD"/>
    <w:rsid w:val="00080161"/>
    <w:rsid w:val="00080837"/>
    <w:rsid w:val="00080911"/>
    <w:rsid w:val="00080BDA"/>
    <w:rsid w:val="00080C13"/>
    <w:rsid w:val="00080D0A"/>
    <w:rsid w:val="00081367"/>
    <w:rsid w:val="0008184C"/>
    <w:rsid w:val="00081AD1"/>
    <w:rsid w:val="00081F95"/>
    <w:rsid w:val="00081FEA"/>
    <w:rsid w:val="000820B7"/>
    <w:rsid w:val="000823C4"/>
    <w:rsid w:val="000826BA"/>
    <w:rsid w:val="0008290F"/>
    <w:rsid w:val="00082F30"/>
    <w:rsid w:val="00083264"/>
    <w:rsid w:val="000832E0"/>
    <w:rsid w:val="000834AE"/>
    <w:rsid w:val="0008359F"/>
    <w:rsid w:val="00083F05"/>
    <w:rsid w:val="00084033"/>
    <w:rsid w:val="000840C5"/>
    <w:rsid w:val="0008490B"/>
    <w:rsid w:val="00084D0A"/>
    <w:rsid w:val="00084E1A"/>
    <w:rsid w:val="00085345"/>
    <w:rsid w:val="000854AF"/>
    <w:rsid w:val="00085B06"/>
    <w:rsid w:val="00085DE9"/>
    <w:rsid w:val="00087115"/>
    <w:rsid w:val="000871E9"/>
    <w:rsid w:val="00087653"/>
    <w:rsid w:val="00087799"/>
    <w:rsid w:val="000877A0"/>
    <w:rsid w:val="0008782A"/>
    <w:rsid w:val="00087A0A"/>
    <w:rsid w:val="000909F8"/>
    <w:rsid w:val="00090B07"/>
    <w:rsid w:val="00090ECF"/>
    <w:rsid w:val="00090F41"/>
    <w:rsid w:val="0009150D"/>
    <w:rsid w:val="00091A9E"/>
    <w:rsid w:val="00091BA7"/>
    <w:rsid w:val="00091CE6"/>
    <w:rsid w:val="00091DAC"/>
    <w:rsid w:val="00091E74"/>
    <w:rsid w:val="00091F6D"/>
    <w:rsid w:val="0009278C"/>
    <w:rsid w:val="000927AD"/>
    <w:rsid w:val="000928FD"/>
    <w:rsid w:val="00092AD9"/>
    <w:rsid w:val="00092CB9"/>
    <w:rsid w:val="00092D05"/>
    <w:rsid w:val="00092E59"/>
    <w:rsid w:val="00093479"/>
    <w:rsid w:val="000936B7"/>
    <w:rsid w:val="00093AAB"/>
    <w:rsid w:val="00093C6F"/>
    <w:rsid w:val="000940CA"/>
    <w:rsid w:val="000943E8"/>
    <w:rsid w:val="000944DE"/>
    <w:rsid w:val="0009450F"/>
    <w:rsid w:val="0009454A"/>
    <w:rsid w:val="00095796"/>
    <w:rsid w:val="00095839"/>
    <w:rsid w:val="00095F95"/>
    <w:rsid w:val="00096144"/>
    <w:rsid w:val="000962E3"/>
    <w:rsid w:val="00096871"/>
    <w:rsid w:val="000970D3"/>
    <w:rsid w:val="000978FC"/>
    <w:rsid w:val="00097E0D"/>
    <w:rsid w:val="000A00FD"/>
    <w:rsid w:val="000A011B"/>
    <w:rsid w:val="000A0462"/>
    <w:rsid w:val="000A04A2"/>
    <w:rsid w:val="000A10F0"/>
    <w:rsid w:val="000A128A"/>
    <w:rsid w:val="000A14F9"/>
    <w:rsid w:val="000A176B"/>
    <w:rsid w:val="000A1BDD"/>
    <w:rsid w:val="000A2347"/>
    <w:rsid w:val="000A24DE"/>
    <w:rsid w:val="000A2877"/>
    <w:rsid w:val="000A295C"/>
    <w:rsid w:val="000A2994"/>
    <w:rsid w:val="000A30BB"/>
    <w:rsid w:val="000A34AE"/>
    <w:rsid w:val="000A34DC"/>
    <w:rsid w:val="000A399C"/>
    <w:rsid w:val="000A3D37"/>
    <w:rsid w:val="000A4EE4"/>
    <w:rsid w:val="000A5242"/>
    <w:rsid w:val="000A5931"/>
    <w:rsid w:val="000A5D16"/>
    <w:rsid w:val="000A5D86"/>
    <w:rsid w:val="000A5DBD"/>
    <w:rsid w:val="000A6080"/>
    <w:rsid w:val="000A6731"/>
    <w:rsid w:val="000A6D07"/>
    <w:rsid w:val="000A7586"/>
    <w:rsid w:val="000A76AD"/>
    <w:rsid w:val="000A7966"/>
    <w:rsid w:val="000A7B9A"/>
    <w:rsid w:val="000A7C16"/>
    <w:rsid w:val="000A7E71"/>
    <w:rsid w:val="000ACD9F"/>
    <w:rsid w:val="000B03F1"/>
    <w:rsid w:val="000B0630"/>
    <w:rsid w:val="000B0694"/>
    <w:rsid w:val="000B0DFD"/>
    <w:rsid w:val="000B16A8"/>
    <w:rsid w:val="000B188A"/>
    <w:rsid w:val="000B1D0D"/>
    <w:rsid w:val="000B2463"/>
    <w:rsid w:val="000B2538"/>
    <w:rsid w:val="000B2BBA"/>
    <w:rsid w:val="000B2E34"/>
    <w:rsid w:val="000B3433"/>
    <w:rsid w:val="000B3801"/>
    <w:rsid w:val="000B3986"/>
    <w:rsid w:val="000B3AF7"/>
    <w:rsid w:val="000B3D09"/>
    <w:rsid w:val="000B3D2D"/>
    <w:rsid w:val="000B3E9A"/>
    <w:rsid w:val="000B4213"/>
    <w:rsid w:val="000B42ED"/>
    <w:rsid w:val="000B4539"/>
    <w:rsid w:val="000B4AB1"/>
    <w:rsid w:val="000B4AD4"/>
    <w:rsid w:val="000B4E6F"/>
    <w:rsid w:val="000B4EEE"/>
    <w:rsid w:val="000B54AB"/>
    <w:rsid w:val="000B5503"/>
    <w:rsid w:val="000B5CFF"/>
    <w:rsid w:val="000B5DF4"/>
    <w:rsid w:val="000B6075"/>
    <w:rsid w:val="000B6092"/>
    <w:rsid w:val="000B6572"/>
    <w:rsid w:val="000B780F"/>
    <w:rsid w:val="000B7920"/>
    <w:rsid w:val="000B7B29"/>
    <w:rsid w:val="000B7B51"/>
    <w:rsid w:val="000B7BCE"/>
    <w:rsid w:val="000C00EC"/>
    <w:rsid w:val="000C0127"/>
    <w:rsid w:val="000C0873"/>
    <w:rsid w:val="000C11CC"/>
    <w:rsid w:val="000C13D0"/>
    <w:rsid w:val="000C15D6"/>
    <w:rsid w:val="000C15E6"/>
    <w:rsid w:val="000C179A"/>
    <w:rsid w:val="000C1A9C"/>
    <w:rsid w:val="000C1ADA"/>
    <w:rsid w:val="000C26E5"/>
    <w:rsid w:val="000C28BC"/>
    <w:rsid w:val="000C2A2A"/>
    <w:rsid w:val="000C2B1A"/>
    <w:rsid w:val="000C2C5B"/>
    <w:rsid w:val="000C2EC7"/>
    <w:rsid w:val="000C3756"/>
    <w:rsid w:val="000C37F7"/>
    <w:rsid w:val="000C3B57"/>
    <w:rsid w:val="000C3DB9"/>
    <w:rsid w:val="000C3F60"/>
    <w:rsid w:val="000C3F9D"/>
    <w:rsid w:val="000C4263"/>
    <w:rsid w:val="000C4974"/>
    <w:rsid w:val="000C4976"/>
    <w:rsid w:val="000C4B0D"/>
    <w:rsid w:val="000C4F0D"/>
    <w:rsid w:val="000C54C2"/>
    <w:rsid w:val="000C55E6"/>
    <w:rsid w:val="000C5753"/>
    <w:rsid w:val="000C5BDA"/>
    <w:rsid w:val="000C5C99"/>
    <w:rsid w:val="000C6656"/>
    <w:rsid w:val="000C6906"/>
    <w:rsid w:val="000C6E3C"/>
    <w:rsid w:val="000C727C"/>
    <w:rsid w:val="000C7442"/>
    <w:rsid w:val="000C76C5"/>
    <w:rsid w:val="000C7A42"/>
    <w:rsid w:val="000CE1E9"/>
    <w:rsid w:val="000D03B1"/>
    <w:rsid w:val="000D043C"/>
    <w:rsid w:val="000D0F8D"/>
    <w:rsid w:val="000D10BF"/>
    <w:rsid w:val="000D1190"/>
    <w:rsid w:val="000D146D"/>
    <w:rsid w:val="000D1519"/>
    <w:rsid w:val="000D16B4"/>
    <w:rsid w:val="000D186A"/>
    <w:rsid w:val="000D1E20"/>
    <w:rsid w:val="000D22BC"/>
    <w:rsid w:val="000D2BD9"/>
    <w:rsid w:val="000D2EE3"/>
    <w:rsid w:val="000D2F1B"/>
    <w:rsid w:val="000D3260"/>
    <w:rsid w:val="000D3370"/>
    <w:rsid w:val="000D35E0"/>
    <w:rsid w:val="000D390A"/>
    <w:rsid w:val="000D3F6A"/>
    <w:rsid w:val="000D402B"/>
    <w:rsid w:val="000D4632"/>
    <w:rsid w:val="000D4CE1"/>
    <w:rsid w:val="000D4EF4"/>
    <w:rsid w:val="000D5177"/>
    <w:rsid w:val="000D54C8"/>
    <w:rsid w:val="000D57BD"/>
    <w:rsid w:val="000D5907"/>
    <w:rsid w:val="000D5C50"/>
    <w:rsid w:val="000D5D0E"/>
    <w:rsid w:val="000D5DE6"/>
    <w:rsid w:val="000D5EEE"/>
    <w:rsid w:val="000D6168"/>
    <w:rsid w:val="000D6180"/>
    <w:rsid w:val="000D6551"/>
    <w:rsid w:val="000D6B8E"/>
    <w:rsid w:val="000D6E1F"/>
    <w:rsid w:val="000D7561"/>
    <w:rsid w:val="000D7888"/>
    <w:rsid w:val="000D7D2E"/>
    <w:rsid w:val="000D7DF6"/>
    <w:rsid w:val="000E0385"/>
    <w:rsid w:val="000E058A"/>
    <w:rsid w:val="000E0860"/>
    <w:rsid w:val="000E0AAF"/>
    <w:rsid w:val="000E0D82"/>
    <w:rsid w:val="000E0DF6"/>
    <w:rsid w:val="000E108A"/>
    <w:rsid w:val="000E1099"/>
    <w:rsid w:val="000E1B2D"/>
    <w:rsid w:val="000E1B64"/>
    <w:rsid w:val="000E2BA9"/>
    <w:rsid w:val="000E3017"/>
    <w:rsid w:val="000E3361"/>
    <w:rsid w:val="000E343C"/>
    <w:rsid w:val="000E3826"/>
    <w:rsid w:val="000E3CAF"/>
    <w:rsid w:val="000E41AB"/>
    <w:rsid w:val="000E431D"/>
    <w:rsid w:val="000E4412"/>
    <w:rsid w:val="000E4801"/>
    <w:rsid w:val="000E48A8"/>
    <w:rsid w:val="000E4C67"/>
    <w:rsid w:val="000E5110"/>
    <w:rsid w:val="000E532B"/>
    <w:rsid w:val="000E54DC"/>
    <w:rsid w:val="000E56E8"/>
    <w:rsid w:val="000E595C"/>
    <w:rsid w:val="000E5C31"/>
    <w:rsid w:val="000E5CCD"/>
    <w:rsid w:val="000E6285"/>
    <w:rsid w:val="000E62B1"/>
    <w:rsid w:val="000E655B"/>
    <w:rsid w:val="000E68E6"/>
    <w:rsid w:val="000E6C82"/>
    <w:rsid w:val="000E6EB3"/>
    <w:rsid w:val="000E6F4F"/>
    <w:rsid w:val="000E717F"/>
    <w:rsid w:val="000E744D"/>
    <w:rsid w:val="000E75FD"/>
    <w:rsid w:val="000E77D1"/>
    <w:rsid w:val="000E7834"/>
    <w:rsid w:val="000E7BA8"/>
    <w:rsid w:val="000E7DAC"/>
    <w:rsid w:val="000E7F17"/>
    <w:rsid w:val="000F02FF"/>
    <w:rsid w:val="000F0315"/>
    <w:rsid w:val="000F081F"/>
    <w:rsid w:val="000F0DA2"/>
    <w:rsid w:val="000F0DCC"/>
    <w:rsid w:val="000F120C"/>
    <w:rsid w:val="000F1729"/>
    <w:rsid w:val="000F17CC"/>
    <w:rsid w:val="000F184F"/>
    <w:rsid w:val="000F346A"/>
    <w:rsid w:val="000F34A0"/>
    <w:rsid w:val="000F3575"/>
    <w:rsid w:val="000F35DF"/>
    <w:rsid w:val="000F3A02"/>
    <w:rsid w:val="000F3ABE"/>
    <w:rsid w:val="000F3F99"/>
    <w:rsid w:val="000F41FF"/>
    <w:rsid w:val="000F47CE"/>
    <w:rsid w:val="000F49CC"/>
    <w:rsid w:val="000F4D02"/>
    <w:rsid w:val="000F5139"/>
    <w:rsid w:val="000F5148"/>
    <w:rsid w:val="000F5685"/>
    <w:rsid w:val="000F56BB"/>
    <w:rsid w:val="000F5BF0"/>
    <w:rsid w:val="000F5C59"/>
    <w:rsid w:val="000F6132"/>
    <w:rsid w:val="000F63D8"/>
    <w:rsid w:val="000F68AC"/>
    <w:rsid w:val="000F703C"/>
    <w:rsid w:val="000F724F"/>
    <w:rsid w:val="000F749E"/>
    <w:rsid w:val="000F76D2"/>
    <w:rsid w:val="000F7A5E"/>
    <w:rsid w:val="000F7ED7"/>
    <w:rsid w:val="000F7F66"/>
    <w:rsid w:val="00100C41"/>
    <w:rsid w:val="00100D5C"/>
    <w:rsid w:val="00101193"/>
    <w:rsid w:val="001019D5"/>
    <w:rsid w:val="00101A6D"/>
    <w:rsid w:val="00102906"/>
    <w:rsid w:val="0010334D"/>
    <w:rsid w:val="00103A11"/>
    <w:rsid w:val="001040FA"/>
    <w:rsid w:val="0010458E"/>
    <w:rsid w:val="00104635"/>
    <w:rsid w:val="0010469F"/>
    <w:rsid w:val="001048F5"/>
    <w:rsid w:val="00104C5C"/>
    <w:rsid w:val="0010518A"/>
    <w:rsid w:val="001053AE"/>
    <w:rsid w:val="00105B4E"/>
    <w:rsid w:val="00105D74"/>
    <w:rsid w:val="0010695B"/>
    <w:rsid w:val="00106F12"/>
    <w:rsid w:val="001071E1"/>
    <w:rsid w:val="001073EE"/>
    <w:rsid w:val="0010753B"/>
    <w:rsid w:val="001076C7"/>
    <w:rsid w:val="00107861"/>
    <w:rsid w:val="0010790A"/>
    <w:rsid w:val="0011068E"/>
    <w:rsid w:val="001106FA"/>
    <w:rsid w:val="00110BBA"/>
    <w:rsid w:val="00110D18"/>
    <w:rsid w:val="00110E06"/>
    <w:rsid w:val="0011110A"/>
    <w:rsid w:val="001111E7"/>
    <w:rsid w:val="0011138E"/>
    <w:rsid w:val="00111483"/>
    <w:rsid w:val="00111550"/>
    <w:rsid w:val="00111851"/>
    <w:rsid w:val="00111ADB"/>
    <w:rsid w:val="00111BAC"/>
    <w:rsid w:val="00111D93"/>
    <w:rsid w:val="00112075"/>
    <w:rsid w:val="001123FC"/>
    <w:rsid w:val="0011289A"/>
    <w:rsid w:val="00112A8D"/>
    <w:rsid w:val="00112AC7"/>
    <w:rsid w:val="00112B1E"/>
    <w:rsid w:val="00112B24"/>
    <w:rsid w:val="0011301F"/>
    <w:rsid w:val="00113190"/>
    <w:rsid w:val="00113C1A"/>
    <w:rsid w:val="00113D45"/>
    <w:rsid w:val="00113DED"/>
    <w:rsid w:val="00113E02"/>
    <w:rsid w:val="001146FD"/>
    <w:rsid w:val="001147E2"/>
    <w:rsid w:val="00114F6E"/>
    <w:rsid w:val="0011512D"/>
    <w:rsid w:val="001152D5"/>
    <w:rsid w:val="00115BAD"/>
    <w:rsid w:val="00115C63"/>
    <w:rsid w:val="00115D7F"/>
    <w:rsid w:val="001163F6"/>
    <w:rsid w:val="001166A0"/>
    <w:rsid w:val="00116839"/>
    <w:rsid w:val="00116B53"/>
    <w:rsid w:val="00116CA1"/>
    <w:rsid w:val="001171FF"/>
    <w:rsid w:val="0011776A"/>
    <w:rsid w:val="00117CCD"/>
    <w:rsid w:val="001206B8"/>
    <w:rsid w:val="00120A01"/>
    <w:rsid w:val="00121608"/>
    <w:rsid w:val="0012248D"/>
    <w:rsid w:val="001227DE"/>
    <w:rsid w:val="0012297C"/>
    <w:rsid w:val="00122E3E"/>
    <w:rsid w:val="00123339"/>
    <w:rsid w:val="001235C5"/>
    <w:rsid w:val="001237E1"/>
    <w:rsid w:val="00123A5C"/>
    <w:rsid w:val="00124012"/>
    <w:rsid w:val="001240D6"/>
    <w:rsid w:val="0012417A"/>
    <w:rsid w:val="00124527"/>
    <w:rsid w:val="001249D1"/>
    <w:rsid w:val="00124C12"/>
    <w:rsid w:val="00124D1F"/>
    <w:rsid w:val="00125290"/>
    <w:rsid w:val="001252BD"/>
    <w:rsid w:val="0012577E"/>
    <w:rsid w:val="0012591E"/>
    <w:rsid w:val="00125A30"/>
    <w:rsid w:val="00125A40"/>
    <w:rsid w:val="00125A4C"/>
    <w:rsid w:val="0012667A"/>
    <w:rsid w:val="00126C66"/>
    <w:rsid w:val="00126D1D"/>
    <w:rsid w:val="00127498"/>
    <w:rsid w:val="001274BE"/>
    <w:rsid w:val="00127501"/>
    <w:rsid w:val="00127A44"/>
    <w:rsid w:val="00127AA7"/>
    <w:rsid w:val="00127C02"/>
    <w:rsid w:val="0013045A"/>
    <w:rsid w:val="00130595"/>
    <w:rsid w:val="00130797"/>
    <w:rsid w:val="00130C14"/>
    <w:rsid w:val="00130CA3"/>
    <w:rsid w:val="00130D09"/>
    <w:rsid w:val="00130F88"/>
    <w:rsid w:val="001311F5"/>
    <w:rsid w:val="0013129E"/>
    <w:rsid w:val="00131410"/>
    <w:rsid w:val="00131948"/>
    <w:rsid w:val="00132333"/>
    <w:rsid w:val="00132CD7"/>
    <w:rsid w:val="00133490"/>
    <w:rsid w:val="001334CA"/>
    <w:rsid w:val="001335F1"/>
    <w:rsid w:val="00133F12"/>
    <w:rsid w:val="00134059"/>
    <w:rsid w:val="001340BC"/>
    <w:rsid w:val="00134153"/>
    <w:rsid w:val="0013461E"/>
    <w:rsid w:val="00134BFB"/>
    <w:rsid w:val="00134C1A"/>
    <w:rsid w:val="00135541"/>
    <w:rsid w:val="00135589"/>
    <w:rsid w:val="00135804"/>
    <w:rsid w:val="00135A9F"/>
    <w:rsid w:val="00135C9E"/>
    <w:rsid w:val="00135E12"/>
    <w:rsid w:val="00135E40"/>
    <w:rsid w:val="00136057"/>
    <w:rsid w:val="00136111"/>
    <w:rsid w:val="001362CC"/>
    <w:rsid w:val="001364A9"/>
    <w:rsid w:val="0013675C"/>
    <w:rsid w:val="0013680F"/>
    <w:rsid w:val="00136E4D"/>
    <w:rsid w:val="00136E78"/>
    <w:rsid w:val="0013704C"/>
    <w:rsid w:val="00137409"/>
    <w:rsid w:val="001374A4"/>
    <w:rsid w:val="00137943"/>
    <w:rsid w:val="001379E5"/>
    <w:rsid w:val="00137A5C"/>
    <w:rsid w:val="00137BF5"/>
    <w:rsid w:val="00137EDB"/>
    <w:rsid w:val="0013D8BA"/>
    <w:rsid w:val="00140016"/>
    <w:rsid w:val="00140213"/>
    <w:rsid w:val="00140B3A"/>
    <w:rsid w:val="00140CFF"/>
    <w:rsid w:val="00140E35"/>
    <w:rsid w:val="00140E9F"/>
    <w:rsid w:val="00140F51"/>
    <w:rsid w:val="00141332"/>
    <w:rsid w:val="001417CC"/>
    <w:rsid w:val="0014184C"/>
    <w:rsid w:val="00141DA9"/>
    <w:rsid w:val="00142265"/>
    <w:rsid w:val="001429C4"/>
    <w:rsid w:val="00142CAC"/>
    <w:rsid w:val="00143960"/>
    <w:rsid w:val="00143B64"/>
    <w:rsid w:val="00143BFA"/>
    <w:rsid w:val="00143F07"/>
    <w:rsid w:val="001441C6"/>
    <w:rsid w:val="0014510D"/>
    <w:rsid w:val="00145209"/>
    <w:rsid w:val="00145982"/>
    <w:rsid w:val="00145A4F"/>
    <w:rsid w:val="00145B12"/>
    <w:rsid w:val="00145BC7"/>
    <w:rsid w:val="0014615D"/>
    <w:rsid w:val="001462FD"/>
    <w:rsid w:val="00146385"/>
    <w:rsid w:val="00146740"/>
    <w:rsid w:val="00146A2E"/>
    <w:rsid w:val="00146C33"/>
    <w:rsid w:val="00147EA5"/>
    <w:rsid w:val="001509F2"/>
    <w:rsid w:val="001510AF"/>
    <w:rsid w:val="00151551"/>
    <w:rsid w:val="00151977"/>
    <w:rsid w:val="00151A8E"/>
    <w:rsid w:val="00151BE9"/>
    <w:rsid w:val="00152A52"/>
    <w:rsid w:val="00152FD2"/>
    <w:rsid w:val="00152FF3"/>
    <w:rsid w:val="001533C3"/>
    <w:rsid w:val="00153E14"/>
    <w:rsid w:val="00154189"/>
    <w:rsid w:val="0015429B"/>
    <w:rsid w:val="00154534"/>
    <w:rsid w:val="00154BC8"/>
    <w:rsid w:val="00155CAB"/>
    <w:rsid w:val="00155DD0"/>
    <w:rsid w:val="00155E8B"/>
    <w:rsid w:val="00156134"/>
    <w:rsid w:val="0015648C"/>
    <w:rsid w:val="00156591"/>
    <w:rsid w:val="001567AB"/>
    <w:rsid w:val="00156E85"/>
    <w:rsid w:val="00156EF3"/>
    <w:rsid w:val="001571CC"/>
    <w:rsid w:val="00157306"/>
    <w:rsid w:val="00157645"/>
    <w:rsid w:val="00157A5B"/>
    <w:rsid w:val="00157AF3"/>
    <w:rsid w:val="00157CC4"/>
    <w:rsid w:val="00157F38"/>
    <w:rsid w:val="00157F99"/>
    <w:rsid w:val="00160424"/>
    <w:rsid w:val="00160A97"/>
    <w:rsid w:val="00160BB5"/>
    <w:rsid w:val="00160E3E"/>
    <w:rsid w:val="0016113E"/>
    <w:rsid w:val="00161643"/>
    <w:rsid w:val="00161B2A"/>
    <w:rsid w:val="00161EFF"/>
    <w:rsid w:val="00161F9E"/>
    <w:rsid w:val="0016202C"/>
    <w:rsid w:val="00162386"/>
    <w:rsid w:val="001628A1"/>
    <w:rsid w:val="00162A01"/>
    <w:rsid w:val="00162D19"/>
    <w:rsid w:val="00162D2A"/>
    <w:rsid w:val="00162FC7"/>
    <w:rsid w:val="00163245"/>
    <w:rsid w:val="001640A2"/>
    <w:rsid w:val="0016416F"/>
    <w:rsid w:val="001641C1"/>
    <w:rsid w:val="001642DC"/>
    <w:rsid w:val="00164490"/>
    <w:rsid w:val="00164621"/>
    <w:rsid w:val="00164CA5"/>
    <w:rsid w:val="00165C22"/>
    <w:rsid w:val="00165D4E"/>
    <w:rsid w:val="00165D6F"/>
    <w:rsid w:val="00165D80"/>
    <w:rsid w:val="00165D8C"/>
    <w:rsid w:val="0016636E"/>
    <w:rsid w:val="001677B9"/>
    <w:rsid w:val="00170210"/>
    <w:rsid w:val="001705AF"/>
    <w:rsid w:val="00170832"/>
    <w:rsid w:val="00171000"/>
    <w:rsid w:val="00171022"/>
    <w:rsid w:val="00171222"/>
    <w:rsid w:val="00171604"/>
    <w:rsid w:val="001718DC"/>
    <w:rsid w:val="001719A8"/>
    <w:rsid w:val="00171A44"/>
    <w:rsid w:val="00171C77"/>
    <w:rsid w:val="00171CCD"/>
    <w:rsid w:val="00171DFD"/>
    <w:rsid w:val="001727BF"/>
    <w:rsid w:val="001728A3"/>
    <w:rsid w:val="00172B0F"/>
    <w:rsid w:val="00172D9B"/>
    <w:rsid w:val="00172F00"/>
    <w:rsid w:val="00173018"/>
    <w:rsid w:val="00173281"/>
    <w:rsid w:val="001735C1"/>
    <w:rsid w:val="00173866"/>
    <w:rsid w:val="00173976"/>
    <w:rsid w:val="00173B9F"/>
    <w:rsid w:val="00173BD6"/>
    <w:rsid w:val="00174261"/>
    <w:rsid w:val="0017446A"/>
    <w:rsid w:val="001745E0"/>
    <w:rsid w:val="00174F58"/>
    <w:rsid w:val="0017589F"/>
    <w:rsid w:val="00175A7E"/>
    <w:rsid w:val="00175D79"/>
    <w:rsid w:val="00175F34"/>
    <w:rsid w:val="00175F36"/>
    <w:rsid w:val="0017635A"/>
    <w:rsid w:val="0017644C"/>
    <w:rsid w:val="00176C42"/>
    <w:rsid w:val="00176ED9"/>
    <w:rsid w:val="00177669"/>
    <w:rsid w:val="00177716"/>
    <w:rsid w:val="0017780E"/>
    <w:rsid w:val="001778D9"/>
    <w:rsid w:val="00177F1E"/>
    <w:rsid w:val="00180413"/>
    <w:rsid w:val="001804E6"/>
    <w:rsid w:val="00180544"/>
    <w:rsid w:val="001809BD"/>
    <w:rsid w:val="00180D72"/>
    <w:rsid w:val="0018103A"/>
    <w:rsid w:val="00181148"/>
    <w:rsid w:val="00181538"/>
    <w:rsid w:val="001815E2"/>
    <w:rsid w:val="00181A39"/>
    <w:rsid w:val="00181AC8"/>
    <w:rsid w:val="00181B09"/>
    <w:rsid w:val="00181D47"/>
    <w:rsid w:val="00181F63"/>
    <w:rsid w:val="00182C54"/>
    <w:rsid w:val="00182E80"/>
    <w:rsid w:val="00183614"/>
    <w:rsid w:val="001839BE"/>
    <w:rsid w:val="00183B6E"/>
    <w:rsid w:val="00183C57"/>
    <w:rsid w:val="001849A1"/>
    <w:rsid w:val="00184C70"/>
    <w:rsid w:val="00184ECD"/>
    <w:rsid w:val="001851D7"/>
    <w:rsid w:val="00185434"/>
    <w:rsid w:val="00185811"/>
    <w:rsid w:val="00185A57"/>
    <w:rsid w:val="00185A8F"/>
    <w:rsid w:val="00185C23"/>
    <w:rsid w:val="0018608A"/>
    <w:rsid w:val="001860D8"/>
    <w:rsid w:val="0018636B"/>
    <w:rsid w:val="001864EF"/>
    <w:rsid w:val="0018664A"/>
    <w:rsid w:val="00186988"/>
    <w:rsid w:val="00186A11"/>
    <w:rsid w:val="00187648"/>
    <w:rsid w:val="00187F1D"/>
    <w:rsid w:val="0018E0CB"/>
    <w:rsid w:val="00190202"/>
    <w:rsid w:val="0019037D"/>
    <w:rsid w:val="001904FA"/>
    <w:rsid w:val="00190794"/>
    <w:rsid w:val="0019085A"/>
    <w:rsid w:val="00190F43"/>
    <w:rsid w:val="00190F5C"/>
    <w:rsid w:val="001911C7"/>
    <w:rsid w:val="001911DB"/>
    <w:rsid w:val="001915F9"/>
    <w:rsid w:val="00191783"/>
    <w:rsid w:val="0019190A"/>
    <w:rsid w:val="00191924"/>
    <w:rsid w:val="00191B42"/>
    <w:rsid w:val="00191DD2"/>
    <w:rsid w:val="00191F36"/>
    <w:rsid w:val="00192242"/>
    <w:rsid w:val="00192405"/>
    <w:rsid w:val="00192BCF"/>
    <w:rsid w:val="00192E73"/>
    <w:rsid w:val="00192F56"/>
    <w:rsid w:val="00193488"/>
    <w:rsid w:val="001934F5"/>
    <w:rsid w:val="001935B7"/>
    <w:rsid w:val="00193630"/>
    <w:rsid w:val="001937D1"/>
    <w:rsid w:val="00193880"/>
    <w:rsid w:val="00193A08"/>
    <w:rsid w:val="00194061"/>
    <w:rsid w:val="00194114"/>
    <w:rsid w:val="0019415F"/>
    <w:rsid w:val="00194270"/>
    <w:rsid w:val="00194596"/>
    <w:rsid w:val="001949A5"/>
    <w:rsid w:val="00194FA9"/>
    <w:rsid w:val="001950D7"/>
    <w:rsid w:val="00195276"/>
    <w:rsid w:val="001953FC"/>
    <w:rsid w:val="00195510"/>
    <w:rsid w:val="00195532"/>
    <w:rsid w:val="00195769"/>
    <w:rsid w:val="001958F0"/>
    <w:rsid w:val="00195A52"/>
    <w:rsid w:val="00195CDA"/>
    <w:rsid w:val="00195DA1"/>
    <w:rsid w:val="00195E7E"/>
    <w:rsid w:val="00195E9D"/>
    <w:rsid w:val="00196296"/>
    <w:rsid w:val="0019675B"/>
    <w:rsid w:val="0019724B"/>
    <w:rsid w:val="001973FC"/>
    <w:rsid w:val="001974B1"/>
    <w:rsid w:val="00197736"/>
    <w:rsid w:val="0019784D"/>
    <w:rsid w:val="001978DD"/>
    <w:rsid w:val="00197944"/>
    <w:rsid w:val="00197BDA"/>
    <w:rsid w:val="001A02CF"/>
    <w:rsid w:val="001A0390"/>
    <w:rsid w:val="001A11E3"/>
    <w:rsid w:val="001A17DE"/>
    <w:rsid w:val="001A1C34"/>
    <w:rsid w:val="001A231F"/>
    <w:rsid w:val="001A26B5"/>
    <w:rsid w:val="001A2739"/>
    <w:rsid w:val="001A2B6F"/>
    <w:rsid w:val="001A2E85"/>
    <w:rsid w:val="001A3069"/>
    <w:rsid w:val="001A31B5"/>
    <w:rsid w:val="001A34CE"/>
    <w:rsid w:val="001A3971"/>
    <w:rsid w:val="001A3CD2"/>
    <w:rsid w:val="001A3D4F"/>
    <w:rsid w:val="001A3E78"/>
    <w:rsid w:val="001A4239"/>
    <w:rsid w:val="001A4A33"/>
    <w:rsid w:val="001A4A67"/>
    <w:rsid w:val="001A4F7F"/>
    <w:rsid w:val="001A54E2"/>
    <w:rsid w:val="001A5C6E"/>
    <w:rsid w:val="001A5E70"/>
    <w:rsid w:val="001A68A1"/>
    <w:rsid w:val="001A6941"/>
    <w:rsid w:val="001A6AE5"/>
    <w:rsid w:val="001A6BB7"/>
    <w:rsid w:val="001A6BBE"/>
    <w:rsid w:val="001A7147"/>
    <w:rsid w:val="001B014C"/>
    <w:rsid w:val="001B0168"/>
    <w:rsid w:val="001B063A"/>
    <w:rsid w:val="001B0791"/>
    <w:rsid w:val="001B1062"/>
    <w:rsid w:val="001B10E5"/>
    <w:rsid w:val="001B181B"/>
    <w:rsid w:val="001B20F1"/>
    <w:rsid w:val="001B22AF"/>
    <w:rsid w:val="001B2424"/>
    <w:rsid w:val="001B26A6"/>
    <w:rsid w:val="001B2A32"/>
    <w:rsid w:val="001B2CCF"/>
    <w:rsid w:val="001B2D77"/>
    <w:rsid w:val="001B2ED8"/>
    <w:rsid w:val="001B3007"/>
    <w:rsid w:val="001B326A"/>
    <w:rsid w:val="001B335E"/>
    <w:rsid w:val="001B33F4"/>
    <w:rsid w:val="001B3EDC"/>
    <w:rsid w:val="001B42A9"/>
    <w:rsid w:val="001B4559"/>
    <w:rsid w:val="001B4C87"/>
    <w:rsid w:val="001B4D8F"/>
    <w:rsid w:val="001B5857"/>
    <w:rsid w:val="001B5889"/>
    <w:rsid w:val="001B5A9F"/>
    <w:rsid w:val="001B5B19"/>
    <w:rsid w:val="001B5E1B"/>
    <w:rsid w:val="001B6586"/>
    <w:rsid w:val="001B684B"/>
    <w:rsid w:val="001B6F0E"/>
    <w:rsid w:val="001B7041"/>
    <w:rsid w:val="001B7183"/>
    <w:rsid w:val="001B7513"/>
    <w:rsid w:val="001B7663"/>
    <w:rsid w:val="001B789F"/>
    <w:rsid w:val="001B7929"/>
    <w:rsid w:val="001B7976"/>
    <w:rsid w:val="001B7A28"/>
    <w:rsid w:val="001B7CB1"/>
    <w:rsid w:val="001C0181"/>
    <w:rsid w:val="001C0E3B"/>
    <w:rsid w:val="001C1459"/>
    <w:rsid w:val="001C165F"/>
    <w:rsid w:val="001C1A03"/>
    <w:rsid w:val="001C208F"/>
    <w:rsid w:val="001C27B3"/>
    <w:rsid w:val="001C2BB2"/>
    <w:rsid w:val="001C31A9"/>
    <w:rsid w:val="001C3312"/>
    <w:rsid w:val="001C3432"/>
    <w:rsid w:val="001C369A"/>
    <w:rsid w:val="001C36F9"/>
    <w:rsid w:val="001C4180"/>
    <w:rsid w:val="001C4442"/>
    <w:rsid w:val="001C447D"/>
    <w:rsid w:val="001C4898"/>
    <w:rsid w:val="001C4B73"/>
    <w:rsid w:val="001C4C52"/>
    <w:rsid w:val="001C4D2A"/>
    <w:rsid w:val="001C5081"/>
    <w:rsid w:val="001C51B0"/>
    <w:rsid w:val="001C5236"/>
    <w:rsid w:val="001C5395"/>
    <w:rsid w:val="001C545F"/>
    <w:rsid w:val="001C55BD"/>
    <w:rsid w:val="001C671F"/>
    <w:rsid w:val="001C69D4"/>
    <w:rsid w:val="001C6A27"/>
    <w:rsid w:val="001C6D73"/>
    <w:rsid w:val="001C74D6"/>
    <w:rsid w:val="001C7FE3"/>
    <w:rsid w:val="001D07AE"/>
    <w:rsid w:val="001D09F4"/>
    <w:rsid w:val="001D0A23"/>
    <w:rsid w:val="001D19AF"/>
    <w:rsid w:val="001D1BC9"/>
    <w:rsid w:val="001D1CBC"/>
    <w:rsid w:val="001D207C"/>
    <w:rsid w:val="001D236B"/>
    <w:rsid w:val="001D2747"/>
    <w:rsid w:val="001D2B56"/>
    <w:rsid w:val="001D2E09"/>
    <w:rsid w:val="001D2F0D"/>
    <w:rsid w:val="001D2F37"/>
    <w:rsid w:val="001D3200"/>
    <w:rsid w:val="001D411A"/>
    <w:rsid w:val="001D420F"/>
    <w:rsid w:val="001D4A49"/>
    <w:rsid w:val="001D4DB0"/>
    <w:rsid w:val="001D4F6B"/>
    <w:rsid w:val="001D4FA4"/>
    <w:rsid w:val="001D5A3D"/>
    <w:rsid w:val="001D5AD1"/>
    <w:rsid w:val="001D5D5F"/>
    <w:rsid w:val="001D61BE"/>
    <w:rsid w:val="001D63A9"/>
    <w:rsid w:val="001D66C9"/>
    <w:rsid w:val="001D6BD4"/>
    <w:rsid w:val="001E02D6"/>
    <w:rsid w:val="001E0529"/>
    <w:rsid w:val="001E06D8"/>
    <w:rsid w:val="001E06FF"/>
    <w:rsid w:val="001E07EC"/>
    <w:rsid w:val="001E084C"/>
    <w:rsid w:val="001E09AC"/>
    <w:rsid w:val="001E0E4C"/>
    <w:rsid w:val="001E0EF0"/>
    <w:rsid w:val="001E0F7C"/>
    <w:rsid w:val="001E0F7D"/>
    <w:rsid w:val="001E1AE2"/>
    <w:rsid w:val="001E1BD9"/>
    <w:rsid w:val="001E1F9C"/>
    <w:rsid w:val="001E1FF9"/>
    <w:rsid w:val="001E204C"/>
    <w:rsid w:val="001E2368"/>
    <w:rsid w:val="001E2501"/>
    <w:rsid w:val="001E274F"/>
    <w:rsid w:val="001E28A5"/>
    <w:rsid w:val="001E2CFB"/>
    <w:rsid w:val="001E3004"/>
    <w:rsid w:val="001E38DE"/>
    <w:rsid w:val="001E3E8E"/>
    <w:rsid w:val="001E3EF3"/>
    <w:rsid w:val="001E435E"/>
    <w:rsid w:val="001E48FE"/>
    <w:rsid w:val="001E4FC9"/>
    <w:rsid w:val="001E52E9"/>
    <w:rsid w:val="001E54D6"/>
    <w:rsid w:val="001E556C"/>
    <w:rsid w:val="001E55F2"/>
    <w:rsid w:val="001E57E8"/>
    <w:rsid w:val="001E59C0"/>
    <w:rsid w:val="001E5B15"/>
    <w:rsid w:val="001E5B22"/>
    <w:rsid w:val="001E5C29"/>
    <w:rsid w:val="001E5F11"/>
    <w:rsid w:val="001E5FF7"/>
    <w:rsid w:val="001E6060"/>
    <w:rsid w:val="001E63F2"/>
    <w:rsid w:val="001E67EE"/>
    <w:rsid w:val="001E6D0E"/>
    <w:rsid w:val="001E6DCD"/>
    <w:rsid w:val="001E6FA3"/>
    <w:rsid w:val="001E755A"/>
    <w:rsid w:val="001E7581"/>
    <w:rsid w:val="001E7ACC"/>
    <w:rsid w:val="001E7B41"/>
    <w:rsid w:val="001F0008"/>
    <w:rsid w:val="001F0155"/>
    <w:rsid w:val="001F02DB"/>
    <w:rsid w:val="001F044C"/>
    <w:rsid w:val="001F0806"/>
    <w:rsid w:val="001F0D9B"/>
    <w:rsid w:val="001F0DFD"/>
    <w:rsid w:val="001F1457"/>
    <w:rsid w:val="001F17AB"/>
    <w:rsid w:val="001F1874"/>
    <w:rsid w:val="001F1A08"/>
    <w:rsid w:val="001F1AF2"/>
    <w:rsid w:val="001F1EBF"/>
    <w:rsid w:val="001F1F26"/>
    <w:rsid w:val="001F20BE"/>
    <w:rsid w:val="001F22B2"/>
    <w:rsid w:val="001F26A1"/>
    <w:rsid w:val="001F2731"/>
    <w:rsid w:val="001F2745"/>
    <w:rsid w:val="001F28E4"/>
    <w:rsid w:val="001F3349"/>
    <w:rsid w:val="001F400B"/>
    <w:rsid w:val="001F407F"/>
    <w:rsid w:val="001F40F9"/>
    <w:rsid w:val="001F4515"/>
    <w:rsid w:val="001F46C5"/>
    <w:rsid w:val="001F496C"/>
    <w:rsid w:val="001F4E0E"/>
    <w:rsid w:val="001F4F47"/>
    <w:rsid w:val="001F55E7"/>
    <w:rsid w:val="001F564E"/>
    <w:rsid w:val="001F57A4"/>
    <w:rsid w:val="001F588A"/>
    <w:rsid w:val="001F5CFC"/>
    <w:rsid w:val="001F6946"/>
    <w:rsid w:val="001F69E8"/>
    <w:rsid w:val="001F6D87"/>
    <w:rsid w:val="001F6E70"/>
    <w:rsid w:val="001F7052"/>
    <w:rsid w:val="001F707B"/>
    <w:rsid w:val="001F72D3"/>
    <w:rsid w:val="001F73AC"/>
    <w:rsid w:val="001F758D"/>
    <w:rsid w:val="001F77D0"/>
    <w:rsid w:val="00200180"/>
    <w:rsid w:val="002003F8"/>
    <w:rsid w:val="00200607"/>
    <w:rsid w:val="002009BF"/>
    <w:rsid w:val="00201615"/>
    <w:rsid w:val="00201797"/>
    <w:rsid w:val="00201805"/>
    <w:rsid w:val="00201B26"/>
    <w:rsid w:val="00201BDA"/>
    <w:rsid w:val="00201C92"/>
    <w:rsid w:val="00201E54"/>
    <w:rsid w:val="0020252B"/>
    <w:rsid w:val="00202922"/>
    <w:rsid w:val="00202B87"/>
    <w:rsid w:val="00202CFA"/>
    <w:rsid w:val="00202F55"/>
    <w:rsid w:val="0020301E"/>
    <w:rsid w:val="00203AA9"/>
    <w:rsid w:val="00203EC1"/>
    <w:rsid w:val="00203F55"/>
    <w:rsid w:val="00204BEE"/>
    <w:rsid w:val="00204F5A"/>
    <w:rsid w:val="00205100"/>
    <w:rsid w:val="00205575"/>
    <w:rsid w:val="00205624"/>
    <w:rsid w:val="00206047"/>
    <w:rsid w:val="0020611E"/>
    <w:rsid w:val="00206913"/>
    <w:rsid w:val="00206A6D"/>
    <w:rsid w:val="002074AD"/>
    <w:rsid w:val="002074FD"/>
    <w:rsid w:val="002075EF"/>
    <w:rsid w:val="00207AD4"/>
    <w:rsid w:val="0021006D"/>
    <w:rsid w:val="00210404"/>
    <w:rsid w:val="002106F7"/>
    <w:rsid w:val="00210D36"/>
    <w:rsid w:val="00210E8B"/>
    <w:rsid w:val="002110C5"/>
    <w:rsid w:val="00211367"/>
    <w:rsid w:val="002115C8"/>
    <w:rsid w:val="002117AF"/>
    <w:rsid w:val="00211B6E"/>
    <w:rsid w:val="00211D32"/>
    <w:rsid w:val="00212029"/>
    <w:rsid w:val="00212507"/>
    <w:rsid w:val="00212B0C"/>
    <w:rsid w:val="002130E3"/>
    <w:rsid w:val="00213105"/>
    <w:rsid w:val="002131B2"/>
    <w:rsid w:val="002134D3"/>
    <w:rsid w:val="00213548"/>
    <w:rsid w:val="00213D10"/>
    <w:rsid w:val="00213E6C"/>
    <w:rsid w:val="00213F1C"/>
    <w:rsid w:val="00214356"/>
    <w:rsid w:val="002149B7"/>
    <w:rsid w:val="0021500E"/>
    <w:rsid w:val="002154A6"/>
    <w:rsid w:val="002157AE"/>
    <w:rsid w:val="002157C9"/>
    <w:rsid w:val="00215DE1"/>
    <w:rsid w:val="00216136"/>
    <w:rsid w:val="00216FE1"/>
    <w:rsid w:val="00217269"/>
    <w:rsid w:val="002175D4"/>
    <w:rsid w:val="002176AB"/>
    <w:rsid w:val="00217759"/>
    <w:rsid w:val="002178AC"/>
    <w:rsid w:val="00217AF8"/>
    <w:rsid w:val="00217C33"/>
    <w:rsid w:val="00217FAD"/>
    <w:rsid w:val="0022052F"/>
    <w:rsid w:val="0022082C"/>
    <w:rsid w:val="002208C4"/>
    <w:rsid w:val="002208DC"/>
    <w:rsid w:val="00220B09"/>
    <w:rsid w:val="00221306"/>
    <w:rsid w:val="002218FB"/>
    <w:rsid w:val="00221E07"/>
    <w:rsid w:val="00221E24"/>
    <w:rsid w:val="002220CA"/>
    <w:rsid w:val="002223F0"/>
    <w:rsid w:val="002227E7"/>
    <w:rsid w:val="00222D10"/>
    <w:rsid w:val="00222E72"/>
    <w:rsid w:val="00222FD9"/>
    <w:rsid w:val="00223034"/>
    <w:rsid w:val="002231D7"/>
    <w:rsid w:val="00223D73"/>
    <w:rsid w:val="002244F3"/>
    <w:rsid w:val="002246B7"/>
    <w:rsid w:val="002248CB"/>
    <w:rsid w:val="00224968"/>
    <w:rsid w:val="00224AC1"/>
    <w:rsid w:val="00224EC8"/>
    <w:rsid w:val="002251A6"/>
    <w:rsid w:val="0022526D"/>
    <w:rsid w:val="00225438"/>
    <w:rsid w:val="002254B6"/>
    <w:rsid w:val="00225624"/>
    <w:rsid w:val="00225A19"/>
    <w:rsid w:val="00225B29"/>
    <w:rsid w:val="00226158"/>
    <w:rsid w:val="0022657D"/>
    <w:rsid w:val="00226906"/>
    <w:rsid w:val="00226C2F"/>
    <w:rsid w:val="002278A8"/>
    <w:rsid w:val="00227ADB"/>
    <w:rsid w:val="002303C8"/>
    <w:rsid w:val="002303EF"/>
    <w:rsid w:val="00230654"/>
    <w:rsid w:val="00230657"/>
    <w:rsid w:val="002306EB"/>
    <w:rsid w:val="002307D9"/>
    <w:rsid w:val="002308ED"/>
    <w:rsid w:val="00230C29"/>
    <w:rsid w:val="0023152A"/>
    <w:rsid w:val="002315A8"/>
    <w:rsid w:val="00231695"/>
    <w:rsid w:val="00231734"/>
    <w:rsid w:val="00231974"/>
    <w:rsid w:val="00231FE0"/>
    <w:rsid w:val="002320B3"/>
    <w:rsid w:val="00232270"/>
    <w:rsid w:val="00232A1A"/>
    <w:rsid w:val="00232AE2"/>
    <w:rsid w:val="00232F1A"/>
    <w:rsid w:val="00233177"/>
    <w:rsid w:val="00233A54"/>
    <w:rsid w:val="00233D23"/>
    <w:rsid w:val="00233E2E"/>
    <w:rsid w:val="00234036"/>
    <w:rsid w:val="002340ED"/>
    <w:rsid w:val="002343DA"/>
    <w:rsid w:val="00234411"/>
    <w:rsid w:val="002347C1"/>
    <w:rsid w:val="0023488E"/>
    <w:rsid w:val="00234B2F"/>
    <w:rsid w:val="00235233"/>
    <w:rsid w:val="0023553E"/>
    <w:rsid w:val="002357A1"/>
    <w:rsid w:val="002358F0"/>
    <w:rsid w:val="00235FFF"/>
    <w:rsid w:val="00236516"/>
    <w:rsid w:val="00236C5C"/>
    <w:rsid w:val="00236CC2"/>
    <w:rsid w:val="00236E24"/>
    <w:rsid w:val="00236E68"/>
    <w:rsid w:val="00236F60"/>
    <w:rsid w:val="00237040"/>
    <w:rsid w:val="0023717E"/>
    <w:rsid w:val="0023752B"/>
    <w:rsid w:val="0023775F"/>
    <w:rsid w:val="002379DA"/>
    <w:rsid w:val="00237B50"/>
    <w:rsid w:val="00237CC9"/>
    <w:rsid w:val="00237DAB"/>
    <w:rsid w:val="00237F0B"/>
    <w:rsid w:val="00240009"/>
    <w:rsid w:val="00240533"/>
    <w:rsid w:val="00240950"/>
    <w:rsid w:val="00241364"/>
    <w:rsid w:val="00242007"/>
    <w:rsid w:val="002426F9"/>
    <w:rsid w:val="00242C74"/>
    <w:rsid w:val="00242F00"/>
    <w:rsid w:val="00243126"/>
    <w:rsid w:val="002435A9"/>
    <w:rsid w:val="00243F5F"/>
    <w:rsid w:val="00244972"/>
    <w:rsid w:val="002455EF"/>
    <w:rsid w:val="00247715"/>
    <w:rsid w:val="00247A5B"/>
    <w:rsid w:val="00247E47"/>
    <w:rsid w:val="00250408"/>
    <w:rsid w:val="00250C97"/>
    <w:rsid w:val="00250DB3"/>
    <w:rsid w:val="00250F21"/>
    <w:rsid w:val="0025109B"/>
    <w:rsid w:val="0025114B"/>
    <w:rsid w:val="002512C5"/>
    <w:rsid w:val="0025160B"/>
    <w:rsid w:val="00251794"/>
    <w:rsid w:val="002517CD"/>
    <w:rsid w:val="0025198B"/>
    <w:rsid w:val="00251AD7"/>
    <w:rsid w:val="00251F0D"/>
    <w:rsid w:val="00251FAA"/>
    <w:rsid w:val="002524C3"/>
    <w:rsid w:val="00252711"/>
    <w:rsid w:val="00253005"/>
    <w:rsid w:val="00253016"/>
    <w:rsid w:val="00253184"/>
    <w:rsid w:val="0025340E"/>
    <w:rsid w:val="0025386B"/>
    <w:rsid w:val="002538DC"/>
    <w:rsid w:val="002539FE"/>
    <w:rsid w:val="0025411D"/>
    <w:rsid w:val="00254714"/>
    <w:rsid w:val="00254729"/>
    <w:rsid w:val="00254AB0"/>
    <w:rsid w:val="00254DAC"/>
    <w:rsid w:val="00254F99"/>
    <w:rsid w:val="002551C0"/>
    <w:rsid w:val="00255350"/>
    <w:rsid w:val="002553CE"/>
    <w:rsid w:val="00255881"/>
    <w:rsid w:val="00255A66"/>
    <w:rsid w:val="00255FD0"/>
    <w:rsid w:val="0025609B"/>
    <w:rsid w:val="0025612C"/>
    <w:rsid w:val="002561EF"/>
    <w:rsid w:val="002564A6"/>
    <w:rsid w:val="0025697D"/>
    <w:rsid w:val="00256AB2"/>
    <w:rsid w:val="00256C01"/>
    <w:rsid w:val="00256D1F"/>
    <w:rsid w:val="00257015"/>
    <w:rsid w:val="00257357"/>
    <w:rsid w:val="0025764C"/>
    <w:rsid w:val="002576FD"/>
    <w:rsid w:val="002577C3"/>
    <w:rsid w:val="00257900"/>
    <w:rsid w:val="00257C14"/>
    <w:rsid w:val="00257E6B"/>
    <w:rsid w:val="0026039E"/>
    <w:rsid w:val="00260AD9"/>
    <w:rsid w:val="00260D47"/>
    <w:rsid w:val="00260E0F"/>
    <w:rsid w:val="00261A26"/>
    <w:rsid w:val="00261C0B"/>
    <w:rsid w:val="00261E16"/>
    <w:rsid w:val="002625BF"/>
    <w:rsid w:val="00262648"/>
    <w:rsid w:val="0026278B"/>
    <w:rsid w:val="00262957"/>
    <w:rsid w:val="0026295C"/>
    <w:rsid w:val="00262B54"/>
    <w:rsid w:val="00262C85"/>
    <w:rsid w:val="00262DD0"/>
    <w:rsid w:val="00262EAD"/>
    <w:rsid w:val="00263059"/>
    <w:rsid w:val="002636F1"/>
    <w:rsid w:val="0026383D"/>
    <w:rsid w:val="0026389B"/>
    <w:rsid w:val="0026449D"/>
    <w:rsid w:val="0026459A"/>
    <w:rsid w:val="0026464F"/>
    <w:rsid w:val="00264DB1"/>
    <w:rsid w:val="0026509A"/>
    <w:rsid w:val="0026563C"/>
    <w:rsid w:val="00265A49"/>
    <w:rsid w:val="002660E9"/>
    <w:rsid w:val="002661DD"/>
    <w:rsid w:val="00266529"/>
    <w:rsid w:val="00266A8E"/>
    <w:rsid w:val="0026734C"/>
    <w:rsid w:val="002679C6"/>
    <w:rsid w:val="00267C57"/>
    <w:rsid w:val="0027011E"/>
    <w:rsid w:val="00270420"/>
    <w:rsid w:val="00270948"/>
    <w:rsid w:val="00271C20"/>
    <w:rsid w:val="00271C5E"/>
    <w:rsid w:val="00271DA3"/>
    <w:rsid w:val="00272568"/>
    <w:rsid w:val="00273283"/>
    <w:rsid w:val="002733C8"/>
    <w:rsid w:val="00273514"/>
    <w:rsid w:val="0027351E"/>
    <w:rsid w:val="00274121"/>
    <w:rsid w:val="002745A9"/>
    <w:rsid w:val="002748F4"/>
    <w:rsid w:val="00274900"/>
    <w:rsid w:val="00274A9F"/>
    <w:rsid w:val="00274DF3"/>
    <w:rsid w:val="0027509C"/>
    <w:rsid w:val="00275CB9"/>
    <w:rsid w:val="00275ED9"/>
    <w:rsid w:val="002760FB"/>
    <w:rsid w:val="0027665F"/>
    <w:rsid w:val="002766D7"/>
    <w:rsid w:val="00276C7D"/>
    <w:rsid w:val="00276D76"/>
    <w:rsid w:val="00277147"/>
    <w:rsid w:val="0027739A"/>
    <w:rsid w:val="002778E9"/>
    <w:rsid w:val="00280059"/>
    <w:rsid w:val="0028058C"/>
    <w:rsid w:val="00280FB5"/>
    <w:rsid w:val="00281179"/>
    <w:rsid w:val="002811A5"/>
    <w:rsid w:val="002813FD"/>
    <w:rsid w:val="0028154C"/>
    <w:rsid w:val="00281576"/>
    <w:rsid w:val="0028168F"/>
    <w:rsid w:val="00281C3D"/>
    <w:rsid w:val="00281FBD"/>
    <w:rsid w:val="00282009"/>
    <w:rsid w:val="002820CC"/>
    <w:rsid w:val="00282527"/>
    <w:rsid w:val="002827F5"/>
    <w:rsid w:val="00282EA3"/>
    <w:rsid w:val="002830FE"/>
    <w:rsid w:val="002833A5"/>
    <w:rsid w:val="002835FE"/>
    <w:rsid w:val="00283C02"/>
    <w:rsid w:val="00283FF3"/>
    <w:rsid w:val="0028405A"/>
    <w:rsid w:val="00284345"/>
    <w:rsid w:val="002847F5"/>
    <w:rsid w:val="00284A9F"/>
    <w:rsid w:val="0028505E"/>
    <w:rsid w:val="00285573"/>
    <w:rsid w:val="0028602B"/>
    <w:rsid w:val="002866E0"/>
    <w:rsid w:val="00286ADA"/>
    <w:rsid w:val="00286B47"/>
    <w:rsid w:val="00286C93"/>
    <w:rsid w:val="00286CC6"/>
    <w:rsid w:val="00286D01"/>
    <w:rsid w:val="00286D64"/>
    <w:rsid w:val="00287040"/>
    <w:rsid w:val="002870ED"/>
    <w:rsid w:val="00287161"/>
    <w:rsid w:val="00287316"/>
    <w:rsid w:val="00287888"/>
    <w:rsid w:val="0029019F"/>
    <w:rsid w:val="002909E7"/>
    <w:rsid w:val="002912EE"/>
    <w:rsid w:val="00291738"/>
    <w:rsid w:val="00291A38"/>
    <w:rsid w:val="00292948"/>
    <w:rsid w:val="00292AA7"/>
    <w:rsid w:val="00292F53"/>
    <w:rsid w:val="00293B6B"/>
    <w:rsid w:val="00293E2F"/>
    <w:rsid w:val="00294101"/>
    <w:rsid w:val="002942D7"/>
    <w:rsid w:val="00295355"/>
    <w:rsid w:val="002956C4"/>
    <w:rsid w:val="00295B19"/>
    <w:rsid w:val="00295EA3"/>
    <w:rsid w:val="002962A2"/>
    <w:rsid w:val="00296390"/>
    <w:rsid w:val="00297397"/>
    <w:rsid w:val="00297531"/>
    <w:rsid w:val="00297859"/>
    <w:rsid w:val="00297A86"/>
    <w:rsid w:val="00297B1F"/>
    <w:rsid w:val="00297EC8"/>
    <w:rsid w:val="002A026E"/>
    <w:rsid w:val="002A060C"/>
    <w:rsid w:val="002A0A8B"/>
    <w:rsid w:val="002A0B03"/>
    <w:rsid w:val="002A0D8A"/>
    <w:rsid w:val="002A0EC4"/>
    <w:rsid w:val="002A11C6"/>
    <w:rsid w:val="002A1414"/>
    <w:rsid w:val="002A15BB"/>
    <w:rsid w:val="002A1D40"/>
    <w:rsid w:val="002A1E7B"/>
    <w:rsid w:val="002A205A"/>
    <w:rsid w:val="002A22DF"/>
    <w:rsid w:val="002A2BEA"/>
    <w:rsid w:val="002A2EF3"/>
    <w:rsid w:val="002A31BD"/>
    <w:rsid w:val="002A3371"/>
    <w:rsid w:val="002A3C1D"/>
    <w:rsid w:val="002A3E58"/>
    <w:rsid w:val="002A4B25"/>
    <w:rsid w:val="002A4CAC"/>
    <w:rsid w:val="002A517B"/>
    <w:rsid w:val="002A52AE"/>
    <w:rsid w:val="002A5340"/>
    <w:rsid w:val="002A5F6D"/>
    <w:rsid w:val="002A6481"/>
    <w:rsid w:val="002A6F2D"/>
    <w:rsid w:val="002A6F9E"/>
    <w:rsid w:val="002A705B"/>
    <w:rsid w:val="002A726C"/>
    <w:rsid w:val="002A7AA4"/>
    <w:rsid w:val="002A7B67"/>
    <w:rsid w:val="002A7C97"/>
    <w:rsid w:val="002A7DED"/>
    <w:rsid w:val="002A7F1E"/>
    <w:rsid w:val="002B01C1"/>
    <w:rsid w:val="002B0378"/>
    <w:rsid w:val="002B09AB"/>
    <w:rsid w:val="002B18E3"/>
    <w:rsid w:val="002B1921"/>
    <w:rsid w:val="002B1B6E"/>
    <w:rsid w:val="002B1CCA"/>
    <w:rsid w:val="002B21BD"/>
    <w:rsid w:val="002B2872"/>
    <w:rsid w:val="002B2BD2"/>
    <w:rsid w:val="002B2DF8"/>
    <w:rsid w:val="002B2E58"/>
    <w:rsid w:val="002B3F6B"/>
    <w:rsid w:val="002B4441"/>
    <w:rsid w:val="002B47F0"/>
    <w:rsid w:val="002B50BD"/>
    <w:rsid w:val="002B52BB"/>
    <w:rsid w:val="002B53D8"/>
    <w:rsid w:val="002B619A"/>
    <w:rsid w:val="002B65EB"/>
    <w:rsid w:val="002B7564"/>
    <w:rsid w:val="002B7C29"/>
    <w:rsid w:val="002B7C78"/>
    <w:rsid w:val="002C0423"/>
    <w:rsid w:val="002C06CA"/>
    <w:rsid w:val="002C1125"/>
    <w:rsid w:val="002C15F9"/>
    <w:rsid w:val="002C1E34"/>
    <w:rsid w:val="002C1F44"/>
    <w:rsid w:val="002C1F9C"/>
    <w:rsid w:val="002C2C91"/>
    <w:rsid w:val="002C2DAE"/>
    <w:rsid w:val="002C3020"/>
    <w:rsid w:val="002C314F"/>
    <w:rsid w:val="002C3319"/>
    <w:rsid w:val="002C34A6"/>
    <w:rsid w:val="002C37C4"/>
    <w:rsid w:val="002C37EF"/>
    <w:rsid w:val="002C3B50"/>
    <w:rsid w:val="002C3CDD"/>
    <w:rsid w:val="002C40F3"/>
    <w:rsid w:val="002C423C"/>
    <w:rsid w:val="002C4469"/>
    <w:rsid w:val="002C4CDD"/>
    <w:rsid w:val="002C4E5A"/>
    <w:rsid w:val="002C52F5"/>
    <w:rsid w:val="002C54AB"/>
    <w:rsid w:val="002C5735"/>
    <w:rsid w:val="002C58E5"/>
    <w:rsid w:val="002C5D5E"/>
    <w:rsid w:val="002C608C"/>
    <w:rsid w:val="002C615C"/>
    <w:rsid w:val="002C6327"/>
    <w:rsid w:val="002C6495"/>
    <w:rsid w:val="002C66DB"/>
    <w:rsid w:val="002C75AD"/>
    <w:rsid w:val="002C773E"/>
    <w:rsid w:val="002C7A9B"/>
    <w:rsid w:val="002CE48C"/>
    <w:rsid w:val="002D0C28"/>
    <w:rsid w:val="002D1044"/>
    <w:rsid w:val="002D115C"/>
    <w:rsid w:val="002D1487"/>
    <w:rsid w:val="002D1667"/>
    <w:rsid w:val="002D16C7"/>
    <w:rsid w:val="002D19E6"/>
    <w:rsid w:val="002D1B81"/>
    <w:rsid w:val="002D1BB3"/>
    <w:rsid w:val="002D1C6E"/>
    <w:rsid w:val="002D22A3"/>
    <w:rsid w:val="002D25DD"/>
    <w:rsid w:val="002D2979"/>
    <w:rsid w:val="002D2994"/>
    <w:rsid w:val="002D2CFD"/>
    <w:rsid w:val="002D32BC"/>
    <w:rsid w:val="002D3394"/>
    <w:rsid w:val="002D3774"/>
    <w:rsid w:val="002D3826"/>
    <w:rsid w:val="002D3ABF"/>
    <w:rsid w:val="002D3AD1"/>
    <w:rsid w:val="002D3C02"/>
    <w:rsid w:val="002D44ED"/>
    <w:rsid w:val="002D4877"/>
    <w:rsid w:val="002D53A1"/>
    <w:rsid w:val="002D53AC"/>
    <w:rsid w:val="002D5905"/>
    <w:rsid w:val="002D5CDB"/>
    <w:rsid w:val="002D5CDF"/>
    <w:rsid w:val="002D65CD"/>
    <w:rsid w:val="002D674F"/>
    <w:rsid w:val="002D67B0"/>
    <w:rsid w:val="002D68EC"/>
    <w:rsid w:val="002D6C51"/>
    <w:rsid w:val="002D6DBD"/>
    <w:rsid w:val="002D6F0E"/>
    <w:rsid w:val="002D73E6"/>
    <w:rsid w:val="002D74BD"/>
    <w:rsid w:val="002D7AD7"/>
    <w:rsid w:val="002E03A4"/>
    <w:rsid w:val="002E0450"/>
    <w:rsid w:val="002E0675"/>
    <w:rsid w:val="002E0701"/>
    <w:rsid w:val="002E088E"/>
    <w:rsid w:val="002E0A63"/>
    <w:rsid w:val="002E0C53"/>
    <w:rsid w:val="002E0DE1"/>
    <w:rsid w:val="002E113D"/>
    <w:rsid w:val="002E1368"/>
    <w:rsid w:val="002E142D"/>
    <w:rsid w:val="002E15DF"/>
    <w:rsid w:val="002E1630"/>
    <w:rsid w:val="002E17EA"/>
    <w:rsid w:val="002E1A65"/>
    <w:rsid w:val="002E1CB7"/>
    <w:rsid w:val="002E1F24"/>
    <w:rsid w:val="002E1F64"/>
    <w:rsid w:val="002E1FF7"/>
    <w:rsid w:val="002E2073"/>
    <w:rsid w:val="002E24C1"/>
    <w:rsid w:val="002E26A2"/>
    <w:rsid w:val="002E26F3"/>
    <w:rsid w:val="002E3207"/>
    <w:rsid w:val="002E38D7"/>
    <w:rsid w:val="002E38F3"/>
    <w:rsid w:val="002E3AB8"/>
    <w:rsid w:val="002E40F9"/>
    <w:rsid w:val="002E4222"/>
    <w:rsid w:val="002E4504"/>
    <w:rsid w:val="002E45DF"/>
    <w:rsid w:val="002E480B"/>
    <w:rsid w:val="002E483E"/>
    <w:rsid w:val="002E4E0F"/>
    <w:rsid w:val="002E6036"/>
    <w:rsid w:val="002E62C4"/>
    <w:rsid w:val="002E65BF"/>
    <w:rsid w:val="002E6A37"/>
    <w:rsid w:val="002E6B18"/>
    <w:rsid w:val="002E6C98"/>
    <w:rsid w:val="002E7351"/>
    <w:rsid w:val="002E7412"/>
    <w:rsid w:val="002E755E"/>
    <w:rsid w:val="002E7730"/>
    <w:rsid w:val="002E7C5F"/>
    <w:rsid w:val="002E7CF6"/>
    <w:rsid w:val="002E7DA8"/>
    <w:rsid w:val="002F0435"/>
    <w:rsid w:val="002F0587"/>
    <w:rsid w:val="002F06A5"/>
    <w:rsid w:val="002F06B2"/>
    <w:rsid w:val="002F126F"/>
    <w:rsid w:val="002F12BA"/>
    <w:rsid w:val="002F18E5"/>
    <w:rsid w:val="002F198A"/>
    <w:rsid w:val="002F1A76"/>
    <w:rsid w:val="002F1C76"/>
    <w:rsid w:val="002F1CB3"/>
    <w:rsid w:val="002F24DA"/>
    <w:rsid w:val="002F2717"/>
    <w:rsid w:val="002F28B2"/>
    <w:rsid w:val="002F2938"/>
    <w:rsid w:val="002F2D54"/>
    <w:rsid w:val="002F3332"/>
    <w:rsid w:val="002F367D"/>
    <w:rsid w:val="002F40B3"/>
    <w:rsid w:val="002F4406"/>
    <w:rsid w:val="002F4DC1"/>
    <w:rsid w:val="002F4E42"/>
    <w:rsid w:val="002F5854"/>
    <w:rsid w:val="002F5CE9"/>
    <w:rsid w:val="002F5D33"/>
    <w:rsid w:val="002F616C"/>
    <w:rsid w:val="002F630D"/>
    <w:rsid w:val="002F6532"/>
    <w:rsid w:val="002F682A"/>
    <w:rsid w:val="002F6E80"/>
    <w:rsid w:val="002F71BF"/>
    <w:rsid w:val="002F723D"/>
    <w:rsid w:val="002F759C"/>
    <w:rsid w:val="002F78C0"/>
    <w:rsid w:val="002F7B24"/>
    <w:rsid w:val="003000E9"/>
    <w:rsid w:val="0030052C"/>
    <w:rsid w:val="00300D8C"/>
    <w:rsid w:val="0030131D"/>
    <w:rsid w:val="003016B9"/>
    <w:rsid w:val="00301D52"/>
    <w:rsid w:val="00301F2D"/>
    <w:rsid w:val="00302631"/>
    <w:rsid w:val="00302AE0"/>
    <w:rsid w:val="00303316"/>
    <w:rsid w:val="0030339A"/>
    <w:rsid w:val="003033BA"/>
    <w:rsid w:val="003034F3"/>
    <w:rsid w:val="0030356D"/>
    <w:rsid w:val="003035A0"/>
    <w:rsid w:val="003036D8"/>
    <w:rsid w:val="00303947"/>
    <w:rsid w:val="0030395E"/>
    <w:rsid w:val="00303A49"/>
    <w:rsid w:val="00303A90"/>
    <w:rsid w:val="00303C00"/>
    <w:rsid w:val="00303D4C"/>
    <w:rsid w:val="003040AB"/>
    <w:rsid w:val="003041B2"/>
    <w:rsid w:val="003047D2"/>
    <w:rsid w:val="0030481C"/>
    <w:rsid w:val="00304855"/>
    <w:rsid w:val="00304B63"/>
    <w:rsid w:val="00304E8D"/>
    <w:rsid w:val="00305199"/>
    <w:rsid w:val="003051C5"/>
    <w:rsid w:val="003055D8"/>
    <w:rsid w:val="00305745"/>
    <w:rsid w:val="00305746"/>
    <w:rsid w:val="00306123"/>
    <w:rsid w:val="003062AF"/>
    <w:rsid w:val="003062CF"/>
    <w:rsid w:val="0030657A"/>
    <w:rsid w:val="0030669A"/>
    <w:rsid w:val="003068D9"/>
    <w:rsid w:val="0030756A"/>
    <w:rsid w:val="00307FA7"/>
    <w:rsid w:val="0031006E"/>
    <w:rsid w:val="0031034D"/>
    <w:rsid w:val="003103DC"/>
    <w:rsid w:val="00310438"/>
    <w:rsid w:val="00310BA1"/>
    <w:rsid w:val="00310E77"/>
    <w:rsid w:val="003110E9"/>
    <w:rsid w:val="00311123"/>
    <w:rsid w:val="003114EA"/>
    <w:rsid w:val="00311A7A"/>
    <w:rsid w:val="00311C69"/>
    <w:rsid w:val="00311C7F"/>
    <w:rsid w:val="0031215F"/>
    <w:rsid w:val="003124CE"/>
    <w:rsid w:val="00312589"/>
    <w:rsid w:val="00313920"/>
    <w:rsid w:val="0031392C"/>
    <w:rsid w:val="00313A67"/>
    <w:rsid w:val="003142D8"/>
    <w:rsid w:val="00314412"/>
    <w:rsid w:val="00314AF0"/>
    <w:rsid w:val="003150FC"/>
    <w:rsid w:val="00315126"/>
    <w:rsid w:val="00315498"/>
    <w:rsid w:val="00315EC7"/>
    <w:rsid w:val="00316052"/>
    <w:rsid w:val="00316059"/>
    <w:rsid w:val="0031632F"/>
    <w:rsid w:val="00316C37"/>
    <w:rsid w:val="00316F19"/>
    <w:rsid w:val="003174E5"/>
    <w:rsid w:val="003176D8"/>
    <w:rsid w:val="00317813"/>
    <w:rsid w:val="003179C3"/>
    <w:rsid w:val="00317B4A"/>
    <w:rsid w:val="00317C8A"/>
    <w:rsid w:val="0032013A"/>
    <w:rsid w:val="003204D4"/>
    <w:rsid w:val="003205F1"/>
    <w:rsid w:val="003205F8"/>
    <w:rsid w:val="00320972"/>
    <w:rsid w:val="00320E22"/>
    <w:rsid w:val="003213A4"/>
    <w:rsid w:val="00321447"/>
    <w:rsid w:val="00321A3C"/>
    <w:rsid w:val="00321E90"/>
    <w:rsid w:val="003225E0"/>
    <w:rsid w:val="003226BE"/>
    <w:rsid w:val="00322748"/>
    <w:rsid w:val="00322920"/>
    <w:rsid w:val="00322FDC"/>
    <w:rsid w:val="003231FC"/>
    <w:rsid w:val="0032357B"/>
    <w:rsid w:val="003235C8"/>
    <w:rsid w:val="0032385E"/>
    <w:rsid w:val="00323895"/>
    <w:rsid w:val="003239B0"/>
    <w:rsid w:val="0032422B"/>
    <w:rsid w:val="00324678"/>
    <w:rsid w:val="0032475C"/>
    <w:rsid w:val="003247B7"/>
    <w:rsid w:val="00324FC7"/>
    <w:rsid w:val="00325A8D"/>
    <w:rsid w:val="00325D9B"/>
    <w:rsid w:val="00326299"/>
    <w:rsid w:val="00326556"/>
    <w:rsid w:val="003267EF"/>
    <w:rsid w:val="0032692D"/>
    <w:rsid w:val="00326DA1"/>
    <w:rsid w:val="00326E4C"/>
    <w:rsid w:val="00326EAF"/>
    <w:rsid w:val="00326ECB"/>
    <w:rsid w:val="00327154"/>
    <w:rsid w:val="00327174"/>
    <w:rsid w:val="00327667"/>
    <w:rsid w:val="00327681"/>
    <w:rsid w:val="00327A28"/>
    <w:rsid w:val="00327ED6"/>
    <w:rsid w:val="00330034"/>
    <w:rsid w:val="0033024C"/>
    <w:rsid w:val="003305E8"/>
    <w:rsid w:val="003307AE"/>
    <w:rsid w:val="00330A30"/>
    <w:rsid w:val="00330C7B"/>
    <w:rsid w:val="003312F5"/>
    <w:rsid w:val="0033183B"/>
    <w:rsid w:val="00331DA7"/>
    <w:rsid w:val="00332095"/>
    <w:rsid w:val="003321CC"/>
    <w:rsid w:val="003324B8"/>
    <w:rsid w:val="003325CE"/>
    <w:rsid w:val="00332A43"/>
    <w:rsid w:val="00332EA5"/>
    <w:rsid w:val="00332F9A"/>
    <w:rsid w:val="00333D74"/>
    <w:rsid w:val="003344F7"/>
    <w:rsid w:val="003346B8"/>
    <w:rsid w:val="00335241"/>
    <w:rsid w:val="00335273"/>
    <w:rsid w:val="00335C1D"/>
    <w:rsid w:val="00335EF5"/>
    <w:rsid w:val="00336202"/>
    <w:rsid w:val="00336ADE"/>
    <w:rsid w:val="00336D67"/>
    <w:rsid w:val="00336ECE"/>
    <w:rsid w:val="003370DE"/>
    <w:rsid w:val="00337814"/>
    <w:rsid w:val="00337FDE"/>
    <w:rsid w:val="00340B72"/>
    <w:rsid w:val="003410A5"/>
    <w:rsid w:val="003415D6"/>
    <w:rsid w:val="00341682"/>
    <w:rsid w:val="0034192C"/>
    <w:rsid w:val="00341F53"/>
    <w:rsid w:val="00341F96"/>
    <w:rsid w:val="003422FA"/>
    <w:rsid w:val="0034261B"/>
    <w:rsid w:val="00342761"/>
    <w:rsid w:val="00342B88"/>
    <w:rsid w:val="0034326A"/>
    <w:rsid w:val="00343283"/>
    <w:rsid w:val="00343343"/>
    <w:rsid w:val="00343938"/>
    <w:rsid w:val="0034398D"/>
    <w:rsid w:val="00343E6F"/>
    <w:rsid w:val="00343F40"/>
    <w:rsid w:val="00344286"/>
    <w:rsid w:val="00344452"/>
    <w:rsid w:val="00344911"/>
    <w:rsid w:val="00344CFF"/>
    <w:rsid w:val="00344FEE"/>
    <w:rsid w:val="003453D7"/>
    <w:rsid w:val="003457D4"/>
    <w:rsid w:val="00345D0E"/>
    <w:rsid w:val="0034619D"/>
    <w:rsid w:val="00346651"/>
    <w:rsid w:val="0034671B"/>
    <w:rsid w:val="0034674D"/>
    <w:rsid w:val="00346A45"/>
    <w:rsid w:val="003474C3"/>
    <w:rsid w:val="00350589"/>
    <w:rsid w:val="003508CC"/>
    <w:rsid w:val="00350933"/>
    <w:rsid w:val="00350C65"/>
    <w:rsid w:val="0035142E"/>
    <w:rsid w:val="003514ED"/>
    <w:rsid w:val="00351A91"/>
    <w:rsid w:val="00351F70"/>
    <w:rsid w:val="00351FED"/>
    <w:rsid w:val="003524BF"/>
    <w:rsid w:val="00352A37"/>
    <w:rsid w:val="00352B68"/>
    <w:rsid w:val="00352C3A"/>
    <w:rsid w:val="003531CE"/>
    <w:rsid w:val="003542FC"/>
    <w:rsid w:val="003548FC"/>
    <w:rsid w:val="00354FCD"/>
    <w:rsid w:val="0035532E"/>
    <w:rsid w:val="003553C4"/>
    <w:rsid w:val="00355432"/>
    <w:rsid w:val="00355B82"/>
    <w:rsid w:val="00355EDF"/>
    <w:rsid w:val="00355F34"/>
    <w:rsid w:val="003560A1"/>
    <w:rsid w:val="0035647F"/>
    <w:rsid w:val="003564BD"/>
    <w:rsid w:val="00356AF9"/>
    <w:rsid w:val="00356BD1"/>
    <w:rsid w:val="003571B4"/>
    <w:rsid w:val="0035775A"/>
    <w:rsid w:val="00357B23"/>
    <w:rsid w:val="00357FF0"/>
    <w:rsid w:val="00360156"/>
    <w:rsid w:val="00360676"/>
    <w:rsid w:val="00360877"/>
    <w:rsid w:val="00360B74"/>
    <w:rsid w:val="0036104C"/>
    <w:rsid w:val="0036110F"/>
    <w:rsid w:val="0036115A"/>
    <w:rsid w:val="003619AC"/>
    <w:rsid w:val="00361CC5"/>
    <w:rsid w:val="003620D5"/>
    <w:rsid w:val="00362101"/>
    <w:rsid w:val="0036211B"/>
    <w:rsid w:val="0036248E"/>
    <w:rsid w:val="0036250C"/>
    <w:rsid w:val="003625DC"/>
    <w:rsid w:val="00362989"/>
    <w:rsid w:val="00362FFE"/>
    <w:rsid w:val="00363072"/>
    <w:rsid w:val="00363539"/>
    <w:rsid w:val="0036370E"/>
    <w:rsid w:val="00363816"/>
    <w:rsid w:val="003639B4"/>
    <w:rsid w:val="003639E0"/>
    <w:rsid w:val="00363B83"/>
    <w:rsid w:val="00363C06"/>
    <w:rsid w:val="003642BC"/>
    <w:rsid w:val="003642E0"/>
    <w:rsid w:val="003642E6"/>
    <w:rsid w:val="003642FB"/>
    <w:rsid w:val="003643A3"/>
    <w:rsid w:val="003643F6"/>
    <w:rsid w:val="00364AFD"/>
    <w:rsid w:val="00364B86"/>
    <w:rsid w:val="00365F3F"/>
    <w:rsid w:val="00365F67"/>
    <w:rsid w:val="003664A6"/>
    <w:rsid w:val="003669F3"/>
    <w:rsid w:val="00366AB7"/>
    <w:rsid w:val="00366CE3"/>
    <w:rsid w:val="00367098"/>
    <w:rsid w:val="0036725F"/>
    <w:rsid w:val="003674D4"/>
    <w:rsid w:val="0036751B"/>
    <w:rsid w:val="003676C9"/>
    <w:rsid w:val="003676DC"/>
    <w:rsid w:val="003676F4"/>
    <w:rsid w:val="00367707"/>
    <w:rsid w:val="00367E76"/>
    <w:rsid w:val="00367F1C"/>
    <w:rsid w:val="00367FE5"/>
    <w:rsid w:val="003703DA"/>
    <w:rsid w:val="00370858"/>
    <w:rsid w:val="003708A6"/>
    <w:rsid w:val="0037091F"/>
    <w:rsid w:val="003709E2"/>
    <w:rsid w:val="00370BF8"/>
    <w:rsid w:val="003710A7"/>
    <w:rsid w:val="00371168"/>
    <w:rsid w:val="003712E8"/>
    <w:rsid w:val="0037178A"/>
    <w:rsid w:val="003718A8"/>
    <w:rsid w:val="0037198B"/>
    <w:rsid w:val="003719AA"/>
    <w:rsid w:val="00371AFF"/>
    <w:rsid w:val="00371C4D"/>
    <w:rsid w:val="00371CB7"/>
    <w:rsid w:val="00371D26"/>
    <w:rsid w:val="003722E2"/>
    <w:rsid w:val="00372408"/>
    <w:rsid w:val="003725A4"/>
    <w:rsid w:val="0037265B"/>
    <w:rsid w:val="00372704"/>
    <w:rsid w:val="0037275A"/>
    <w:rsid w:val="00372D6E"/>
    <w:rsid w:val="00372F8F"/>
    <w:rsid w:val="00373411"/>
    <w:rsid w:val="0037363A"/>
    <w:rsid w:val="0037371D"/>
    <w:rsid w:val="00373751"/>
    <w:rsid w:val="00373AA9"/>
    <w:rsid w:val="00373AFD"/>
    <w:rsid w:val="00373BFF"/>
    <w:rsid w:val="0037430E"/>
    <w:rsid w:val="003749AF"/>
    <w:rsid w:val="003750A3"/>
    <w:rsid w:val="00375198"/>
    <w:rsid w:val="003757CA"/>
    <w:rsid w:val="0037594E"/>
    <w:rsid w:val="00375AFC"/>
    <w:rsid w:val="00375C8B"/>
    <w:rsid w:val="00375E16"/>
    <w:rsid w:val="00375FA6"/>
    <w:rsid w:val="00376140"/>
    <w:rsid w:val="003766F1"/>
    <w:rsid w:val="00376A5D"/>
    <w:rsid w:val="00376C99"/>
    <w:rsid w:val="00376D96"/>
    <w:rsid w:val="00376FD2"/>
    <w:rsid w:val="003771B7"/>
    <w:rsid w:val="003772FB"/>
    <w:rsid w:val="00377D6E"/>
    <w:rsid w:val="00377DE0"/>
    <w:rsid w:val="00377E7A"/>
    <w:rsid w:val="00377E8E"/>
    <w:rsid w:val="00377F8B"/>
    <w:rsid w:val="00380402"/>
    <w:rsid w:val="0038077A"/>
    <w:rsid w:val="00380A88"/>
    <w:rsid w:val="00380C2C"/>
    <w:rsid w:val="00380E93"/>
    <w:rsid w:val="00380F72"/>
    <w:rsid w:val="00381118"/>
    <w:rsid w:val="003815B8"/>
    <w:rsid w:val="0038195A"/>
    <w:rsid w:val="00381BF3"/>
    <w:rsid w:val="00381C7C"/>
    <w:rsid w:val="00381E95"/>
    <w:rsid w:val="003820D0"/>
    <w:rsid w:val="00382457"/>
    <w:rsid w:val="00382ACF"/>
    <w:rsid w:val="00382E02"/>
    <w:rsid w:val="003832B1"/>
    <w:rsid w:val="00383CBD"/>
    <w:rsid w:val="00383F5C"/>
    <w:rsid w:val="00383F5E"/>
    <w:rsid w:val="003840A8"/>
    <w:rsid w:val="003842D3"/>
    <w:rsid w:val="003842F6"/>
    <w:rsid w:val="0038436B"/>
    <w:rsid w:val="00384478"/>
    <w:rsid w:val="00385308"/>
    <w:rsid w:val="00385606"/>
    <w:rsid w:val="0038588F"/>
    <w:rsid w:val="003858BC"/>
    <w:rsid w:val="0038596F"/>
    <w:rsid w:val="00385E25"/>
    <w:rsid w:val="00386D06"/>
    <w:rsid w:val="00386E8F"/>
    <w:rsid w:val="00387091"/>
    <w:rsid w:val="00387654"/>
    <w:rsid w:val="00387C9B"/>
    <w:rsid w:val="0038F634"/>
    <w:rsid w:val="003906AE"/>
    <w:rsid w:val="00390899"/>
    <w:rsid w:val="00390A83"/>
    <w:rsid w:val="003911BC"/>
    <w:rsid w:val="00391654"/>
    <w:rsid w:val="00391723"/>
    <w:rsid w:val="00391C1E"/>
    <w:rsid w:val="00391D15"/>
    <w:rsid w:val="00391DAB"/>
    <w:rsid w:val="00391E51"/>
    <w:rsid w:val="003922F7"/>
    <w:rsid w:val="0039267E"/>
    <w:rsid w:val="00392CFA"/>
    <w:rsid w:val="00392E34"/>
    <w:rsid w:val="00393286"/>
    <w:rsid w:val="00393398"/>
    <w:rsid w:val="00393525"/>
    <w:rsid w:val="0039374A"/>
    <w:rsid w:val="0039383E"/>
    <w:rsid w:val="00393BB5"/>
    <w:rsid w:val="00393D3E"/>
    <w:rsid w:val="0039433C"/>
    <w:rsid w:val="00394638"/>
    <w:rsid w:val="00394644"/>
    <w:rsid w:val="00394864"/>
    <w:rsid w:val="0039497C"/>
    <w:rsid w:val="00394CAD"/>
    <w:rsid w:val="00395135"/>
    <w:rsid w:val="00395A21"/>
    <w:rsid w:val="0039615F"/>
    <w:rsid w:val="0039619B"/>
    <w:rsid w:val="0039626E"/>
    <w:rsid w:val="003963E4"/>
    <w:rsid w:val="003965C5"/>
    <w:rsid w:val="003969FB"/>
    <w:rsid w:val="00397895"/>
    <w:rsid w:val="003979E8"/>
    <w:rsid w:val="003A0138"/>
    <w:rsid w:val="003A0144"/>
    <w:rsid w:val="003A0170"/>
    <w:rsid w:val="003A0676"/>
    <w:rsid w:val="003A0C13"/>
    <w:rsid w:val="003A0E67"/>
    <w:rsid w:val="003A161E"/>
    <w:rsid w:val="003A1D0D"/>
    <w:rsid w:val="003A2B38"/>
    <w:rsid w:val="003A2BBB"/>
    <w:rsid w:val="003A2C76"/>
    <w:rsid w:val="003A36D9"/>
    <w:rsid w:val="003A3846"/>
    <w:rsid w:val="003A3C95"/>
    <w:rsid w:val="003A3EDF"/>
    <w:rsid w:val="003A48FD"/>
    <w:rsid w:val="003A4A59"/>
    <w:rsid w:val="003A4F64"/>
    <w:rsid w:val="003A517D"/>
    <w:rsid w:val="003A5702"/>
    <w:rsid w:val="003A57CD"/>
    <w:rsid w:val="003A5DD8"/>
    <w:rsid w:val="003A6481"/>
    <w:rsid w:val="003A6527"/>
    <w:rsid w:val="003A66B1"/>
    <w:rsid w:val="003A6716"/>
    <w:rsid w:val="003A683B"/>
    <w:rsid w:val="003A6864"/>
    <w:rsid w:val="003A6C86"/>
    <w:rsid w:val="003A6F31"/>
    <w:rsid w:val="003A7005"/>
    <w:rsid w:val="003A711B"/>
    <w:rsid w:val="003A72F9"/>
    <w:rsid w:val="003A7494"/>
    <w:rsid w:val="003A7BE1"/>
    <w:rsid w:val="003A7C0E"/>
    <w:rsid w:val="003B0162"/>
    <w:rsid w:val="003B0205"/>
    <w:rsid w:val="003B0267"/>
    <w:rsid w:val="003B081B"/>
    <w:rsid w:val="003B0B0E"/>
    <w:rsid w:val="003B0BBA"/>
    <w:rsid w:val="003B0C16"/>
    <w:rsid w:val="003B10E9"/>
    <w:rsid w:val="003B147A"/>
    <w:rsid w:val="003B1496"/>
    <w:rsid w:val="003B1636"/>
    <w:rsid w:val="003B21FB"/>
    <w:rsid w:val="003B2251"/>
    <w:rsid w:val="003B254D"/>
    <w:rsid w:val="003B272B"/>
    <w:rsid w:val="003B29D8"/>
    <w:rsid w:val="003B2FD6"/>
    <w:rsid w:val="003B30A7"/>
    <w:rsid w:val="003B32FF"/>
    <w:rsid w:val="003B340B"/>
    <w:rsid w:val="003B3445"/>
    <w:rsid w:val="003B3542"/>
    <w:rsid w:val="003B35A8"/>
    <w:rsid w:val="003B39EA"/>
    <w:rsid w:val="003B3F0D"/>
    <w:rsid w:val="003B449D"/>
    <w:rsid w:val="003B4A70"/>
    <w:rsid w:val="003B4AE2"/>
    <w:rsid w:val="003B4F57"/>
    <w:rsid w:val="003B50A2"/>
    <w:rsid w:val="003B5377"/>
    <w:rsid w:val="003B6741"/>
    <w:rsid w:val="003B6A7A"/>
    <w:rsid w:val="003B6BA9"/>
    <w:rsid w:val="003B7186"/>
    <w:rsid w:val="003B745F"/>
    <w:rsid w:val="003B784B"/>
    <w:rsid w:val="003B7A8E"/>
    <w:rsid w:val="003B7C7E"/>
    <w:rsid w:val="003B7D11"/>
    <w:rsid w:val="003B7D69"/>
    <w:rsid w:val="003B7E52"/>
    <w:rsid w:val="003C069A"/>
    <w:rsid w:val="003C0CC5"/>
    <w:rsid w:val="003C1251"/>
    <w:rsid w:val="003C1564"/>
    <w:rsid w:val="003C170A"/>
    <w:rsid w:val="003C1813"/>
    <w:rsid w:val="003C1874"/>
    <w:rsid w:val="003C18B2"/>
    <w:rsid w:val="003C1984"/>
    <w:rsid w:val="003C1A96"/>
    <w:rsid w:val="003C1DE7"/>
    <w:rsid w:val="003C1F18"/>
    <w:rsid w:val="003C2038"/>
    <w:rsid w:val="003C20ED"/>
    <w:rsid w:val="003C2375"/>
    <w:rsid w:val="003C27AB"/>
    <w:rsid w:val="003C2B00"/>
    <w:rsid w:val="003C2D9F"/>
    <w:rsid w:val="003C2E68"/>
    <w:rsid w:val="003C3426"/>
    <w:rsid w:val="003C3968"/>
    <w:rsid w:val="003C405B"/>
    <w:rsid w:val="003C43EC"/>
    <w:rsid w:val="003C4D5C"/>
    <w:rsid w:val="003C584F"/>
    <w:rsid w:val="003C5B13"/>
    <w:rsid w:val="003C5E24"/>
    <w:rsid w:val="003C61F3"/>
    <w:rsid w:val="003C6422"/>
    <w:rsid w:val="003C6BA3"/>
    <w:rsid w:val="003C7036"/>
    <w:rsid w:val="003C70F1"/>
    <w:rsid w:val="003C7181"/>
    <w:rsid w:val="003C7183"/>
    <w:rsid w:val="003C7642"/>
    <w:rsid w:val="003C7664"/>
    <w:rsid w:val="003C7F67"/>
    <w:rsid w:val="003D00DD"/>
    <w:rsid w:val="003D0202"/>
    <w:rsid w:val="003D0327"/>
    <w:rsid w:val="003D0447"/>
    <w:rsid w:val="003D0ABE"/>
    <w:rsid w:val="003D16DB"/>
    <w:rsid w:val="003D1CF7"/>
    <w:rsid w:val="003D262C"/>
    <w:rsid w:val="003D2E61"/>
    <w:rsid w:val="003D2F84"/>
    <w:rsid w:val="003D2FD7"/>
    <w:rsid w:val="003D3A15"/>
    <w:rsid w:val="003D3DB1"/>
    <w:rsid w:val="003D432F"/>
    <w:rsid w:val="003D4F0A"/>
    <w:rsid w:val="003D501D"/>
    <w:rsid w:val="003D5113"/>
    <w:rsid w:val="003D5293"/>
    <w:rsid w:val="003D529A"/>
    <w:rsid w:val="003D52F3"/>
    <w:rsid w:val="003D54F3"/>
    <w:rsid w:val="003D5AD0"/>
    <w:rsid w:val="003D5CC0"/>
    <w:rsid w:val="003D636F"/>
    <w:rsid w:val="003D63E6"/>
    <w:rsid w:val="003D641C"/>
    <w:rsid w:val="003D6B81"/>
    <w:rsid w:val="003D7455"/>
    <w:rsid w:val="003D771B"/>
    <w:rsid w:val="003D79DC"/>
    <w:rsid w:val="003D7A65"/>
    <w:rsid w:val="003D7A78"/>
    <w:rsid w:val="003E0019"/>
    <w:rsid w:val="003E0179"/>
    <w:rsid w:val="003E0188"/>
    <w:rsid w:val="003E080A"/>
    <w:rsid w:val="003E094A"/>
    <w:rsid w:val="003E0A3B"/>
    <w:rsid w:val="003E0EF0"/>
    <w:rsid w:val="003E0F78"/>
    <w:rsid w:val="003E148B"/>
    <w:rsid w:val="003E14F9"/>
    <w:rsid w:val="003E1587"/>
    <w:rsid w:val="003E1604"/>
    <w:rsid w:val="003E1FA0"/>
    <w:rsid w:val="003E2206"/>
    <w:rsid w:val="003E225C"/>
    <w:rsid w:val="003E24DF"/>
    <w:rsid w:val="003E2598"/>
    <w:rsid w:val="003E264F"/>
    <w:rsid w:val="003E26CF"/>
    <w:rsid w:val="003E2AB3"/>
    <w:rsid w:val="003E32AD"/>
    <w:rsid w:val="003E3625"/>
    <w:rsid w:val="003E3B88"/>
    <w:rsid w:val="003E3C65"/>
    <w:rsid w:val="003E3E99"/>
    <w:rsid w:val="003E40EB"/>
    <w:rsid w:val="003E4B2E"/>
    <w:rsid w:val="003E5154"/>
    <w:rsid w:val="003E52B4"/>
    <w:rsid w:val="003E535B"/>
    <w:rsid w:val="003E5390"/>
    <w:rsid w:val="003E6046"/>
    <w:rsid w:val="003E60BA"/>
    <w:rsid w:val="003E6113"/>
    <w:rsid w:val="003E6311"/>
    <w:rsid w:val="003E6319"/>
    <w:rsid w:val="003E63BE"/>
    <w:rsid w:val="003E6DDE"/>
    <w:rsid w:val="003E784B"/>
    <w:rsid w:val="003E7978"/>
    <w:rsid w:val="003E7CC8"/>
    <w:rsid w:val="003E7DAA"/>
    <w:rsid w:val="003E7F8E"/>
    <w:rsid w:val="003F0221"/>
    <w:rsid w:val="003F0400"/>
    <w:rsid w:val="003F0869"/>
    <w:rsid w:val="003F08B8"/>
    <w:rsid w:val="003F0F28"/>
    <w:rsid w:val="003F1178"/>
    <w:rsid w:val="003F16F7"/>
    <w:rsid w:val="003F1887"/>
    <w:rsid w:val="003F1AB9"/>
    <w:rsid w:val="003F1B77"/>
    <w:rsid w:val="003F2A5F"/>
    <w:rsid w:val="003F2B03"/>
    <w:rsid w:val="003F3ABD"/>
    <w:rsid w:val="003F4148"/>
    <w:rsid w:val="003F43C3"/>
    <w:rsid w:val="003F45D0"/>
    <w:rsid w:val="003F51DC"/>
    <w:rsid w:val="003F532C"/>
    <w:rsid w:val="003F534F"/>
    <w:rsid w:val="003F54FA"/>
    <w:rsid w:val="003F5832"/>
    <w:rsid w:val="003F5A0E"/>
    <w:rsid w:val="003F6416"/>
    <w:rsid w:val="003F646C"/>
    <w:rsid w:val="003F6598"/>
    <w:rsid w:val="003F6634"/>
    <w:rsid w:val="003F68F1"/>
    <w:rsid w:val="003F69BB"/>
    <w:rsid w:val="003F6A84"/>
    <w:rsid w:val="003F6BBC"/>
    <w:rsid w:val="003F6C2F"/>
    <w:rsid w:val="003F6D3F"/>
    <w:rsid w:val="003F6D7C"/>
    <w:rsid w:val="003F7162"/>
    <w:rsid w:val="003F71EE"/>
    <w:rsid w:val="003F7678"/>
    <w:rsid w:val="003F7845"/>
    <w:rsid w:val="003F7E53"/>
    <w:rsid w:val="00400989"/>
    <w:rsid w:val="00400E2D"/>
    <w:rsid w:val="00400EF4"/>
    <w:rsid w:val="004010E2"/>
    <w:rsid w:val="0040123A"/>
    <w:rsid w:val="00401468"/>
    <w:rsid w:val="00401774"/>
    <w:rsid w:val="00401B30"/>
    <w:rsid w:val="00401D64"/>
    <w:rsid w:val="00402195"/>
    <w:rsid w:val="00402282"/>
    <w:rsid w:val="0040264B"/>
    <w:rsid w:val="004026D4"/>
    <w:rsid w:val="00402C7F"/>
    <w:rsid w:val="004036CD"/>
    <w:rsid w:val="00403D69"/>
    <w:rsid w:val="00403EDB"/>
    <w:rsid w:val="004045D4"/>
    <w:rsid w:val="00404A4B"/>
    <w:rsid w:val="004051A1"/>
    <w:rsid w:val="004051D3"/>
    <w:rsid w:val="00405519"/>
    <w:rsid w:val="0040615E"/>
    <w:rsid w:val="00406964"/>
    <w:rsid w:val="00406B35"/>
    <w:rsid w:val="00406BAE"/>
    <w:rsid w:val="00406E35"/>
    <w:rsid w:val="004075DB"/>
    <w:rsid w:val="0041050B"/>
    <w:rsid w:val="00410867"/>
    <w:rsid w:val="00410BBE"/>
    <w:rsid w:val="00410ECC"/>
    <w:rsid w:val="00411407"/>
    <w:rsid w:val="00411B18"/>
    <w:rsid w:val="00411C97"/>
    <w:rsid w:val="00411E63"/>
    <w:rsid w:val="00411FED"/>
    <w:rsid w:val="00412A4E"/>
    <w:rsid w:val="004130F9"/>
    <w:rsid w:val="00413601"/>
    <w:rsid w:val="004143BF"/>
    <w:rsid w:val="004145FF"/>
    <w:rsid w:val="004148B6"/>
    <w:rsid w:val="00414BAC"/>
    <w:rsid w:val="00414C04"/>
    <w:rsid w:val="004150EC"/>
    <w:rsid w:val="004151D3"/>
    <w:rsid w:val="00415B7E"/>
    <w:rsid w:val="00415F60"/>
    <w:rsid w:val="00416971"/>
    <w:rsid w:val="0041699A"/>
    <w:rsid w:val="00416AD3"/>
    <w:rsid w:val="00416F48"/>
    <w:rsid w:val="004175FC"/>
    <w:rsid w:val="00417AAF"/>
    <w:rsid w:val="00417F8E"/>
    <w:rsid w:val="0042004B"/>
    <w:rsid w:val="004206E4"/>
    <w:rsid w:val="00420A30"/>
    <w:rsid w:val="00420BA1"/>
    <w:rsid w:val="0042149E"/>
    <w:rsid w:val="00421948"/>
    <w:rsid w:val="00421AF9"/>
    <w:rsid w:val="00421F3B"/>
    <w:rsid w:val="00422665"/>
    <w:rsid w:val="00422B44"/>
    <w:rsid w:val="00422C45"/>
    <w:rsid w:val="00423241"/>
    <w:rsid w:val="004232C4"/>
    <w:rsid w:val="00423835"/>
    <w:rsid w:val="0042385E"/>
    <w:rsid w:val="00423A77"/>
    <w:rsid w:val="00423C57"/>
    <w:rsid w:val="00424025"/>
    <w:rsid w:val="0042416B"/>
    <w:rsid w:val="0042468A"/>
    <w:rsid w:val="004247EF"/>
    <w:rsid w:val="00424B14"/>
    <w:rsid w:val="00424BD7"/>
    <w:rsid w:val="00424F51"/>
    <w:rsid w:val="00425655"/>
    <w:rsid w:val="00425940"/>
    <w:rsid w:val="00425A7A"/>
    <w:rsid w:val="00425C76"/>
    <w:rsid w:val="004263F1"/>
    <w:rsid w:val="00426892"/>
    <w:rsid w:val="004268CF"/>
    <w:rsid w:val="00426CBF"/>
    <w:rsid w:val="00426D6B"/>
    <w:rsid w:val="00426E7F"/>
    <w:rsid w:val="00427488"/>
    <w:rsid w:val="00427849"/>
    <w:rsid w:val="00427BE2"/>
    <w:rsid w:val="00427F11"/>
    <w:rsid w:val="00427F6A"/>
    <w:rsid w:val="0043010B"/>
    <w:rsid w:val="004303DC"/>
    <w:rsid w:val="00430B72"/>
    <w:rsid w:val="004316F6"/>
    <w:rsid w:val="004317E8"/>
    <w:rsid w:val="00431B6C"/>
    <w:rsid w:val="00431D23"/>
    <w:rsid w:val="0043267C"/>
    <w:rsid w:val="0043280E"/>
    <w:rsid w:val="00432965"/>
    <w:rsid w:val="00432A24"/>
    <w:rsid w:val="00432E27"/>
    <w:rsid w:val="00433527"/>
    <w:rsid w:val="00434649"/>
    <w:rsid w:val="00434753"/>
    <w:rsid w:val="00434928"/>
    <w:rsid w:val="00435109"/>
    <w:rsid w:val="0043514F"/>
    <w:rsid w:val="004351B4"/>
    <w:rsid w:val="00435225"/>
    <w:rsid w:val="00435357"/>
    <w:rsid w:val="004355B7"/>
    <w:rsid w:val="00435AE8"/>
    <w:rsid w:val="00435E30"/>
    <w:rsid w:val="00435FFC"/>
    <w:rsid w:val="00436394"/>
    <w:rsid w:val="004367A6"/>
    <w:rsid w:val="004369D8"/>
    <w:rsid w:val="00436ACA"/>
    <w:rsid w:val="00436E37"/>
    <w:rsid w:val="00436F58"/>
    <w:rsid w:val="004373FA"/>
    <w:rsid w:val="00437B1A"/>
    <w:rsid w:val="00440175"/>
    <w:rsid w:val="004401B7"/>
    <w:rsid w:val="004403CF"/>
    <w:rsid w:val="00440462"/>
    <w:rsid w:val="00440D26"/>
    <w:rsid w:val="00440DA5"/>
    <w:rsid w:val="0044173E"/>
    <w:rsid w:val="00442265"/>
    <w:rsid w:val="0044229F"/>
    <w:rsid w:val="004427E7"/>
    <w:rsid w:val="00442D08"/>
    <w:rsid w:val="00443127"/>
    <w:rsid w:val="004437E9"/>
    <w:rsid w:val="00443B40"/>
    <w:rsid w:val="00443BD4"/>
    <w:rsid w:val="00443D53"/>
    <w:rsid w:val="00443DAF"/>
    <w:rsid w:val="0044410E"/>
    <w:rsid w:val="0044416B"/>
    <w:rsid w:val="00444193"/>
    <w:rsid w:val="0044489F"/>
    <w:rsid w:val="00444CA8"/>
    <w:rsid w:val="00445622"/>
    <w:rsid w:val="00445B32"/>
    <w:rsid w:val="00445CD6"/>
    <w:rsid w:val="00445FC6"/>
    <w:rsid w:val="004460A6"/>
    <w:rsid w:val="00446571"/>
    <w:rsid w:val="00446716"/>
    <w:rsid w:val="00446BB7"/>
    <w:rsid w:val="00446D8E"/>
    <w:rsid w:val="00446ED8"/>
    <w:rsid w:val="00446F7E"/>
    <w:rsid w:val="0044729A"/>
    <w:rsid w:val="00447896"/>
    <w:rsid w:val="004478F7"/>
    <w:rsid w:val="00447D80"/>
    <w:rsid w:val="0045002E"/>
    <w:rsid w:val="004500FD"/>
    <w:rsid w:val="0045032B"/>
    <w:rsid w:val="00450628"/>
    <w:rsid w:val="00450760"/>
    <w:rsid w:val="00450A01"/>
    <w:rsid w:val="00450A61"/>
    <w:rsid w:val="00450A91"/>
    <w:rsid w:val="00450C9C"/>
    <w:rsid w:val="00450D6E"/>
    <w:rsid w:val="00450E6B"/>
    <w:rsid w:val="0045114C"/>
    <w:rsid w:val="00451423"/>
    <w:rsid w:val="004518B7"/>
    <w:rsid w:val="0045196C"/>
    <w:rsid w:val="00451A68"/>
    <w:rsid w:val="00451DF9"/>
    <w:rsid w:val="00451F51"/>
    <w:rsid w:val="00451F92"/>
    <w:rsid w:val="00452006"/>
    <w:rsid w:val="00452727"/>
    <w:rsid w:val="00452884"/>
    <w:rsid w:val="00453222"/>
    <w:rsid w:val="00453691"/>
    <w:rsid w:val="00453E53"/>
    <w:rsid w:val="00453E67"/>
    <w:rsid w:val="004545D3"/>
    <w:rsid w:val="00454823"/>
    <w:rsid w:val="00454A50"/>
    <w:rsid w:val="00454A64"/>
    <w:rsid w:val="004550FA"/>
    <w:rsid w:val="00455199"/>
    <w:rsid w:val="00455502"/>
    <w:rsid w:val="0045597F"/>
    <w:rsid w:val="00455F6F"/>
    <w:rsid w:val="0045696E"/>
    <w:rsid w:val="00456BA7"/>
    <w:rsid w:val="00456E19"/>
    <w:rsid w:val="00456EAA"/>
    <w:rsid w:val="004571E6"/>
    <w:rsid w:val="0045744B"/>
    <w:rsid w:val="00457593"/>
    <w:rsid w:val="00457BBF"/>
    <w:rsid w:val="00457F39"/>
    <w:rsid w:val="0045B067"/>
    <w:rsid w:val="00460406"/>
    <w:rsid w:val="004604D1"/>
    <w:rsid w:val="00460CC0"/>
    <w:rsid w:val="0046118B"/>
    <w:rsid w:val="004611DD"/>
    <w:rsid w:val="004611EC"/>
    <w:rsid w:val="00461541"/>
    <w:rsid w:val="004616F1"/>
    <w:rsid w:val="00461884"/>
    <w:rsid w:val="00461DB7"/>
    <w:rsid w:val="00461DD1"/>
    <w:rsid w:val="00461ED7"/>
    <w:rsid w:val="0046240E"/>
    <w:rsid w:val="00462835"/>
    <w:rsid w:val="00462A8B"/>
    <w:rsid w:val="00462C8B"/>
    <w:rsid w:val="00462FC6"/>
    <w:rsid w:val="00462FD2"/>
    <w:rsid w:val="0046347B"/>
    <w:rsid w:val="00463645"/>
    <w:rsid w:val="0046386E"/>
    <w:rsid w:val="00463A75"/>
    <w:rsid w:val="00463C96"/>
    <w:rsid w:val="00463D14"/>
    <w:rsid w:val="004641FD"/>
    <w:rsid w:val="004648AF"/>
    <w:rsid w:val="00464D40"/>
    <w:rsid w:val="00464D8F"/>
    <w:rsid w:val="00464E43"/>
    <w:rsid w:val="00465355"/>
    <w:rsid w:val="0046540F"/>
    <w:rsid w:val="004655E0"/>
    <w:rsid w:val="00465876"/>
    <w:rsid w:val="00465929"/>
    <w:rsid w:val="004659BC"/>
    <w:rsid w:val="004659F9"/>
    <w:rsid w:val="00465B4A"/>
    <w:rsid w:val="00465DAA"/>
    <w:rsid w:val="00466338"/>
    <w:rsid w:val="0046657F"/>
    <w:rsid w:val="004665C7"/>
    <w:rsid w:val="0046698F"/>
    <w:rsid w:val="00466C0C"/>
    <w:rsid w:val="004673E2"/>
    <w:rsid w:val="004679AE"/>
    <w:rsid w:val="00467C24"/>
    <w:rsid w:val="00467C6B"/>
    <w:rsid w:val="00467CBE"/>
    <w:rsid w:val="00467EF9"/>
    <w:rsid w:val="0046B44A"/>
    <w:rsid w:val="004700AE"/>
    <w:rsid w:val="00470204"/>
    <w:rsid w:val="0047063B"/>
    <w:rsid w:val="00470845"/>
    <w:rsid w:val="00470958"/>
    <w:rsid w:val="00470A91"/>
    <w:rsid w:val="00470DF7"/>
    <w:rsid w:val="00470F13"/>
    <w:rsid w:val="00470FFE"/>
    <w:rsid w:val="00471010"/>
    <w:rsid w:val="0047124A"/>
    <w:rsid w:val="00471476"/>
    <w:rsid w:val="004715F1"/>
    <w:rsid w:val="00472082"/>
    <w:rsid w:val="00472284"/>
    <w:rsid w:val="0047241B"/>
    <w:rsid w:val="00472627"/>
    <w:rsid w:val="004728B9"/>
    <w:rsid w:val="00472910"/>
    <w:rsid w:val="00472C84"/>
    <w:rsid w:val="00472E90"/>
    <w:rsid w:val="00473080"/>
    <w:rsid w:val="004734E6"/>
    <w:rsid w:val="00473972"/>
    <w:rsid w:val="00473C97"/>
    <w:rsid w:val="004740AD"/>
    <w:rsid w:val="00474876"/>
    <w:rsid w:val="00474C12"/>
    <w:rsid w:val="00475B7D"/>
    <w:rsid w:val="004763FC"/>
    <w:rsid w:val="00476530"/>
    <w:rsid w:val="004768F3"/>
    <w:rsid w:val="00477395"/>
    <w:rsid w:val="004775C0"/>
    <w:rsid w:val="004779C6"/>
    <w:rsid w:val="004801D9"/>
    <w:rsid w:val="0048032D"/>
    <w:rsid w:val="004807F2"/>
    <w:rsid w:val="00480BDC"/>
    <w:rsid w:val="0048176B"/>
    <w:rsid w:val="004818B1"/>
    <w:rsid w:val="004819C0"/>
    <w:rsid w:val="0048272F"/>
    <w:rsid w:val="004827CA"/>
    <w:rsid w:val="004828B6"/>
    <w:rsid w:val="00482ACF"/>
    <w:rsid w:val="00482BA1"/>
    <w:rsid w:val="00482E7A"/>
    <w:rsid w:val="00482EDC"/>
    <w:rsid w:val="00482F80"/>
    <w:rsid w:val="00483216"/>
    <w:rsid w:val="00483A4F"/>
    <w:rsid w:val="00483CCE"/>
    <w:rsid w:val="00484271"/>
    <w:rsid w:val="00484690"/>
    <w:rsid w:val="004847C6"/>
    <w:rsid w:val="0048480A"/>
    <w:rsid w:val="004849A8"/>
    <w:rsid w:val="00484B8F"/>
    <w:rsid w:val="00484D2E"/>
    <w:rsid w:val="00484DAF"/>
    <w:rsid w:val="00484EDB"/>
    <w:rsid w:val="0048561E"/>
    <w:rsid w:val="0048576E"/>
    <w:rsid w:val="004857EE"/>
    <w:rsid w:val="00485ABE"/>
    <w:rsid w:val="00485E23"/>
    <w:rsid w:val="00485F90"/>
    <w:rsid w:val="0048604C"/>
    <w:rsid w:val="004866A4"/>
    <w:rsid w:val="004869F1"/>
    <w:rsid w:val="00486A9C"/>
    <w:rsid w:val="004873E5"/>
    <w:rsid w:val="0048740F"/>
    <w:rsid w:val="00490182"/>
    <w:rsid w:val="0049063C"/>
    <w:rsid w:val="00490726"/>
    <w:rsid w:val="00490A0A"/>
    <w:rsid w:val="00490BED"/>
    <w:rsid w:val="00491091"/>
    <w:rsid w:val="004914E1"/>
    <w:rsid w:val="0049193F"/>
    <w:rsid w:val="00491C1A"/>
    <w:rsid w:val="0049236B"/>
    <w:rsid w:val="0049281F"/>
    <w:rsid w:val="004929B2"/>
    <w:rsid w:val="00493303"/>
    <w:rsid w:val="00493711"/>
    <w:rsid w:val="00493CD8"/>
    <w:rsid w:val="00493D85"/>
    <w:rsid w:val="00493E8F"/>
    <w:rsid w:val="00493F03"/>
    <w:rsid w:val="004945BC"/>
    <w:rsid w:val="0049490E"/>
    <w:rsid w:val="0049495F"/>
    <w:rsid w:val="00495A0C"/>
    <w:rsid w:val="00495B96"/>
    <w:rsid w:val="00495D6A"/>
    <w:rsid w:val="00496022"/>
    <w:rsid w:val="0049633F"/>
    <w:rsid w:val="0049634E"/>
    <w:rsid w:val="004964F0"/>
    <w:rsid w:val="00496862"/>
    <w:rsid w:val="00496B49"/>
    <w:rsid w:val="00496F08"/>
    <w:rsid w:val="00497778"/>
    <w:rsid w:val="00497A52"/>
    <w:rsid w:val="00497A9E"/>
    <w:rsid w:val="00497B98"/>
    <w:rsid w:val="00497DBF"/>
    <w:rsid w:val="00497FB3"/>
    <w:rsid w:val="004A0FD9"/>
    <w:rsid w:val="004A1776"/>
    <w:rsid w:val="004A19BE"/>
    <w:rsid w:val="004A1AA3"/>
    <w:rsid w:val="004A1D43"/>
    <w:rsid w:val="004A282C"/>
    <w:rsid w:val="004A2AB6"/>
    <w:rsid w:val="004A30E6"/>
    <w:rsid w:val="004A34EA"/>
    <w:rsid w:val="004A35A5"/>
    <w:rsid w:val="004A37F4"/>
    <w:rsid w:val="004A39E7"/>
    <w:rsid w:val="004A3F5C"/>
    <w:rsid w:val="004A42D5"/>
    <w:rsid w:val="004A45AF"/>
    <w:rsid w:val="004A4797"/>
    <w:rsid w:val="004A4A52"/>
    <w:rsid w:val="004A4D87"/>
    <w:rsid w:val="004A4E04"/>
    <w:rsid w:val="004A53F2"/>
    <w:rsid w:val="004A5AD7"/>
    <w:rsid w:val="004A6069"/>
    <w:rsid w:val="004A6150"/>
    <w:rsid w:val="004A6267"/>
    <w:rsid w:val="004A6548"/>
    <w:rsid w:val="004A6743"/>
    <w:rsid w:val="004A681D"/>
    <w:rsid w:val="004A691F"/>
    <w:rsid w:val="004A6986"/>
    <w:rsid w:val="004A6CF4"/>
    <w:rsid w:val="004A6DE0"/>
    <w:rsid w:val="004A75BC"/>
    <w:rsid w:val="004A76D6"/>
    <w:rsid w:val="004A77C0"/>
    <w:rsid w:val="004A7F8D"/>
    <w:rsid w:val="004B057A"/>
    <w:rsid w:val="004B0D48"/>
    <w:rsid w:val="004B0DF4"/>
    <w:rsid w:val="004B1362"/>
    <w:rsid w:val="004B13C7"/>
    <w:rsid w:val="004B140A"/>
    <w:rsid w:val="004B1566"/>
    <w:rsid w:val="004B1C14"/>
    <w:rsid w:val="004B1F95"/>
    <w:rsid w:val="004B265C"/>
    <w:rsid w:val="004B27D1"/>
    <w:rsid w:val="004B285C"/>
    <w:rsid w:val="004B290A"/>
    <w:rsid w:val="004B2D4E"/>
    <w:rsid w:val="004B2E7A"/>
    <w:rsid w:val="004B3145"/>
    <w:rsid w:val="004B3A0B"/>
    <w:rsid w:val="004B3B79"/>
    <w:rsid w:val="004B3D95"/>
    <w:rsid w:val="004B3DA9"/>
    <w:rsid w:val="004B3FA3"/>
    <w:rsid w:val="004B46B8"/>
    <w:rsid w:val="004B4787"/>
    <w:rsid w:val="004B4793"/>
    <w:rsid w:val="004B4941"/>
    <w:rsid w:val="004B4F04"/>
    <w:rsid w:val="004B51B9"/>
    <w:rsid w:val="004B5D88"/>
    <w:rsid w:val="004B60C8"/>
    <w:rsid w:val="004B617F"/>
    <w:rsid w:val="004B61CF"/>
    <w:rsid w:val="004B61E5"/>
    <w:rsid w:val="004B647A"/>
    <w:rsid w:val="004B65D0"/>
    <w:rsid w:val="004B6649"/>
    <w:rsid w:val="004B687C"/>
    <w:rsid w:val="004B6FC3"/>
    <w:rsid w:val="004B7378"/>
    <w:rsid w:val="004B7685"/>
    <w:rsid w:val="004B76C7"/>
    <w:rsid w:val="004B79A2"/>
    <w:rsid w:val="004B7B1A"/>
    <w:rsid w:val="004B7B50"/>
    <w:rsid w:val="004C02C5"/>
    <w:rsid w:val="004C0A10"/>
    <w:rsid w:val="004C0D74"/>
    <w:rsid w:val="004C0E62"/>
    <w:rsid w:val="004C10FD"/>
    <w:rsid w:val="004C1AB5"/>
    <w:rsid w:val="004C1B2F"/>
    <w:rsid w:val="004C1C18"/>
    <w:rsid w:val="004C1CA3"/>
    <w:rsid w:val="004C1CF5"/>
    <w:rsid w:val="004C1E3F"/>
    <w:rsid w:val="004C1FAB"/>
    <w:rsid w:val="004C2173"/>
    <w:rsid w:val="004C2355"/>
    <w:rsid w:val="004C2415"/>
    <w:rsid w:val="004C260B"/>
    <w:rsid w:val="004C26BA"/>
    <w:rsid w:val="004C26C0"/>
    <w:rsid w:val="004C27BC"/>
    <w:rsid w:val="004C2818"/>
    <w:rsid w:val="004C2F92"/>
    <w:rsid w:val="004C34BE"/>
    <w:rsid w:val="004C34C4"/>
    <w:rsid w:val="004C34CD"/>
    <w:rsid w:val="004C39C8"/>
    <w:rsid w:val="004C3CB1"/>
    <w:rsid w:val="004C3E66"/>
    <w:rsid w:val="004C3E97"/>
    <w:rsid w:val="004C3F1B"/>
    <w:rsid w:val="004C45DA"/>
    <w:rsid w:val="004C47EE"/>
    <w:rsid w:val="004C4B3A"/>
    <w:rsid w:val="004C633A"/>
    <w:rsid w:val="004C6D3D"/>
    <w:rsid w:val="004C70AC"/>
    <w:rsid w:val="004C7129"/>
    <w:rsid w:val="004C75DB"/>
    <w:rsid w:val="004C795E"/>
    <w:rsid w:val="004C7AA3"/>
    <w:rsid w:val="004C7B4F"/>
    <w:rsid w:val="004C7CE7"/>
    <w:rsid w:val="004C7D32"/>
    <w:rsid w:val="004C7E64"/>
    <w:rsid w:val="004D021F"/>
    <w:rsid w:val="004D06E4"/>
    <w:rsid w:val="004D0BDE"/>
    <w:rsid w:val="004D0C5A"/>
    <w:rsid w:val="004D157A"/>
    <w:rsid w:val="004D18BB"/>
    <w:rsid w:val="004D1B36"/>
    <w:rsid w:val="004D1BFE"/>
    <w:rsid w:val="004D1DC0"/>
    <w:rsid w:val="004D1FA7"/>
    <w:rsid w:val="004D270E"/>
    <w:rsid w:val="004D2856"/>
    <w:rsid w:val="004D2B9D"/>
    <w:rsid w:val="004D2BD4"/>
    <w:rsid w:val="004D36E1"/>
    <w:rsid w:val="004D381E"/>
    <w:rsid w:val="004D3826"/>
    <w:rsid w:val="004D3BA6"/>
    <w:rsid w:val="004D3FB2"/>
    <w:rsid w:val="004D42C5"/>
    <w:rsid w:val="004D4719"/>
    <w:rsid w:val="004D478B"/>
    <w:rsid w:val="004D48C3"/>
    <w:rsid w:val="004D4ADC"/>
    <w:rsid w:val="004D4B54"/>
    <w:rsid w:val="004D4EA6"/>
    <w:rsid w:val="004D5080"/>
    <w:rsid w:val="004D51E0"/>
    <w:rsid w:val="004D52CD"/>
    <w:rsid w:val="004D5A23"/>
    <w:rsid w:val="004D5A4A"/>
    <w:rsid w:val="004D5AF9"/>
    <w:rsid w:val="004D5B04"/>
    <w:rsid w:val="004D6732"/>
    <w:rsid w:val="004D6AEB"/>
    <w:rsid w:val="004D6B7A"/>
    <w:rsid w:val="004D6B7D"/>
    <w:rsid w:val="004D6CBA"/>
    <w:rsid w:val="004D6E13"/>
    <w:rsid w:val="004D717D"/>
    <w:rsid w:val="004D7404"/>
    <w:rsid w:val="004D7924"/>
    <w:rsid w:val="004D7DC6"/>
    <w:rsid w:val="004D7FA2"/>
    <w:rsid w:val="004D7FFA"/>
    <w:rsid w:val="004E0110"/>
    <w:rsid w:val="004E0515"/>
    <w:rsid w:val="004E051D"/>
    <w:rsid w:val="004E055E"/>
    <w:rsid w:val="004E05CD"/>
    <w:rsid w:val="004E09C4"/>
    <w:rsid w:val="004E0B13"/>
    <w:rsid w:val="004E0DB5"/>
    <w:rsid w:val="004E0F13"/>
    <w:rsid w:val="004E144A"/>
    <w:rsid w:val="004E19B8"/>
    <w:rsid w:val="004E1B56"/>
    <w:rsid w:val="004E2562"/>
    <w:rsid w:val="004E2B56"/>
    <w:rsid w:val="004E2E23"/>
    <w:rsid w:val="004E3021"/>
    <w:rsid w:val="004E3112"/>
    <w:rsid w:val="004E32E4"/>
    <w:rsid w:val="004E330C"/>
    <w:rsid w:val="004E33BA"/>
    <w:rsid w:val="004E372E"/>
    <w:rsid w:val="004E3C2C"/>
    <w:rsid w:val="004E3E8E"/>
    <w:rsid w:val="004E47E9"/>
    <w:rsid w:val="004E4E1A"/>
    <w:rsid w:val="004E5132"/>
    <w:rsid w:val="004E5DA6"/>
    <w:rsid w:val="004E5E23"/>
    <w:rsid w:val="004E61CE"/>
    <w:rsid w:val="004E6272"/>
    <w:rsid w:val="004E636C"/>
    <w:rsid w:val="004E654F"/>
    <w:rsid w:val="004E708D"/>
    <w:rsid w:val="004E71BC"/>
    <w:rsid w:val="004E7264"/>
    <w:rsid w:val="004E7530"/>
    <w:rsid w:val="004E758C"/>
    <w:rsid w:val="004E79D2"/>
    <w:rsid w:val="004E7A85"/>
    <w:rsid w:val="004E7B0F"/>
    <w:rsid w:val="004F042D"/>
    <w:rsid w:val="004F05FC"/>
    <w:rsid w:val="004F0BBF"/>
    <w:rsid w:val="004F0E48"/>
    <w:rsid w:val="004F1059"/>
    <w:rsid w:val="004F11BF"/>
    <w:rsid w:val="004F122E"/>
    <w:rsid w:val="004F1523"/>
    <w:rsid w:val="004F17AD"/>
    <w:rsid w:val="004F19E6"/>
    <w:rsid w:val="004F1A4E"/>
    <w:rsid w:val="004F1C86"/>
    <w:rsid w:val="004F1E31"/>
    <w:rsid w:val="004F1F76"/>
    <w:rsid w:val="004F218B"/>
    <w:rsid w:val="004F2386"/>
    <w:rsid w:val="004F2F2F"/>
    <w:rsid w:val="004F36D0"/>
    <w:rsid w:val="004F3B93"/>
    <w:rsid w:val="004F4908"/>
    <w:rsid w:val="004F49C9"/>
    <w:rsid w:val="004F49FC"/>
    <w:rsid w:val="004F52B5"/>
    <w:rsid w:val="004F5573"/>
    <w:rsid w:val="004F5C2E"/>
    <w:rsid w:val="004F5ED1"/>
    <w:rsid w:val="004F613D"/>
    <w:rsid w:val="004F63ED"/>
    <w:rsid w:val="004F6782"/>
    <w:rsid w:val="004F67DB"/>
    <w:rsid w:val="004F6DBC"/>
    <w:rsid w:val="004F6E69"/>
    <w:rsid w:val="004F6EC9"/>
    <w:rsid w:val="004F725F"/>
    <w:rsid w:val="004F793F"/>
    <w:rsid w:val="004FC48E"/>
    <w:rsid w:val="00500028"/>
    <w:rsid w:val="00500264"/>
    <w:rsid w:val="005003EC"/>
    <w:rsid w:val="00500768"/>
    <w:rsid w:val="00500ACA"/>
    <w:rsid w:val="00500D53"/>
    <w:rsid w:val="005019B4"/>
    <w:rsid w:val="00501AC0"/>
    <w:rsid w:val="00501AE6"/>
    <w:rsid w:val="00501BDA"/>
    <w:rsid w:val="00501E97"/>
    <w:rsid w:val="00501EFB"/>
    <w:rsid w:val="00501F65"/>
    <w:rsid w:val="005024BF"/>
    <w:rsid w:val="00502746"/>
    <w:rsid w:val="00502887"/>
    <w:rsid w:val="00503148"/>
    <w:rsid w:val="005032C6"/>
    <w:rsid w:val="005035FE"/>
    <w:rsid w:val="00503706"/>
    <w:rsid w:val="00503807"/>
    <w:rsid w:val="00503BD3"/>
    <w:rsid w:val="00503E8A"/>
    <w:rsid w:val="0050428D"/>
    <w:rsid w:val="005049DF"/>
    <w:rsid w:val="005057D8"/>
    <w:rsid w:val="00505B99"/>
    <w:rsid w:val="00506201"/>
    <w:rsid w:val="005062A6"/>
    <w:rsid w:val="00506F99"/>
    <w:rsid w:val="005075B2"/>
    <w:rsid w:val="00507E50"/>
    <w:rsid w:val="005106E9"/>
    <w:rsid w:val="0051123F"/>
    <w:rsid w:val="00511300"/>
    <w:rsid w:val="0051158C"/>
    <w:rsid w:val="00511925"/>
    <w:rsid w:val="0051232A"/>
    <w:rsid w:val="0051279D"/>
    <w:rsid w:val="00512FAD"/>
    <w:rsid w:val="00513184"/>
    <w:rsid w:val="005131C5"/>
    <w:rsid w:val="00513243"/>
    <w:rsid w:val="005134E2"/>
    <w:rsid w:val="005136CA"/>
    <w:rsid w:val="00513771"/>
    <w:rsid w:val="00513B87"/>
    <w:rsid w:val="005143DD"/>
    <w:rsid w:val="0051444D"/>
    <w:rsid w:val="005148B0"/>
    <w:rsid w:val="00514B3A"/>
    <w:rsid w:val="00514E19"/>
    <w:rsid w:val="00515B14"/>
    <w:rsid w:val="00515C58"/>
    <w:rsid w:val="00515EF0"/>
    <w:rsid w:val="005160BC"/>
    <w:rsid w:val="005161F0"/>
    <w:rsid w:val="0051640B"/>
    <w:rsid w:val="005169AE"/>
    <w:rsid w:val="005169EE"/>
    <w:rsid w:val="00516B19"/>
    <w:rsid w:val="00516F77"/>
    <w:rsid w:val="00517492"/>
    <w:rsid w:val="00517537"/>
    <w:rsid w:val="005177D5"/>
    <w:rsid w:val="00517813"/>
    <w:rsid w:val="00517D9C"/>
    <w:rsid w:val="00517DD9"/>
    <w:rsid w:val="005203D7"/>
    <w:rsid w:val="005204E6"/>
    <w:rsid w:val="00520602"/>
    <w:rsid w:val="0052066D"/>
    <w:rsid w:val="00520D92"/>
    <w:rsid w:val="00521493"/>
    <w:rsid w:val="005214A2"/>
    <w:rsid w:val="0052151A"/>
    <w:rsid w:val="00521588"/>
    <w:rsid w:val="00521703"/>
    <w:rsid w:val="00521840"/>
    <w:rsid w:val="00521C19"/>
    <w:rsid w:val="005220D6"/>
    <w:rsid w:val="00522414"/>
    <w:rsid w:val="0052259D"/>
    <w:rsid w:val="00522910"/>
    <w:rsid w:val="005229C1"/>
    <w:rsid w:val="00522DC4"/>
    <w:rsid w:val="00522FF2"/>
    <w:rsid w:val="0052320C"/>
    <w:rsid w:val="005232E4"/>
    <w:rsid w:val="005236C2"/>
    <w:rsid w:val="00523A9C"/>
    <w:rsid w:val="00523DEC"/>
    <w:rsid w:val="00523F5A"/>
    <w:rsid w:val="005243E0"/>
    <w:rsid w:val="00524508"/>
    <w:rsid w:val="00524A66"/>
    <w:rsid w:val="0052556A"/>
    <w:rsid w:val="005257F8"/>
    <w:rsid w:val="00525E78"/>
    <w:rsid w:val="00526140"/>
    <w:rsid w:val="00526486"/>
    <w:rsid w:val="00526C9A"/>
    <w:rsid w:val="00526CCD"/>
    <w:rsid w:val="00526EB9"/>
    <w:rsid w:val="00526EBB"/>
    <w:rsid w:val="00526F36"/>
    <w:rsid w:val="00526F7B"/>
    <w:rsid w:val="005271A7"/>
    <w:rsid w:val="00527702"/>
    <w:rsid w:val="00527A12"/>
    <w:rsid w:val="00527A21"/>
    <w:rsid w:val="00527A2D"/>
    <w:rsid w:val="00527C2F"/>
    <w:rsid w:val="00530CA1"/>
    <w:rsid w:val="00530D52"/>
    <w:rsid w:val="00530EF4"/>
    <w:rsid w:val="00530EF8"/>
    <w:rsid w:val="00530F66"/>
    <w:rsid w:val="0053116F"/>
    <w:rsid w:val="0053151D"/>
    <w:rsid w:val="00531580"/>
    <w:rsid w:val="0053174B"/>
    <w:rsid w:val="005319B7"/>
    <w:rsid w:val="00531BF8"/>
    <w:rsid w:val="00531C90"/>
    <w:rsid w:val="00531F5A"/>
    <w:rsid w:val="00532585"/>
    <w:rsid w:val="00532853"/>
    <w:rsid w:val="0053285B"/>
    <w:rsid w:val="00532890"/>
    <w:rsid w:val="0053297D"/>
    <w:rsid w:val="00532A89"/>
    <w:rsid w:val="00532F99"/>
    <w:rsid w:val="005335C5"/>
    <w:rsid w:val="00533D86"/>
    <w:rsid w:val="00533EBF"/>
    <w:rsid w:val="00534543"/>
    <w:rsid w:val="0053459F"/>
    <w:rsid w:val="0053464C"/>
    <w:rsid w:val="005348C4"/>
    <w:rsid w:val="00534ABF"/>
    <w:rsid w:val="00534EE9"/>
    <w:rsid w:val="0053535D"/>
    <w:rsid w:val="00535366"/>
    <w:rsid w:val="005353A8"/>
    <w:rsid w:val="005353BB"/>
    <w:rsid w:val="00535539"/>
    <w:rsid w:val="0053553A"/>
    <w:rsid w:val="00535564"/>
    <w:rsid w:val="00535A59"/>
    <w:rsid w:val="00535AD7"/>
    <w:rsid w:val="005361D8"/>
    <w:rsid w:val="00536288"/>
    <w:rsid w:val="00536642"/>
    <w:rsid w:val="00536CC9"/>
    <w:rsid w:val="00536CD1"/>
    <w:rsid w:val="005370F9"/>
    <w:rsid w:val="00537412"/>
    <w:rsid w:val="00537419"/>
    <w:rsid w:val="00537477"/>
    <w:rsid w:val="00537699"/>
    <w:rsid w:val="00537A76"/>
    <w:rsid w:val="00537BF9"/>
    <w:rsid w:val="00537D89"/>
    <w:rsid w:val="00540246"/>
    <w:rsid w:val="00540A66"/>
    <w:rsid w:val="00540BF3"/>
    <w:rsid w:val="00541440"/>
    <w:rsid w:val="00541483"/>
    <w:rsid w:val="005414BE"/>
    <w:rsid w:val="00541A5C"/>
    <w:rsid w:val="00541FEE"/>
    <w:rsid w:val="00542127"/>
    <w:rsid w:val="0054323D"/>
    <w:rsid w:val="0054346D"/>
    <w:rsid w:val="00543499"/>
    <w:rsid w:val="00543689"/>
    <w:rsid w:val="00543698"/>
    <w:rsid w:val="00543D35"/>
    <w:rsid w:val="00544431"/>
    <w:rsid w:val="00544B76"/>
    <w:rsid w:val="00544C88"/>
    <w:rsid w:val="00545161"/>
    <w:rsid w:val="00545E31"/>
    <w:rsid w:val="00545EC5"/>
    <w:rsid w:val="00545F54"/>
    <w:rsid w:val="00546263"/>
    <w:rsid w:val="00546730"/>
    <w:rsid w:val="0054685E"/>
    <w:rsid w:val="00546A60"/>
    <w:rsid w:val="00546EDA"/>
    <w:rsid w:val="005471DD"/>
    <w:rsid w:val="00547586"/>
    <w:rsid w:val="00547595"/>
    <w:rsid w:val="0055020F"/>
    <w:rsid w:val="005502CF"/>
    <w:rsid w:val="005504AB"/>
    <w:rsid w:val="00550797"/>
    <w:rsid w:val="005507B5"/>
    <w:rsid w:val="005512F7"/>
    <w:rsid w:val="005516FE"/>
    <w:rsid w:val="00551871"/>
    <w:rsid w:val="00551F48"/>
    <w:rsid w:val="00552380"/>
    <w:rsid w:val="00552415"/>
    <w:rsid w:val="0055251E"/>
    <w:rsid w:val="0055286A"/>
    <w:rsid w:val="005531F0"/>
    <w:rsid w:val="005538CC"/>
    <w:rsid w:val="00553D98"/>
    <w:rsid w:val="00553EEE"/>
    <w:rsid w:val="005541E9"/>
    <w:rsid w:val="005541EA"/>
    <w:rsid w:val="00554418"/>
    <w:rsid w:val="00554611"/>
    <w:rsid w:val="005548AF"/>
    <w:rsid w:val="0055493F"/>
    <w:rsid w:val="00554C8D"/>
    <w:rsid w:val="00554D82"/>
    <w:rsid w:val="005550E9"/>
    <w:rsid w:val="0055535B"/>
    <w:rsid w:val="00555637"/>
    <w:rsid w:val="005563DC"/>
    <w:rsid w:val="0055653B"/>
    <w:rsid w:val="00556D57"/>
    <w:rsid w:val="0055721E"/>
    <w:rsid w:val="00557221"/>
    <w:rsid w:val="005577E3"/>
    <w:rsid w:val="005578B9"/>
    <w:rsid w:val="0055790E"/>
    <w:rsid w:val="00557981"/>
    <w:rsid w:val="00560293"/>
    <w:rsid w:val="005602D4"/>
    <w:rsid w:val="005603A5"/>
    <w:rsid w:val="0056044D"/>
    <w:rsid w:val="005607E5"/>
    <w:rsid w:val="005608F2"/>
    <w:rsid w:val="005608FF"/>
    <w:rsid w:val="00560930"/>
    <w:rsid w:val="0056141E"/>
    <w:rsid w:val="00561614"/>
    <w:rsid w:val="00561617"/>
    <w:rsid w:val="0056170A"/>
    <w:rsid w:val="00561845"/>
    <w:rsid w:val="00561DE4"/>
    <w:rsid w:val="00561EB9"/>
    <w:rsid w:val="0056206D"/>
    <w:rsid w:val="00562595"/>
    <w:rsid w:val="005634C5"/>
    <w:rsid w:val="00563566"/>
    <w:rsid w:val="00564A03"/>
    <w:rsid w:val="00564C70"/>
    <w:rsid w:val="00564E26"/>
    <w:rsid w:val="00564ECB"/>
    <w:rsid w:val="00565166"/>
    <w:rsid w:val="005656E2"/>
    <w:rsid w:val="00565D97"/>
    <w:rsid w:val="00565F79"/>
    <w:rsid w:val="00566207"/>
    <w:rsid w:val="005665DD"/>
    <w:rsid w:val="005672E0"/>
    <w:rsid w:val="00567462"/>
    <w:rsid w:val="00567BEB"/>
    <w:rsid w:val="005702BE"/>
    <w:rsid w:val="00570CF4"/>
    <w:rsid w:val="00571835"/>
    <w:rsid w:val="0057241D"/>
    <w:rsid w:val="005724D8"/>
    <w:rsid w:val="005725FC"/>
    <w:rsid w:val="00572BF9"/>
    <w:rsid w:val="0057301D"/>
    <w:rsid w:val="00573173"/>
    <w:rsid w:val="005731B3"/>
    <w:rsid w:val="005734F7"/>
    <w:rsid w:val="00574D66"/>
    <w:rsid w:val="0057513C"/>
    <w:rsid w:val="0057518A"/>
    <w:rsid w:val="005752F8"/>
    <w:rsid w:val="005755F9"/>
    <w:rsid w:val="005759B1"/>
    <w:rsid w:val="00575A1D"/>
    <w:rsid w:val="00575B08"/>
    <w:rsid w:val="00575C5D"/>
    <w:rsid w:val="00576051"/>
    <w:rsid w:val="005765C2"/>
    <w:rsid w:val="0057692A"/>
    <w:rsid w:val="00577405"/>
    <w:rsid w:val="00577737"/>
    <w:rsid w:val="00577A95"/>
    <w:rsid w:val="0058006C"/>
    <w:rsid w:val="005800EB"/>
    <w:rsid w:val="005815A3"/>
    <w:rsid w:val="005817F1"/>
    <w:rsid w:val="00581C2A"/>
    <w:rsid w:val="00581CD2"/>
    <w:rsid w:val="0058204C"/>
    <w:rsid w:val="0058249C"/>
    <w:rsid w:val="00582534"/>
    <w:rsid w:val="00582806"/>
    <w:rsid w:val="005828D6"/>
    <w:rsid w:val="00582A0C"/>
    <w:rsid w:val="00582CEE"/>
    <w:rsid w:val="00583090"/>
    <w:rsid w:val="00583469"/>
    <w:rsid w:val="0058370E"/>
    <w:rsid w:val="00583CD3"/>
    <w:rsid w:val="00584095"/>
    <w:rsid w:val="005841E5"/>
    <w:rsid w:val="005842EC"/>
    <w:rsid w:val="00584539"/>
    <w:rsid w:val="00584FAF"/>
    <w:rsid w:val="00585A85"/>
    <w:rsid w:val="00585BE4"/>
    <w:rsid w:val="0058606A"/>
    <w:rsid w:val="005861D5"/>
    <w:rsid w:val="00586516"/>
    <w:rsid w:val="0058659F"/>
    <w:rsid w:val="0058721B"/>
    <w:rsid w:val="0058723D"/>
    <w:rsid w:val="00587C8F"/>
    <w:rsid w:val="005901D9"/>
    <w:rsid w:val="005908B9"/>
    <w:rsid w:val="00590EFF"/>
    <w:rsid w:val="00591565"/>
    <w:rsid w:val="0059174A"/>
    <w:rsid w:val="005918C1"/>
    <w:rsid w:val="00591950"/>
    <w:rsid w:val="00592332"/>
    <w:rsid w:val="00592365"/>
    <w:rsid w:val="005924C0"/>
    <w:rsid w:val="005927C6"/>
    <w:rsid w:val="005927CA"/>
    <w:rsid w:val="0059282C"/>
    <w:rsid w:val="00592918"/>
    <w:rsid w:val="005929A3"/>
    <w:rsid w:val="00592B4F"/>
    <w:rsid w:val="00592FA9"/>
    <w:rsid w:val="00593178"/>
    <w:rsid w:val="005936CE"/>
    <w:rsid w:val="00593A57"/>
    <w:rsid w:val="00593D46"/>
    <w:rsid w:val="00593DA4"/>
    <w:rsid w:val="0059416B"/>
    <w:rsid w:val="00594255"/>
    <w:rsid w:val="005943C4"/>
    <w:rsid w:val="00594937"/>
    <w:rsid w:val="00594E6B"/>
    <w:rsid w:val="00594F70"/>
    <w:rsid w:val="005951F3"/>
    <w:rsid w:val="00595239"/>
    <w:rsid w:val="005959F3"/>
    <w:rsid w:val="00595AAA"/>
    <w:rsid w:val="005960B8"/>
    <w:rsid w:val="005960F3"/>
    <w:rsid w:val="005962A1"/>
    <w:rsid w:val="005964A2"/>
    <w:rsid w:val="005967EF"/>
    <w:rsid w:val="005969A8"/>
    <w:rsid w:val="00596F8A"/>
    <w:rsid w:val="0059714F"/>
    <w:rsid w:val="005A0A37"/>
    <w:rsid w:val="005A0AEB"/>
    <w:rsid w:val="005A0BB7"/>
    <w:rsid w:val="005A0BE7"/>
    <w:rsid w:val="005A12C7"/>
    <w:rsid w:val="005A1420"/>
    <w:rsid w:val="005A161F"/>
    <w:rsid w:val="005A1983"/>
    <w:rsid w:val="005A1FAF"/>
    <w:rsid w:val="005A20B7"/>
    <w:rsid w:val="005A2165"/>
    <w:rsid w:val="005A296F"/>
    <w:rsid w:val="005A31EB"/>
    <w:rsid w:val="005A3888"/>
    <w:rsid w:val="005A3A60"/>
    <w:rsid w:val="005A3CC7"/>
    <w:rsid w:val="005A40EE"/>
    <w:rsid w:val="005A48A3"/>
    <w:rsid w:val="005A4916"/>
    <w:rsid w:val="005A4A15"/>
    <w:rsid w:val="005A51C2"/>
    <w:rsid w:val="005A52E3"/>
    <w:rsid w:val="005A53A0"/>
    <w:rsid w:val="005A5E71"/>
    <w:rsid w:val="005A60D4"/>
    <w:rsid w:val="005A6381"/>
    <w:rsid w:val="005A6581"/>
    <w:rsid w:val="005A6AD5"/>
    <w:rsid w:val="005A6DF0"/>
    <w:rsid w:val="005A6EFA"/>
    <w:rsid w:val="005A730E"/>
    <w:rsid w:val="005A7FCB"/>
    <w:rsid w:val="005A9AF1"/>
    <w:rsid w:val="005B0111"/>
    <w:rsid w:val="005B04B6"/>
    <w:rsid w:val="005B07CC"/>
    <w:rsid w:val="005B0B77"/>
    <w:rsid w:val="005B0E10"/>
    <w:rsid w:val="005B0E7F"/>
    <w:rsid w:val="005B107B"/>
    <w:rsid w:val="005B1120"/>
    <w:rsid w:val="005B1291"/>
    <w:rsid w:val="005B1349"/>
    <w:rsid w:val="005B14ED"/>
    <w:rsid w:val="005B17C9"/>
    <w:rsid w:val="005B277A"/>
    <w:rsid w:val="005B2C5C"/>
    <w:rsid w:val="005B2CE6"/>
    <w:rsid w:val="005B2EAB"/>
    <w:rsid w:val="005B3228"/>
    <w:rsid w:val="005B3C5E"/>
    <w:rsid w:val="005B3C97"/>
    <w:rsid w:val="005B4279"/>
    <w:rsid w:val="005B432B"/>
    <w:rsid w:val="005B4494"/>
    <w:rsid w:val="005B4BE6"/>
    <w:rsid w:val="005B525B"/>
    <w:rsid w:val="005B5552"/>
    <w:rsid w:val="005B5FD0"/>
    <w:rsid w:val="005B692D"/>
    <w:rsid w:val="005B6FFF"/>
    <w:rsid w:val="005B73E7"/>
    <w:rsid w:val="005B7773"/>
    <w:rsid w:val="005B7AED"/>
    <w:rsid w:val="005B7EEF"/>
    <w:rsid w:val="005C0219"/>
    <w:rsid w:val="005C031F"/>
    <w:rsid w:val="005C072E"/>
    <w:rsid w:val="005C0889"/>
    <w:rsid w:val="005C0940"/>
    <w:rsid w:val="005C10C2"/>
    <w:rsid w:val="005C14E2"/>
    <w:rsid w:val="005C157F"/>
    <w:rsid w:val="005C1906"/>
    <w:rsid w:val="005C26DD"/>
    <w:rsid w:val="005C2930"/>
    <w:rsid w:val="005C30BA"/>
    <w:rsid w:val="005C314B"/>
    <w:rsid w:val="005C32AA"/>
    <w:rsid w:val="005C32DC"/>
    <w:rsid w:val="005C358C"/>
    <w:rsid w:val="005C38C4"/>
    <w:rsid w:val="005C3E0D"/>
    <w:rsid w:val="005C3E93"/>
    <w:rsid w:val="005C3F94"/>
    <w:rsid w:val="005C4065"/>
    <w:rsid w:val="005C4566"/>
    <w:rsid w:val="005C4C09"/>
    <w:rsid w:val="005C4DBF"/>
    <w:rsid w:val="005C561C"/>
    <w:rsid w:val="005C589B"/>
    <w:rsid w:val="005C5AE8"/>
    <w:rsid w:val="005C5D34"/>
    <w:rsid w:val="005C5E19"/>
    <w:rsid w:val="005C600A"/>
    <w:rsid w:val="005C651D"/>
    <w:rsid w:val="005C69EE"/>
    <w:rsid w:val="005C6B53"/>
    <w:rsid w:val="005C6BD9"/>
    <w:rsid w:val="005C6CE8"/>
    <w:rsid w:val="005C70DF"/>
    <w:rsid w:val="005C7543"/>
    <w:rsid w:val="005C7853"/>
    <w:rsid w:val="005C785B"/>
    <w:rsid w:val="005C7FA5"/>
    <w:rsid w:val="005D0130"/>
    <w:rsid w:val="005D03D6"/>
    <w:rsid w:val="005D0975"/>
    <w:rsid w:val="005D0BDD"/>
    <w:rsid w:val="005D0C0F"/>
    <w:rsid w:val="005D0CDD"/>
    <w:rsid w:val="005D129E"/>
    <w:rsid w:val="005D158A"/>
    <w:rsid w:val="005D1759"/>
    <w:rsid w:val="005D18AF"/>
    <w:rsid w:val="005D1A43"/>
    <w:rsid w:val="005D24B0"/>
    <w:rsid w:val="005D2958"/>
    <w:rsid w:val="005D2A58"/>
    <w:rsid w:val="005D3018"/>
    <w:rsid w:val="005D3CF4"/>
    <w:rsid w:val="005D4590"/>
    <w:rsid w:val="005D49EA"/>
    <w:rsid w:val="005D4E20"/>
    <w:rsid w:val="005D5543"/>
    <w:rsid w:val="005D59CF"/>
    <w:rsid w:val="005D5EC2"/>
    <w:rsid w:val="005D5F0D"/>
    <w:rsid w:val="005D614A"/>
    <w:rsid w:val="005D6151"/>
    <w:rsid w:val="005D6284"/>
    <w:rsid w:val="005D6342"/>
    <w:rsid w:val="005D63D6"/>
    <w:rsid w:val="005D6477"/>
    <w:rsid w:val="005D651A"/>
    <w:rsid w:val="005D662C"/>
    <w:rsid w:val="005D678F"/>
    <w:rsid w:val="005D67F6"/>
    <w:rsid w:val="005D6932"/>
    <w:rsid w:val="005D6A06"/>
    <w:rsid w:val="005D6A8D"/>
    <w:rsid w:val="005D6CA9"/>
    <w:rsid w:val="005D6CCA"/>
    <w:rsid w:val="005D6D67"/>
    <w:rsid w:val="005D6DE3"/>
    <w:rsid w:val="005D704A"/>
    <w:rsid w:val="005D751E"/>
    <w:rsid w:val="005D7635"/>
    <w:rsid w:val="005D7BF5"/>
    <w:rsid w:val="005E0124"/>
    <w:rsid w:val="005E0508"/>
    <w:rsid w:val="005E050C"/>
    <w:rsid w:val="005E064C"/>
    <w:rsid w:val="005E07BB"/>
    <w:rsid w:val="005E0A8C"/>
    <w:rsid w:val="005E0C6E"/>
    <w:rsid w:val="005E0FE2"/>
    <w:rsid w:val="005E128E"/>
    <w:rsid w:val="005E1429"/>
    <w:rsid w:val="005E1594"/>
    <w:rsid w:val="005E209E"/>
    <w:rsid w:val="005E21F5"/>
    <w:rsid w:val="005E229E"/>
    <w:rsid w:val="005E25C4"/>
    <w:rsid w:val="005E291A"/>
    <w:rsid w:val="005E29FD"/>
    <w:rsid w:val="005E2AAE"/>
    <w:rsid w:val="005E35BD"/>
    <w:rsid w:val="005E36BC"/>
    <w:rsid w:val="005E3930"/>
    <w:rsid w:val="005E3979"/>
    <w:rsid w:val="005E4801"/>
    <w:rsid w:val="005E5188"/>
    <w:rsid w:val="005E53F5"/>
    <w:rsid w:val="005E58AA"/>
    <w:rsid w:val="005E6E13"/>
    <w:rsid w:val="005E6FB8"/>
    <w:rsid w:val="005E7DAD"/>
    <w:rsid w:val="005E7FF2"/>
    <w:rsid w:val="005F01E3"/>
    <w:rsid w:val="005F0B35"/>
    <w:rsid w:val="005F0D07"/>
    <w:rsid w:val="005F105B"/>
    <w:rsid w:val="005F10DB"/>
    <w:rsid w:val="005F111D"/>
    <w:rsid w:val="005F1487"/>
    <w:rsid w:val="005F190E"/>
    <w:rsid w:val="005F203A"/>
    <w:rsid w:val="005F21BD"/>
    <w:rsid w:val="005F2271"/>
    <w:rsid w:val="005F2320"/>
    <w:rsid w:val="005F2A01"/>
    <w:rsid w:val="005F2D20"/>
    <w:rsid w:val="005F30D2"/>
    <w:rsid w:val="005F3399"/>
    <w:rsid w:val="005F348C"/>
    <w:rsid w:val="005F3C02"/>
    <w:rsid w:val="005F4099"/>
    <w:rsid w:val="005F41BC"/>
    <w:rsid w:val="005F4591"/>
    <w:rsid w:val="005F4672"/>
    <w:rsid w:val="005F4797"/>
    <w:rsid w:val="005F4FC3"/>
    <w:rsid w:val="005F531C"/>
    <w:rsid w:val="005F53E8"/>
    <w:rsid w:val="005F58B3"/>
    <w:rsid w:val="005F5E6B"/>
    <w:rsid w:val="005F612F"/>
    <w:rsid w:val="005F631A"/>
    <w:rsid w:val="005F6955"/>
    <w:rsid w:val="005F6D19"/>
    <w:rsid w:val="005F715A"/>
    <w:rsid w:val="005F71AC"/>
    <w:rsid w:val="005F722C"/>
    <w:rsid w:val="005F7554"/>
    <w:rsid w:val="005F7AB0"/>
    <w:rsid w:val="005F7ACD"/>
    <w:rsid w:val="005F7D74"/>
    <w:rsid w:val="005F7F5E"/>
    <w:rsid w:val="006001ED"/>
    <w:rsid w:val="00600427"/>
    <w:rsid w:val="006009B1"/>
    <w:rsid w:val="00600E3C"/>
    <w:rsid w:val="00600F41"/>
    <w:rsid w:val="006013EE"/>
    <w:rsid w:val="00601557"/>
    <w:rsid w:val="00601804"/>
    <w:rsid w:val="006020E9"/>
    <w:rsid w:val="00602AE6"/>
    <w:rsid w:val="00602C5C"/>
    <w:rsid w:val="00602CDA"/>
    <w:rsid w:val="006030E4"/>
    <w:rsid w:val="006031A1"/>
    <w:rsid w:val="00603239"/>
    <w:rsid w:val="00603510"/>
    <w:rsid w:val="006043DA"/>
    <w:rsid w:val="006045C4"/>
    <w:rsid w:val="00604944"/>
    <w:rsid w:val="00604C8E"/>
    <w:rsid w:val="006050C2"/>
    <w:rsid w:val="00605161"/>
    <w:rsid w:val="0060544E"/>
    <w:rsid w:val="006056A5"/>
    <w:rsid w:val="00605918"/>
    <w:rsid w:val="00605C07"/>
    <w:rsid w:val="00605C3A"/>
    <w:rsid w:val="00605CBF"/>
    <w:rsid w:val="00605D10"/>
    <w:rsid w:val="00605E89"/>
    <w:rsid w:val="006064D2"/>
    <w:rsid w:val="0060699E"/>
    <w:rsid w:val="00606B75"/>
    <w:rsid w:val="00606EDB"/>
    <w:rsid w:val="00606F3C"/>
    <w:rsid w:val="0060796C"/>
    <w:rsid w:val="00607AEF"/>
    <w:rsid w:val="00610353"/>
    <w:rsid w:val="006106D3"/>
    <w:rsid w:val="00610980"/>
    <w:rsid w:val="00610AC6"/>
    <w:rsid w:val="00610B8A"/>
    <w:rsid w:val="00610DFD"/>
    <w:rsid w:val="006111FB"/>
    <w:rsid w:val="00611A8F"/>
    <w:rsid w:val="00611D49"/>
    <w:rsid w:val="00611FAF"/>
    <w:rsid w:val="0061230E"/>
    <w:rsid w:val="006123B5"/>
    <w:rsid w:val="0061257F"/>
    <w:rsid w:val="00612FC1"/>
    <w:rsid w:val="00613042"/>
    <w:rsid w:val="0061308B"/>
    <w:rsid w:val="006134BE"/>
    <w:rsid w:val="00613AC4"/>
    <w:rsid w:val="00613CD0"/>
    <w:rsid w:val="00613DE6"/>
    <w:rsid w:val="006144A0"/>
    <w:rsid w:val="00614512"/>
    <w:rsid w:val="00614B6C"/>
    <w:rsid w:val="006152D3"/>
    <w:rsid w:val="006159DA"/>
    <w:rsid w:val="00615CE2"/>
    <w:rsid w:val="00616AC6"/>
    <w:rsid w:val="00616B8B"/>
    <w:rsid w:val="00617058"/>
    <w:rsid w:val="006170E1"/>
    <w:rsid w:val="00617165"/>
    <w:rsid w:val="00617346"/>
    <w:rsid w:val="0061743D"/>
    <w:rsid w:val="00617530"/>
    <w:rsid w:val="006179F3"/>
    <w:rsid w:val="00617EB5"/>
    <w:rsid w:val="00620263"/>
    <w:rsid w:val="00620727"/>
    <w:rsid w:val="00620E1B"/>
    <w:rsid w:val="00620F04"/>
    <w:rsid w:val="0062115D"/>
    <w:rsid w:val="00621535"/>
    <w:rsid w:val="006218FC"/>
    <w:rsid w:val="00621A8F"/>
    <w:rsid w:val="00621B4A"/>
    <w:rsid w:val="00621ECD"/>
    <w:rsid w:val="006222D7"/>
    <w:rsid w:val="00622B75"/>
    <w:rsid w:val="00622EB6"/>
    <w:rsid w:val="00622F8D"/>
    <w:rsid w:val="00623105"/>
    <w:rsid w:val="0062332A"/>
    <w:rsid w:val="0062337F"/>
    <w:rsid w:val="006233E6"/>
    <w:rsid w:val="00623439"/>
    <w:rsid w:val="00623872"/>
    <w:rsid w:val="0062417A"/>
    <w:rsid w:val="00624250"/>
    <w:rsid w:val="00624465"/>
    <w:rsid w:val="006245E9"/>
    <w:rsid w:val="00624BE6"/>
    <w:rsid w:val="00624C48"/>
    <w:rsid w:val="0062515B"/>
    <w:rsid w:val="00626027"/>
    <w:rsid w:val="00626668"/>
    <w:rsid w:val="00626B33"/>
    <w:rsid w:val="0062731B"/>
    <w:rsid w:val="0062739F"/>
    <w:rsid w:val="0062756A"/>
    <w:rsid w:val="006275B7"/>
    <w:rsid w:val="00627725"/>
    <w:rsid w:val="006277C5"/>
    <w:rsid w:val="00627A00"/>
    <w:rsid w:val="00627BC4"/>
    <w:rsid w:val="00627C62"/>
    <w:rsid w:val="00627EA7"/>
    <w:rsid w:val="00630597"/>
    <w:rsid w:val="006307AE"/>
    <w:rsid w:val="00630837"/>
    <w:rsid w:val="00630C2F"/>
    <w:rsid w:val="00630F37"/>
    <w:rsid w:val="00631447"/>
    <w:rsid w:val="00631817"/>
    <w:rsid w:val="0063186E"/>
    <w:rsid w:val="006319DB"/>
    <w:rsid w:val="00631CDD"/>
    <w:rsid w:val="00631D7B"/>
    <w:rsid w:val="0063206D"/>
    <w:rsid w:val="00632762"/>
    <w:rsid w:val="00632B1E"/>
    <w:rsid w:val="00632BD1"/>
    <w:rsid w:val="0063300E"/>
    <w:rsid w:val="0063306C"/>
    <w:rsid w:val="0063389D"/>
    <w:rsid w:val="00633A5D"/>
    <w:rsid w:val="00633AAE"/>
    <w:rsid w:val="00633D10"/>
    <w:rsid w:val="00633E77"/>
    <w:rsid w:val="00634058"/>
    <w:rsid w:val="006342E1"/>
    <w:rsid w:val="006345A6"/>
    <w:rsid w:val="0063479A"/>
    <w:rsid w:val="00634DE5"/>
    <w:rsid w:val="00634E88"/>
    <w:rsid w:val="00634EE2"/>
    <w:rsid w:val="00634FC9"/>
    <w:rsid w:val="00635193"/>
    <w:rsid w:val="006351CC"/>
    <w:rsid w:val="00635C21"/>
    <w:rsid w:val="00635EA0"/>
    <w:rsid w:val="0063628E"/>
    <w:rsid w:val="0063630F"/>
    <w:rsid w:val="00636710"/>
    <w:rsid w:val="00636982"/>
    <w:rsid w:val="00636FCF"/>
    <w:rsid w:val="006370BC"/>
    <w:rsid w:val="006370E2"/>
    <w:rsid w:val="00637383"/>
    <w:rsid w:val="0063744B"/>
    <w:rsid w:val="0063755A"/>
    <w:rsid w:val="006375CB"/>
    <w:rsid w:val="00637E6E"/>
    <w:rsid w:val="00637EF5"/>
    <w:rsid w:val="00637FAF"/>
    <w:rsid w:val="006401C7"/>
    <w:rsid w:val="0064023A"/>
    <w:rsid w:val="006407D0"/>
    <w:rsid w:val="00640846"/>
    <w:rsid w:val="00640C7A"/>
    <w:rsid w:val="00640CFB"/>
    <w:rsid w:val="006414B1"/>
    <w:rsid w:val="006419EE"/>
    <w:rsid w:val="00641D12"/>
    <w:rsid w:val="0064273C"/>
    <w:rsid w:val="0064334C"/>
    <w:rsid w:val="00643911"/>
    <w:rsid w:val="00643957"/>
    <w:rsid w:val="00643C7D"/>
    <w:rsid w:val="006441E4"/>
    <w:rsid w:val="00644301"/>
    <w:rsid w:val="00644510"/>
    <w:rsid w:val="00644780"/>
    <w:rsid w:val="00645544"/>
    <w:rsid w:val="0064597E"/>
    <w:rsid w:val="00645CD6"/>
    <w:rsid w:val="0064616C"/>
    <w:rsid w:val="0064623D"/>
    <w:rsid w:val="00646AAC"/>
    <w:rsid w:val="00646D0C"/>
    <w:rsid w:val="00646EF9"/>
    <w:rsid w:val="0064719E"/>
    <w:rsid w:val="006479BC"/>
    <w:rsid w:val="00647DB7"/>
    <w:rsid w:val="00650ADD"/>
    <w:rsid w:val="00651187"/>
    <w:rsid w:val="00651228"/>
    <w:rsid w:val="0065173D"/>
    <w:rsid w:val="00651B34"/>
    <w:rsid w:val="006520E4"/>
    <w:rsid w:val="00652218"/>
    <w:rsid w:val="00652B92"/>
    <w:rsid w:val="006538BA"/>
    <w:rsid w:val="00653F84"/>
    <w:rsid w:val="00654725"/>
    <w:rsid w:val="0065552B"/>
    <w:rsid w:val="00655AC3"/>
    <w:rsid w:val="00656009"/>
    <w:rsid w:val="0065606F"/>
    <w:rsid w:val="006562EB"/>
    <w:rsid w:val="0065687B"/>
    <w:rsid w:val="006568DE"/>
    <w:rsid w:val="0065691D"/>
    <w:rsid w:val="00656A83"/>
    <w:rsid w:val="00656CCF"/>
    <w:rsid w:val="00657374"/>
    <w:rsid w:val="0065740C"/>
    <w:rsid w:val="00657759"/>
    <w:rsid w:val="0065799B"/>
    <w:rsid w:val="0065FDBA"/>
    <w:rsid w:val="006603BE"/>
    <w:rsid w:val="00660A65"/>
    <w:rsid w:val="00660F2C"/>
    <w:rsid w:val="006614DB"/>
    <w:rsid w:val="00661548"/>
    <w:rsid w:val="00661961"/>
    <w:rsid w:val="00661E4D"/>
    <w:rsid w:val="00662072"/>
    <w:rsid w:val="00662074"/>
    <w:rsid w:val="006620B3"/>
    <w:rsid w:val="0066241A"/>
    <w:rsid w:val="0066268E"/>
    <w:rsid w:val="0066279E"/>
    <w:rsid w:val="00662929"/>
    <w:rsid w:val="00662FA0"/>
    <w:rsid w:val="006631A5"/>
    <w:rsid w:val="0066340B"/>
    <w:rsid w:val="0066358F"/>
    <w:rsid w:val="00663A06"/>
    <w:rsid w:val="00663A53"/>
    <w:rsid w:val="00663ADD"/>
    <w:rsid w:val="0066418C"/>
    <w:rsid w:val="00664B43"/>
    <w:rsid w:val="00664CBD"/>
    <w:rsid w:val="00664FB3"/>
    <w:rsid w:val="0066551B"/>
    <w:rsid w:val="00665F0B"/>
    <w:rsid w:val="00665F4E"/>
    <w:rsid w:val="0066694D"/>
    <w:rsid w:val="00666C17"/>
    <w:rsid w:val="00666C45"/>
    <w:rsid w:val="00666CF4"/>
    <w:rsid w:val="00666E27"/>
    <w:rsid w:val="00666F0D"/>
    <w:rsid w:val="006672B9"/>
    <w:rsid w:val="006672BF"/>
    <w:rsid w:val="00667361"/>
    <w:rsid w:val="006673E6"/>
    <w:rsid w:val="006679AA"/>
    <w:rsid w:val="00667BE7"/>
    <w:rsid w:val="00667EE1"/>
    <w:rsid w:val="00667FCC"/>
    <w:rsid w:val="006702C3"/>
    <w:rsid w:val="0067075B"/>
    <w:rsid w:val="00670837"/>
    <w:rsid w:val="0067090B"/>
    <w:rsid w:val="00670A93"/>
    <w:rsid w:val="006714DA"/>
    <w:rsid w:val="0067177F"/>
    <w:rsid w:val="00671788"/>
    <w:rsid w:val="006717E9"/>
    <w:rsid w:val="00671B64"/>
    <w:rsid w:val="00671EAA"/>
    <w:rsid w:val="00672274"/>
    <w:rsid w:val="00672699"/>
    <w:rsid w:val="00673020"/>
    <w:rsid w:val="0067308C"/>
    <w:rsid w:val="0067318D"/>
    <w:rsid w:val="006731C2"/>
    <w:rsid w:val="006731D0"/>
    <w:rsid w:val="0067359B"/>
    <w:rsid w:val="006736AA"/>
    <w:rsid w:val="006738FE"/>
    <w:rsid w:val="00673CCB"/>
    <w:rsid w:val="00673DE1"/>
    <w:rsid w:val="00673EBC"/>
    <w:rsid w:val="00673F3D"/>
    <w:rsid w:val="0067419A"/>
    <w:rsid w:val="006741BC"/>
    <w:rsid w:val="00674343"/>
    <w:rsid w:val="006743C5"/>
    <w:rsid w:val="006743E0"/>
    <w:rsid w:val="00674497"/>
    <w:rsid w:val="006746CE"/>
    <w:rsid w:val="006748EF"/>
    <w:rsid w:val="00674BA6"/>
    <w:rsid w:val="0067500F"/>
    <w:rsid w:val="00675152"/>
    <w:rsid w:val="006752C8"/>
    <w:rsid w:val="0067535B"/>
    <w:rsid w:val="00675660"/>
    <w:rsid w:val="00675881"/>
    <w:rsid w:val="0067588A"/>
    <w:rsid w:val="00676036"/>
    <w:rsid w:val="00676C27"/>
    <w:rsid w:val="006771CE"/>
    <w:rsid w:val="006774E5"/>
    <w:rsid w:val="00677692"/>
    <w:rsid w:val="00677AF6"/>
    <w:rsid w:val="00677AF8"/>
    <w:rsid w:val="00677DEF"/>
    <w:rsid w:val="006800BC"/>
    <w:rsid w:val="0068032C"/>
    <w:rsid w:val="006803BE"/>
    <w:rsid w:val="006804CB"/>
    <w:rsid w:val="00680A55"/>
    <w:rsid w:val="00681707"/>
    <w:rsid w:val="00681B1A"/>
    <w:rsid w:val="00681EC6"/>
    <w:rsid w:val="00682163"/>
    <w:rsid w:val="0068284B"/>
    <w:rsid w:val="00682A24"/>
    <w:rsid w:val="00682B01"/>
    <w:rsid w:val="00682F5A"/>
    <w:rsid w:val="006831E8"/>
    <w:rsid w:val="0068368E"/>
    <w:rsid w:val="00683948"/>
    <w:rsid w:val="006839D9"/>
    <w:rsid w:val="00683A21"/>
    <w:rsid w:val="00683B4C"/>
    <w:rsid w:val="006840B7"/>
    <w:rsid w:val="0068460F"/>
    <w:rsid w:val="00684961"/>
    <w:rsid w:val="00685028"/>
    <w:rsid w:val="006852BC"/>
    <w:rsid w:val="00685302"/>
    <w:rsid w:val="006854B6"/>
    <w:rsid w:val="00685600"/>
    <w:rsid w:val="00685B02"/>
    <w:rsid w:val="00685B8B"/>
    <w:rsid w:val="006864A5"/>
    <w:rsid w:val="00686864"/>
    <w:rsid w:val="00686B3E"/>
    <w:rsid w:val="00686FA8"/>
    <w:rsid w:val="00687424"/>
    <w:rsid w:val="006874D7"/>
    <w:rsid w:val="00687511"/>
    <w:rsid w:val="0068771B"/>
    <w:rsid w:val="00687880"/>
    <w:rsid w:val="00687B50"/>
    <w:rsid w:val="00687BC2"/>
    <w:rsid w:val="00687E34"/>
    <w:rsid w:val="00690392"/>
    <w:rsid w:val="00690492"/>
    <w:rsid w:val="006907A0"/>
    <w:rsid w:val="00690B32"/>
    <w:rsid w:val="00690BEB"/>
    <w:rsid w:val="00691872"/>
    <w:rsid w:val="00692166"/>
    <w:rsid w:val="00692679"/>
    <w:rsid w:val="006927B1"/>
    <w:rsid w:val="00693052"/>
    <w:rsid w:val="006931F9"/>
    <w:rsid w:val="0069332E"/>
    <w:rsid w:val="0069370C"/>
    <w:rsid w:val="00693875"/>
    <w:rsid w:val="006938AC"/>
    <w:rsid w:val="00693A2D"/>
    <w:rsid w:val="00693F63"/>
    <w:rsid w:val="0069435F"/>
    <w:rsid w:val="006943A7"/>
    <w:rsid w:val="00694722"/>
    <w:rsid w:val="00695015"/>
    <w:rsid w:val="006952A4"/>
    <w:rsid w:val="0069551B"/>
    <w:rsid w:val="00695741"/>
    <w:rsid w:val="00695982"/>
    <w:rsid w:val="006960E8"/>
    <w:rsid w:val="0069617C"/>
    <w:rsid w:val="0069673E"/>
    <w:rsid w:val="0069694C"/>
    <w:rsid w:val="00696B16"/>
    <w:rsid w:val="00696B5C"/>
    <w:rsid w:val="00696BC1"/>
    <w:rsid w:val="00697461"/>
    <w:rsid w:val="00697926"/>
    <w:rsid w:val="00697A9C"/>
    <w:rsid w:val="00697EE3"/>
    <w:rsid w:val="006A04C2"/>
    <w:rsid w:val="006A0512"/>
    <w:rsid w:val="006A06BA"/>
    <w:rsid w:val="006A07F5"/>
    <w:rsid w:val="006A08C2"/>
    <w:rsid w:val="006A08CA"/>
    <w:rsid w:val="006A0C41"/>
    <w:rsid w:val="006A0DDF"/>
    <w:rsid w:val="006A1341"/>
    <w:rsid w:val="006A155E"/>
    <w:rsid w:val="006A1E77"/>
    <w:rsid w:val="006A2117"/>
    <w:rsid w:val="006A2EE6"/>
    <w:rsid w:val="006A3177"/>
    <w:rsid w:val="006A38C2"/>
    <w:rsid w:val="006A3A44"/>
    <w:rsid w:val="006A3E3C"/>
    <w:rsid w:val="006A40ED"/>
    <w:rsid w:val="006A4371"/>
    <w:rsid w:val="006A46E2"/>
    <w:rsid w:val="006A47EA"/>
    <w:rsid w:val="006A49B2"/>
    <w:rsid w:val="006A4F7F"/>
    <w:rsid w:val="006A501A"/>
    <w:rsid w:val="006A502C"/>
    <w:rsid w:val="006A520B"/>
    <w:rsid w:val="006A5D02"/>
    <w:rsid w:val="006A616E"/>
    <w:rsid w:val="006A624B"/>
    <w:rsid w:val="006A689F"/>
    <w:rsid w:val="006A703B"/>
    <w:rsid w:val="006A72C9"/>
    <w:rsid w:val="006A73B0"/>
    <w:rsid w:val="006A7444"/>
    <w:rsid w:val="006A762B"/>
    <w:rsid w:val="006A7B5F"/>
    <w:rsid w:val="006A7D30"/>
    <w:rsid w:val="006A7D45"/>
    <w:rsid w:val="006A7E75"/>
    <w:rsid w:val="006A7FAE"/>
    <w:rsid w:val="006B04C7"/>
    <w:rsid w:val="006B0B87"/>
    <w:rsid w:val="006B0F0E"/>
    <w:rsid w:val="006B129F"/>
    <w:rsid w:val="006B139A"/>
    <w:rsid w:val="006B151A"/>
    <w:rsid w:val="006B172C"/>
    <w:rsid w:val="006B1828"/>
    <w:rsid w:val="006B1D1C"/>
    <w:rsid w:val="006B2815"/>
    <w:rsid w:val="006B2F16"/>
    <w:rsid w:val="006B36CB"/>
    <w:rsid w:val="006B38DB"/>
    <w:rsid w:val="006B3CB1"/>
    <w:rsid w:val="006B40A4"/>
    <w:rsid w:val="006B444C"/>
    <w:rsid w:val="006B4524"/>
    <w:rsid w:val="006B475D"/>
    <w:rsid w:val="006B4EC3"/>
    <w:rsid w:val="006B50AF"/>
    <w:rsid w:val="006B50E2"/>
    <w:rsid w:val="006B50E4"/>
    <w:rsid w:val="006B5802"/>
    <w:rsid w:val="006B59BC"/>
    <w:rsid w:val="006B5C0F"/>
    <w:rsid w:val="006B5E18"/>
    <w:rsid w:val="006B5E3D"/>
    <w:rsid w:val="006B5E41"/>
    <w:rsid w:val="006B5EDE"/>
    <w:rsid w:val="006B60FB"/>
    <w:rsid w:val="006B61E4"/>
    <w:rsid w:val="006B62DB"/>
    <w:rsid w:val="006B654E"/>
    <w:rsid w:val="006B6657"/>
    <w:rsid w:val="006B6679"/>
    <w:rsid w:val="006B6987"/>
    <w:rsid w:val="006B7215"/>
    <w:rsid w:val="006B7527"/>
    <w:rsid w:val="006B758A"/>
    <w:rsid w:val="006B79A2"/>
    <w:rsid w:val="006B7AF3"/>
    <w:rsid w:val="006B7B35"/>
    <w:rsid w:val="006B7E3C"/>
    <w:rsid w:val="006B7E44"/>
    <w:rsid w:val="006C0017"/>
    <w:rsid w:val="006C03F4"/>
    <w:rsid w:val="006C0772"/>
    <w:rsid w:val="006C08C7"/>
    <w:rsid w:val="006C09A0"/>
    <w:rsid w:val="006C0AB3"/>
    <w:rsid w:val="006C130B"/>
    <w:rsid w:val="006C16D3"/>
    <w:rsid w:val="006C1877"/>
    <w:rsid w:val="006C219A"/>
    <w:rsid w:val="006C22E0"/>
    <w:rsid w:val="006C26FA"/>
    <w:rsid w:val="006C2D21"/>
    <w:rsid w:val="006C2D67"/>
    <w:rsid w:val="006C2D69"/>
    <w:rsid w:val="006C2DA2"/>
    <w:rsid w:val="006C380B"/>
    <w:rsid w:val="006C3AAE"/>
    <w:rsid w:val="006C3C85"/>
    <w:rsid w:val="006C40AB"/>
    <w:rsid w:val="006C42A4"/>
    <w:rsid w:val="006C4370"/>
    <w:rsid w:val="006C47FA"/>
    <w:rsid w:val="006C491F"/>
    <w:rsid w:val="006C496A"/>
    <w:rsid w:val="006C49B8"/>
    <w:rsid w:val="006C49CA"/>
    <w:rsid w:val="006C4CD8"/>
    <w:rsid w:val="006C4D34"/>
    <w:rsid w:val="006C4D6E"/>
    <w:rsid w:val="006C4E5D"/>
    <w:rsid w:val="006C5259"/>
    <w:rsid w:val="006C59F4"/>
    <w:rsid w:val="006C5C2C"/>
    <w:rsid w:val="006C5E95"/>
    <w:rsid w:val="006C6118"/>
    <w:rsid w:val="006C6167"/>
    <w:rsid w:val="006C61F5"/>
    <w:rsid w:val="006C6271"/>
    <w:rsid w:val="006C6D69"/>
    <w:rsid w:val="006C7285"/>
    <w:rsid w:val="006C7458"/>
    <w:rsid w:val="006C7688"/>
    <w:rsid w:val="006C7F93"/>
    <w:rsid w:val="006D0017"/>
    <w:rsid w:val="006D0228"/>
    <w:rsid w:val="006D041E"/>
    <w:rsid w:val="006D0578"/>
    <w:rsid w:val="006D0B7B"/>
    <w:rsid w:val="006D0F15"/>
    <w:rsid w:val="006D1381"/>
    <w:rsid w:val="006D17EB"/>
    <w:rsid w:val="006D1F11"/>
    <w:rsid w:val="006D1F2D"/>
    <w:rsid w:val="006D1FB1"/>
    <w:rsid w:val="006D21B6"/>
    <w:rsid w:val="006D22A9"/>
    <w:rsid w:val="006D25D0"/>
    <w:rsid w:val="006D26AE"/>
    <w:rsid w:val="006D2868"/>
    <w:rsid w:val="006D298E"/>
    <w:rsid w:val="006D29BA"/>
    <w:rsid w:val="006D2A11"/>
    <w:rsid w:val="006D2B25"/>
    <w:rsid w:val="006D2C4A"/>
    <w:rsid w:val="006D303D"/>
    <w:rsid w:val="006D3189"/>
    <w:rsid w:val="006D34E7"/>
    <w:rsid w:val="006D3779"/>
    <w:rsid w:val="006D3C6D"/>
    <w:rsid w:val="006D3E5C"/>
    <w:rsid w:val="006D3E6E"/>
    <w:rsid w:val="006D427F"/>
    <w:rsid w:val="006D52D4"/>
    <w:rsid w:val="006D5380"/>
    <w:rsid w:val="006D5923"/>
    <w:rsid w:val="006D5D43"/>
    <w:rsid w:val="006D6384"/>
    <w:rsid w:val="006D6950"/>
    <w:rsid w:val="006D6A7B"/>
    <w:rsid w:val="006D6BAA"/>
    <w:rsid w:val="006D734F"/>
    <w:rsid w:val="006D7A18"/>
    <w:rsid w:val="006D7A21"/>
    <w:rsid w:val="006E0416"/>
    <w:rsid w:val="006E051C"/>
    <w:rsid w:val="006E0547"/>
    <w:rsid w:val="006E0752"/>
    <w:rsid w:val="006E0A6E"/>
    <w:rsid w:val="006E0B4C"/>
    <w:rsid w:val="006E0CA8"/>
    <w:rsid w:val="006E0FF2"/>
    <w:rsid w:val="006E159F"/>
    <w:rsid w:val="006E19DB"/>
    <w:rsid w:val="006E1DA0"/>
    <w:rsid w:val="006E1F3D"/>
    <w:rsid w:val="006E1FFC"/>
    <w:rsid w:val="006E241E"/>
    <w:rsid w:val="006E2539"/>
    <w:rsid w:val="006E2CE7"/>
    <w:rsid w:val="006E2EF2"/>
    <w:rsid w:val="006E308E"/>
    <w:rsid w:val="006E362F"/>
    <w:rsid w:val="006E37C1"/>
    <w:rsid w:val="006E4636"/>
    <w:rsid w:val="006E4938"/>
    <w:rsid w:val="006E4999"/>
    <w:rsid w:val="006E4B96"/>
    <w:rsid w:val="006E4DCA"/>
    <w:rsid w:val="006E505B"/>
    <w:rsid w:val="006E5547"/>
    <w:rsid w:val="006E555D"/>
    <w:rsid w:val="006E57D2"/>
    <w:rsid w:val="006E5AB0"/>
    <w:rsid w:val="006E5BE4"/>
    <w:rsid w:val="006E5D4B"/>
    <w:rsid w:val="006E606E"/>
    <w:rsid w:val="006E673C"/>
    <w:rsid w:val="006E6CC6"/>
    <w:rsid w:val="006E6D63"/>
    <w:rsid w:val="006E7746"/>
    <w:rsid w:val="006E7785"/>
    <w:rsid w:val="006E7EE5"/>
    <w:rsid w:val="006E7EF2"/>
    <w:rsid w:val="006F02CA"/>
    <w:rsid w:val="006F0A06"/>
    <w:rsid w:val="006F0B48"/>
    <w:rsid w:val="006F0D18"/>
    <w:rsid w:val="006F11DF"/>
    <w:rsid w:val="006F1A22"/>
    <w:rsid w:val="006F1C0D"/>
    <w:rsid w:val="006F1E04"/>
    <w:rsid w:val="006F20A1"/>
    <w:rsid w:val="006F2BC7"/>
    <w:rsid w:val="006F2CBC"/>
    <w:rsid w:val="006F36C1"/>
    <w:rsid w:val="006F3AC9"/>
    <w:rsid w:val="006F4592"/>
    <w:rsid w:val="006F4AA7"/>
    <w:rsid w:val="006F4B0F"/>
    <w:rsid w:val="006F4CB8"/>
    <w:rsid w:val="006F5394"/>
    <w:rsid w:val="006F553B"/>
    <w:rsid w:val="006F64C0"/>
    <w:rsid w:val="006F64FB"/>
    <w:rsid w:val="006F65B0"/>
    <w:rsid w:val="006F67A5"/>
    <w:rsid w:val="006F698E"/>
    <w:rsid w:val="006F6D13"/>
    <w:rsid w:val="006F6D7C"/>
    <w:rsid w:val="006F6E39"/>
    <w:rsid w:val="006F708C"/>
    <w:rsid w:val="006F7723"/>
    <w:rsid w:val="006F7D2F"/>
    <w:rsid w:val="00700F7C"/>
    <w:rsid w:val="00701256"/>
    <w:rsid w:val="007014BE"/>
    <w:rsid w:val="00701878"/>
    <w:rsid w:val="00701A09"/>
    <w:rsid w:val="00701B85"/>
    <w:rsid w:val="007021F1"/>
    <w:rsid w:val="007022D5"/>
    <w:rsid w:val="00702FB5"/>
    <w:rsid w:val="007030BD"/>
    <w:rsid w:val="007031C7"/>
    <w:rsid w:val="00703258"/>
    <w:rsid w:val="00703621"/>
    <w:rsid w:val="0070365C"/>
    <w:rsid w:val="00703DC3"/>
    <w:rsid w:val="00704228"/>
    <w:rsid w:val="0070435B"/>
    <w:rsid w:val="00704405"/>
    <w:rsid w:val="007049D4"/>
    <w:rsid w:val="00704A93"/>
    <w:rsid w:val="0070564C"/>
    <w:rsid w:val="00705867"/>
    <w:rsid w:val="007059C4"/>
    <w:rsid w:val="00705CF2"/>
    <w:rsid w:val="00705DA0"/>
    <w:rsid w:val="00705E10"/>
    <w:rsid w:val="00705E34"/>
    <w:rsid w:val="00707239"/>
    <w:rsid w:val="00707ED2"/>
    <w:rsid w:val="00707F3E"/>
    <w:rsid w:val="0071069E"/>
    <w:rsid w:val="0071071F"/>
    <w:rsid w:val="007108FE"/>
    <w:rsid w:val="00710926"/>
    <w:rsid w:val="00710B23"/>
    <w:rsid w:val="00710FB5"/>
    <w:rsid w:val="007111B4"/>
    <w:rsid w:val="00711A15"/>
    <w:rsid w:val="00712099"/>
    <w:rsid w:val="007120CD"/>
    <w:rsid w:val="0071227C"/>
    <w:rsid w:val="00712326"/>
    <w:rsid w:val="007124E9"/>
    <w:rsid w:val="0071258B"/>
    <w:rsid w:val="007126B3"/>
    <w:rsid w:val="0071295C"/>
    <w:rsid w:val="00712A23"/>
    <w:rsid w:val="00712BF6"/>
    <w:rsid w:val="00712F72"/>
    <w:rsid w:val="00713742"/>
    <w:rsid w:val="007138D6"/>
    <w:rsid w:val="00713ACB"/>
    <w:rsid w:val="00713B26"/>
    <w:rsid w:val="00713DCA"/>
    <w:rsid w:val="0071442E"/>
    <w:rsid w:val="00714936"/>
    <w:rsid w:val="00714B3F"/>
    <w:rsid w:val="00714C89"/>
    <w:rsid w:val="0071519F"/>
    <w:rsid w:val="00715B77"/>
    <w:rsid w:val="00715CBB"/>
    <w:rsid w:val="007163D9"/>
    <w:rsid w:val="00716813"/>
    <w:rsid w:val="00716914"/>
    <w:rsid w:val="00716A7E"/>
    <w:rsid w:val="00716FD6"/>
    <w:rsid w:val="007174AA"/>
    <w:rsid w:val="00717886"/>
    <w:rsid w:val="007179B2"/>
    <w:rsid w:val="007204AF"/>
    <w:rsid w:val="00720944"/>
    <w:rsid w:val="00720AF1"/>
    <w:rsid w:val="00720DD2"/>
    <w:rsid w:val="007210DD"/>
    <w:rsid w:val="00721756"/>
    <w:rsid w:val="0072186F"/>
    <w:rsid w:val="00721E50"/>
    <w:rsid w:val="00721FB7"/>
    <w:rsid w:val="007227DB"/>
    <w:rsid w:val="00722CC2"/>
    <w:rsid w:val="00722F26"/>
    <w:rsid w:val="007236D1"/>
    <w:rsid w:val="00723726"/>
    <w:rsid w:val="007238CC"/>
    <w:rsid w:val="00723A59"/>
    <w:rsid w:val="00723B82"/>
    <w:rsid w:val="00723DAA"/>
    <w:rsid w:val="00723F0C"/>
    <w:rsid w:val="00723F23"/>
    <w:rsid w:val="007244BE"/>
    <w:rsid w:val="00724589"/>
    <w:rsid w:val="00724AB7"/>
    <w:rsid w:val="00724BAF"/>
    <w:rsid w:val="00724C21"/>
    <w:rsid w:val="00724D96"/>
    <w:rsid w:val="00725195"/>
    <w:rsid w:val="0072554D"/>
    <w:rsid w:val="00725561"/>
    <w:rsid w:val="00725B6E"/>
    <w:rsid w:val="00725F0F"/>
    <w:rsid w:val="0072688C"/>
    <w:rsid w:val="007268EE"/>
    <w:rsid w:val="00726A43"/>
    <w:rsid w:val="00726B01"/>
    <w:rsid w:val="00726FAC"/>
    <w:rsid w:val="0072710F"/>
    <w:rsid w:val="007276FC"/>
    <w:rsid w:val="007279B6"/>
    <w:rsid w:val="00727D7C"/>
    <w:rsid w:val="00727D8C"/>
    <w:rsid w:val="00727FAA"/>
    <w:rsid w:val="0073012B"/>
    <w:rsid w:val="00730342"/>
    <w:rsid w:val="00730A20"/>
    <w:rsid w:val="00730C0C"/>
    <w:rsid w:val="00730EB0"/>
    <w:rsid w:val="00730F96"/>
    <w:rsid w:val="00731214"/>
    <w:rsid w:val="00731297"/>
    <w:rsid w:val="0073172A"/>
    <w:rsid w:val="00731A61"/>
    <w:rsid w:val="007320AA"/>
    <w:rsid w:val="0073236E"/>
    <w:rsid w:val="0073272F"/>
    <w:rsid w:val="0073290A"/>
    <w:rsid w:val="00732B21"/>
    <w:rsid w:val="00732C5C"/>
    <w:rsid w:val="007332AD"/>
    <w:rsid w:val="007334F4"/>
    <w:rsid w:val="0073355D"/>
    <w:rsid w:val="0073386B"/>
    <w:rsid w:val="007338BA"/>
    <w:rsid w:val="00733B41"/>
    <w:rsid w:val="0073408D"/>
    <w:rsid w:val="007342F3"/>
    <w:rsid w:val="00734420"/>
    <w:rsid w:val="0073498D"/>
    <w:rsid w:val="007349D6"/>
    <w:rsid w:val="00734CF2"/>
    <w:rsid w:val="00734E3A"/>
    <w:rsid w:val="00734E7A"/>
    <w:rsid w:val="00735268"/>
    <w:rsid w:val="00735362"/>
    <w:rsid w:val="007357AB"/>
    <w:rsid w:val="007358F1"/>
    <w:rsid w:val="00735BC7"/>
    <w:rsid w:val="00735ECA"/>
    <w:rsid w:val="007363B5"/>
    <w:rsid w:val="00736404"/>
    <w:rsid w:val="00736802"/>
    <w:rsid w:val="0073699E"/>
    <w:rsid w:val="00736ADE"/>
    <w:rsid w:val="00736C66"/>
    <w:rsid w:val="00736E74"/>
    <w:rsid w:val="00736E8E"/>
    <w:rsid w:val="00736EF1"/>
    <w:rsid w:val="0073715E"/>
    <w:rsid w:val="00740539"/>
    <w:rsid w:val="00740842"/>
    <w:rsid w:val="00740B9B"/>
    <w:rsid w:val="00740DD3"/>
    <w:rsid w:val="00741567"/>
    <w:rsid w:val="0074160D"/>
    <w:rsid w:val="0074195D"/>
    <w:rsid w:val="007425ED"/>
    <w:rsid w:val="007425F2"/>
    <w:rsid w:val="00742747"/>
    <w:rsid w:val="00742B5C"/>
    <w:rsid w:val="00742CFA"/>
    <w:rsid w:val="00743D08"/>
    <w:rsid w:val="00744096"/>
    <w:rsid w:val="0074500A"/>
    <w:rsid w:val="0074552C"/>
    <w:rsid w:val="0074575E"/>
    <w:rsid w:val="007462C5"/>
    <w:rsid w:val="0074645E"/>
    <w:rsid w:val="007466CA"/>
    <w:rsid w:val="007466CF"/>
    <w:rsid w:val="00746CD6"/>
    <w:rsid w:val="00746DBC"/>
    <w:rsid w:val="007470FB"/>
    <w:rsid w:val="00747363"/>
    <w:rsid w:val="00747A76"/>
    <w:rsid w:val="00747F1D"/>
    <w:rsid w:val="00750229"/>
    <w:rsid w:val="007508F7"/>
    <w:rsid w:val="007510A6"/>
    <w:rsid w:val="007512BF"/>
    <w:rsid w:val="00751382"/>
    <w:rsid w:val="00751661"/>
    <w:rsid w:val="00751B9F"/>
    <w:rsid w:val="00752019"/>
    <w:rsid w:val="0075211A"/>
    <w:rsid w:val="0075219E"/>
    <w:rsid w:val="0075278D"/>
    <w:rsid w:val="007528CB"/>
    <w:rsid w:val="007528E1"/>
    <w:rsid w:val="00752D71"/>
    <w:rsid w:val="007534E7"/>
    <w:rsid w:val="00753506"/>
    <w:rsid w:val="00753FDF"/>
    <w:rsid w:val="0075400F"/>
    <w:rsid w:val="00754016"/>
    <w:rsid w:val="007544A5"/>
    <w:rsid w:val="00754585"/>
    <w:rsid w:val="007545B5"/>
    <w:rsid w:val="007546FC"/>
    <w:rsid w:val="00754CE2"/>
    <w:rsid w:val="00754DFA"/>
    <w:rsid w:val="0075517A"/>
    <w:rsid w:val="007551B7"/>
    <w:rsid w:val="00755710"/>
    <w:rsid w:val="00755A58"/>
    <w:rsid w:val="00755D3A"/>
    <w:rsid w:val="00755E57"/>
    <w:rsid w:val="007568FE"/>
    <w:rsid w:val="00756A60"/>
    <w:rsid w:val="00756C31"/>
    <w:rsid w:val="007571D8"/>
    <w:rsid w:val="00757321"/>
    <w:rsid w:val="0075733D"/>
    <w:rsid w:val="00757814"/>
    <w:rsid w:val="0075790A"/>
    <w:rsid w:val="0075793E"/>
    <w:rsid w:val="00757D7B"/>
    <w:rsid w:val="00757D81"/>
    <w:rsid w:val="00757DE3"/>
    <w:rsid w:val="00757EB3"/>
    <w:rsid w:val="00760017"/>
    <w:rsid w:val="007609DE"/>
    <w:rsid w:val="00761399"/>
    <w:rsid w:val="00761B11"/>
    <w:rsid w:val="00761B22"/>
    <w:rsid w:val="00761B44"/>
    <w:rsid w:val="00761C9C"/>
    <w:rsid w:val="00761CB0"/>
    <w:rsid w:val="00762131"/>
    <w:rsid w:val="00762228"/>
    <w:rsid w:val="00762753"/>
    <w:rsid w:val="007628A9"/>
    <w:rsid w:val="007629E7"/>
    <w:rsid w:val="00762AFF"/>
    <w:rsid w:val="00762F21"/>
    <w:rsid w:val="007630DE"/>
    <w:rsid w:val="007631BB"/>
    <w:rsid w:val="007638DB"/>
    <w:rsid w:val="00763D29"/>
    <w:rsid w:val="00763F4C"/>
    <w:rsid w:val="00764234"/>
    <w:rsid w:val="00764469"/>
    <w:rsid w:val="0076476B"/>
    <w:rsid w:val="00764A05"/>
    <w:rsid w:val="00764A5C"/>
    <w:rsid w:val="00764DDF"/>
    <w:rsid w:val="00764F18"/>
    <w:rsid w:val="00765171"/>
    <w:rsid w:val="00765BAD"/>
    <w:rsid w:val="0076646B"/>
    <w:rsid w:val="00766AB4"/>
    <w:rsid w:val="00766D06"/>
    <w:rsid w:val="0076707E"/>
    <w:rsid w:val="007675CB"/>
    <w:rsid w:val="00770245"/>
    <w:rsid w:val="007702AD"/>
    <w:rsid w:val="007707C0"/>
    <w:rsid w:val="007707D6"/>
    <w:rsid w:val="00770842"/>
    <w:rsid w:val="00770C22"/>
    <w:rsid w:val="00770C82"/>
    <w:rsid w:val="007716D2"/>
    <w:rsid w:val="0077201E"/>
    <w:rsid w:val="007721E8"/>
    <w:rsid w:val="00772412"/>
    <w:rsid w:val="007727BB"/>
    <w:rsid w:val="00773094"/>
    <w:rsid w:val="00773282"/>
    <w:rsid w:val="00773923"/>
    <w:rsid w:val="00773952"/>
    <w:rsid w:val="0077397A"/>
    <w:rsid w:val="00773FFE"/>
    <w:rsid w:val="00774029"/>
    <w:rsid w:val="00774423"/>
    <w:rsid w:val="007745EE"/>
    <w:rsid w:val="00774A52"/>
    <w:rsid w:val="00774F6C"/>
    <w:rsid w:val="007750F0"/>
    <w:rsid w:val="007753EA"/>
    <w:rsid w:val="007755A6"/>
    <w:rsid w:val="0077583E"/>
    <w:rsid w:val="00775FEC"/>
    <w:rsid w:val="0077617D"/>
    <w:rsid w:val="007763AB"/>
    <w:rsid w:val="007765CB"/>
    <w:rsid w:val="00776689"/>
    <w:rsid w:val="007767AC"/>
    <w:rsid w:val="007769B5"/>
    <w:rsid w:val="00776C2D"/>
    <w:rsid w:val="00776C55"/>
    <w:rsid w:val="007770DC"/>
    <w:rsid w:val="0077718F"/>
    <w:rsid w:val="007771D9"/>
    <w:rsid w:val="007771E9"/>
    <w:rsid w:val="007777B4"/>
    <w:rsid w:val="0077784D"/>
    <w:rsid w:val="007778AA"/>
    <w:rsid w:val="00777B7B"/>
    <w:rsid w:val="00777C06"/>
    <w:rsid w:val="00777D00"/>
    <w:rsid w:val="00777E46"/>
    <w:rsid w:val="0078016C"/>
    <w:rsid w:val="0078045E"/>
    <w:rsid w:val="00780853"/>
    <w:rsid w:val="00780ADF"/>
    <w:rsid w:val="00780CF9"/>
    <w:rsid w:val="0078125F"/>
    <w:rsid w:val="0078149A"/>
    <w:rsid w:val="00781560"/>
    <w:rsid w:val="007818D4"/>
    <w:rsid w:val="00781990"/>
    <w:rsid w:val="00781AE0"/>
    <w:rsid w:val="00781E6C"/>
    <w:rsid w:val="007821D9"/>
    <w:rsid w:val="00782388"/>
    <w:rsid w:val="00782E37"/>
    <w:rsid w:val="00783D15"/>
    <w:rsid w:val="0078419D"/>
    <w:rsid w:val="007842C7"/>
    <w:rsid w:val="007848F6"/>
    <w:rsid w:val="00784D9B"/>
    <w:rsid w:val="0078503E"/>
    <w:rsid w:val="007851BD"/>
    <w:rsid w:val="0078530F"/>
    <w:rsid w:val="00785440"/>
    <w:rsid w:val="00785A0B"/>
    <w:rsid w:val="00785AC2"/>
    <w:rsid w:val="00785EAE"/>
    <w:rsid w:val="00786951"/>
    <w:rsid w:val="00786DC7"/>
    <w:rsid w:val="00787009"/>
    <w:rsid w:val="007871AD"/>
    <w:rsid w:val="00787246"/>
    <w:rsid w:val="00787331"/>
    <w:rsid w:val="00787A0F"/>
    <w:rsid w:val="00787D98"/>
    <w:rsid w:val="00790661"/>
    <w:rsid w:val="007906EC"/>
    <w:rsid w:val="00790741"/>
    <w:rsid w:val="00790856"/>
    <w:rsid w:val="00790973"/>
    <w:rsid w:val="00790C22"/>
    <w:rsid w:val="00791295"/>
    <w:rsid w:val="007915F9"/>
    <w:rsid w:val="00791624"/>
    <w:rsid w:val="00792190"/>
    <w:rsid w:val="0079285C"/>
    <w:rsid w:val="007928AE"/>
    <w:rsid w:val="00792BD6"/>
    <w:rsid w:val="00793076"/>
    <w:rsid w:val="00793252"/>
    <w:rsid w:val="007933E2"/>
    <w:rsid w:val="0079372E"/>
    <w:rsid w:val="00793828"/>
    <w:rsid w:val="007940D8"/>
    <w:rsid w:val="0079466B"/>
    <w:rsid w:val="00794E1B"/>
    <w:rsid w:val="0079511C"/>
    <w:rsid w:val="00795236"/>
    <w:rsid w:val="007955A9"/>
    <w:rsid w:val="0079580F"/>
    <w:rsid w:val="007959AB"/>
    <w:rsid w:val="00795BA2"/>
    <w:rsid w:val="00795BFD"/>
    <w:rsid w:val="00796198"/>
    <w:rsid w:val="0079656D"/>
    <w:rsid w:val="00796F94"/>
    <w:rsid w:val="00797746"/>
    <w:rsid w:val="00797A23"/>
    <w:rsid w:val="00797B3A"/>
    <w:rsid w:val="00797E62"/>
    <w:rsid w:val="007A06F0"/>
    <w:rsid w:val="007A097C"/>
    <w:rsid w:val="007A0B2E"/>
    <w:rsid w:val="007A0BB6"/>
    <w:rsid w:val="007A0DF0"/>
    <w:rsid w:val="007A0FD8"/>
    <w:rsid w:val="007A11AA"/>
    <w:rsid w:val="007A11EE"/>
    <w:rsid w:val="007A12AE"/>
    <w:rsid w:val="007A19AB"/>
    <w:rsid w:val="007A1A5D"/>
    <w:rsid w:val="007A1D99"/>
    <w:rsid w:val="007A21D0"/>
    <w:rsid w:val="007A30FD"/>
    <w:rsid w:val="007A3D2D"/>
    <w:rsid w:val="007A43C4"/>
    <w:rsid w:val="007A4885"/>
    <w:rsid w:val="007A49F9"/>
    <w:rsid w:val="007A4A3B"/>
    <w:rsid w:val="007A4C05"/>
    <w:rsid w:val="007A4EE1"/>
    <w:rsid w:val="007A4EEE"/>
    <w:rsid w:val="007A50F9"/>
    <w:rsid w:val="007A5BF8"/>
    <w:rsid w:val="007A5C4D"/>
    <w:rsid w:val="007A6540"/>
    <w:rsid w:val="007A66DD"/>
    <w:rsid w:val="007A6B4B"/>
    <w:rsid w:val="007A76C8"/>
    <w:rsid w:val="007A7913"/>
    <w:rsid w:val="007A79E2"/>
    <w:rsid w:val="007A7AB0"/>
    <w:rsid w:val="007A7AE6"/>
    <w:rsid w:val="007A7C66"/>
    <w:rsid w:val="007A7D31"/>
    <w:rsid w:val="007A7F54"/>
    <w:rsid w:val="007B00A6"/>
    <w:rsid w:val="007B0181"/>
    <w:rsid w:val="007B026B"/>
    <w:rsid w:val="007B044A"/>
    <w:rsid w:val="007B0690"/>
    <w:rsid w:val="007B1D78"/>
    <w:rsid w:val="007B1EB3"/>
    <w:rsid w:val="007B21EF"/>
    <w:rsid w:val="007B22A5"/>
    <w:rsid w:val="007B2319"/>
    <w:rsid w:val="007B2A8C"/>
    <w:rsid w:val="007B2AA0"/>
    <w:rsid w:val="007B2E55"/>
    <w:rsid w:val="007B3A94"/>
    <w:rsid w:val="007B4119"/>
    <w:rsid w:val="007B436C"/>
    <w:rsid w:val="007B43E6"/>
    <w:rsid w:val="007B4727"/>
    <w:rsid w:val="007B4737"/>
    <w:rsid w:val="007B4BB4"/>
    <w:rsid w:val="007B4D3B"/>
    <w:rsid w:val="007B4D4B"/>
    <w:rsid w:val="007B522E"/>
    <w:rsid w:val="007B5590"/>
    <w:rsid w:val="007B5E23"/>
    <w:rsid w:val="007B629F"/>
    <w:rsid w:val="007B6470"/>
    <w:rsid w:val="007B67E5"/>
    <w:rsid w:val="007B6B04"/>
    <w:rsid w:val="007B707F"/>
    <w:rsid w:val="007B7476"/>
    <w:rsid w:val="007B78C9"/>
    <w:rsid w:val="007B78E3"/>
    <w:rsid w:val="007B7B77"/>
    <w:rsid w:val="007B7C48"/>
    <w:rsid w:val="007B7D34"/>
    <w:rsid w:val="007C08B4"/>
    <w:rsid w:val="007C13E6"/>
    <w:rsid w:val="007C167B"/>
    <w:rsid w:val="007C16EA"/>
    <w:rsid w:val="007C1A5D"/>
    <w:rsid w:val="007C1AB2"/>
    <w:rsid w:val="007C1D6F"/>
    <w:rsid w:val="007C2109"/>
    <w:rsid w:val="007C23BE"/>
    <w:rsid w:val="007C263E"/>
    <w:rsid w:val="007C2704"/>
    <w:rsid w:val="007C2D23"/>
    <w:rsid w:val="007C2DB6"/>
    <w:rsid w:val="007C2E78"/>
    <w:rsid w:val="007C2F08"/>
    <w:rsid w:val="007C325A"/>
    <w:rsid w:val="007C3269"/>
    <w:rsid w:val="007C327F"/>
    <w:rsid w:val="007C368C"/>
    <w:rsid w:val="007C39DA"/>
    <w:rsid w:val="007C3F46"/>
    <w:rsid w:val="007C4156"/>
    <w:rsid w:val="007C448C"/>
    <w:rsid w:val="007C4B9B"/>
    <w:rsid w:val="007C52DE"/>
    <w:rsid w:val="007C5489"/>
    <w:rsid w:val="007C5B4B"/>
    <w:rsid w:val="007C5B7F"/>
    <w:rsid w:val="007C5C06"/>
    <w:rsid w:val="007C5FE5"/>
    <w:rsid w:val="007C6029"/>
    <w:rsid w:val="007C6532"/>
    <w:rsid w:val="007C685F"/>
    <w:rsid w:val="007C6C3C"/>
    <w:rsid w:val="007C70FA"/>
    <w:rsid w:val="007C763F"/>
    <w:rsid w:val="007C78DC"/>
    <w:rsid w:val="007C7B01"/>
    <w:rsid w:val="007C7CE2"/>
    <w:rsid w:val="007D045B"/>
    <w:rsid w:val="007D0471"/>
    <w:rsid w:val="007D08BF"/>
    <w:rsid w:val="007D0B06"/>
    <w:rsid w:val="007D0C52"/>
    <w:rsid w:val="007D0DB1"/>
    <w:rsid w:val="007D0DB9"/>
    <w:rsid w:val="007D1236"/>
    <w:rsid w:val="007D1A2D"/>
    <w:rsid w:val="007D2704"/>
    <w:rsid w:val="007D2736"/>
    <w:rsid w:val="007D29DC"/>
    <w:rsid w:val="007D2A76"/>
    <w:rsid w:val="007D353D"/>
    <w:rsid w:val="007D3B2E"/>
    <w:rsid w:val="007D4111"/>
    <w:rsid w:val="007D4257"/>
    <w:rsid w:val="007D43DC"/>
    <w:rsid w:val="007D4408"/>
    <w:rsid w:val="007D44FE"/>
    <w:rsid w:val="007D4533"/>
    <w:rsid w:val="007D4A47"/>
    <w:rsid w:val="007D4A48"/>
    <w:rsid w:val="007D4DCA"/>
    <w:rsid w:val="007D5004"/>
    <w:rsid w:val="007D5095"/>
    <w:rsid w:val="007D5164"/>
    <w:rsid w:val="007D5928"/>
    <w:rsid w:val="007D646C"/>
    <w:rsid w:val="007D701E"/>
    <w:rsid w:val="007D71FD"/>
    <w:rsid w:val="007D74FC"/>
    <w:rsid w:val="007D765C"/>
    <w:rsid w:val="007D791F"/>
    <w:rsid w:val="007D7E98"/>
    <w:rsid w:val="007E02A2"/>
    <w:rsid w:val="007E02AA"/>
    <w:rsid w:val="007E0AC9"/>
    <w:rsid w:val="007E104E"/>
    <w:rsid w:val="007E16A5"/>
    <w:rsid w:val="007E196E"/>
    <w:rsid w:val="007E1D24"/>
    <w:rsid w:val="007E1DE6"/>
    <w:rsid w:val="007E1E70"/>
    <w:rsid w:val="007E1EFA"/>
    <w:rsid w:val="007E2113"/>
    <w:rsid w:val="007E2724"/>
    <w:rsid w:val="007E2888"/>
    <w:rsid w:val="007E2C01"/>
    <w:rsid w:val="007E2E3F"/>
    <w:rsid w:val="007E2FAE"/>
    <w:rsid w:val="007E30EB"/>
    <w:rsid w:val="007E3FE5"/>
    <w:rsid w:val="007E43D5"/>
    <w:rsid w:val="007E4677"/>
    <w:rsid w:val="007E475B"/>
    <w:rsid w:val="007E48FF"/>
    <w:rsid w:val="007E5035"/>
    <w:rsid w:val="007E50E1"/>
    <w:rsid w:val="007E5590"/>
    <w:rsid w:val="007E5594"/>
    <w:rsid w:val="007E61B9"/>
    <w:rsid w:val="007E61F4"/>
    <w:rsid w:val="007E625E"/>
    <w:rsid w:val="007E6564"/>
    <w:rsid w:val="007E6B9B"/>
    <w:rsid w:val="007E6B9F"/>
    <w:rsid w:val="007E6D07"/>
    <w:rsid w:val="007E7146"/>
    <w:rsid w:val="007E71FC"/>
    <w:rsid w:val="007E7518"/>
    <w:rsid w:val="007F005B"/>
    <w:rsid w:val="007F0461"/>
    <w:rsid w:val="007F048F"/>
    <w:rsid w:val="007F05A3"/>
    <w:rsid w:val="007F0767"/>
    <w:rsid w:val="007F0AFB"/>
    <w:rsid w:val="007F0C36"/>
    <w:rsid w:val="007F0D93"/>
    <w:rsid w:val="007F1535"/>
    <w:rsid w:val="007F15C1"/>
    <w:rsid w:val="007F1C2E"/>
    <w:rsid w:val="007F1C7A"/>
    <w:rsid w:val="007F1E50"/>
    <w:rsid w:val="007F1F56"/>
    <w:rsid w:val="007F20C0"/>
    <w:rsid w:val="007F2155"/>
    <w:rsid w:val="007F2469"/>
    <w:rsid w:val="007F27F9"/>
    <w:rsid w:val="007F28A2"/>
    <w:rsid w:val="007F2947"/>
    <w:rsid w:val="007F2A80"/>
    <w:rsid w:val="007F338B"/>
    <w:rsid w:val="007F35CA"/>
    <w:rsid w:val="007F35D6"/>
    <w:rsid w:val="007F371B"/>
    <w:rsid w:val="007F3F54"/>
    <w:rsid w:val="007F40BA"/>
    <w:rsid w:val="007F429A"/>
    <w:rsid w:val="007F49B6"/>
    <w:rsid w:val="007F4C4B"/>
    <w:rsid w:val="007F4CE1"/>
    <w:rsid w:val="007F54F0"/>
    <w:rsid w:val="007F57CA"/>
    <w:rsid w:val="007F59BA"/>
    <w:rsid w:val="007F5C75"/>
    <w:rsid w:val="007F61D2"/>
    <w:rsid w:val="007F63EE"/>
    <w:rsid w:val="007F6882"/>
    <w:rsid w:val="007F6A11"/>
    <w:rsid w:val="007F6A7D"/>
    <w:rsid w:val="007F6C5A"/>
    <w:rsid w:val="007F6DE3"/>
    <w:rsid w:val="007F6E24"/>
    <w:rsid w:val="007F72E4"/>
    <w:rsid w:val="007F7494"/>
    <w:rsid w:val="007F75EF"/>
    <w:rsid w:val="007F77FC"/>
    <w:rsid w:val="00800199"/>
    <w:rsid w:val="0080099E"/>
    <w:rsid w:val="00800B53"/>
    <w:rsid w:val="0080110D"/>
    <w:rsid w:val="008011FB"/>
    <w:rsid w:val="00802148"/>
    <w:rsid w:val="00802421"/>
    <w:rsid w:val="00802631"/>
    <w:rsid w:val="008026F9"/>
    <w:rsid w:val="00802861"/>
    <w:rsid w:val="0080291A"/>
    <w:rsid w:val="00802965"/>
    <w:rsid w:val="00802A14"/>
    <w:rsid w:val="00802B0F"/>
    <w:rsid w:val="00803109"/>
    <w:rsid w:val="00803351"/>
    <w:rsid w:val="00803534"/>
    <w:rsid w:val="0080357A"/>
    <w:rsid w:val="00803DC0"/>
    <w:rsid w:val="008040BC"/>
    <w:rsid w:val="0080425F"/>
    <w:rsid w:val="008042B4"/>
    <w:rsid w:val="00804626"/>
    <w:rsid w:val="0080480A"/>
    <w:rsid w:val="00804869"/>
    <w:rsid w:val="00804B00"/>
    <w:rsid w:val="00805403"/>
    <w:rsid w:val="0080670C"/>
    <w:rsid w:val="0080697B"/>
    <w:rsid w:val="00806A3E"/>
    <w:rsid w:val="00806B77"/>
    <w:rsid w:val="00806B94"/>
    <w:rsid w:val="00806D00"/>
    <w:rsid w:val="00806D1E"/>
    <w:rsid w:val="00806DFE"/>
    <w:rsid w:val="008077D6"/>
    <w:rsid w:val="00807943"/>
    <w:rsid w:val="0081005C"/>
    <w:rsid w:val="008100D3"/>
    <w:rsid w:val="00810442"/>
    <w:rsid w:val="008104FE"/>
    <w:rsid w:val="0081076C"/>
    <w:rsid w:val="00810C0F"/>
    <w:rsid w:val="00810CB0"/>
    <w:rsid w:val="00810D6E"/>
    <w:rsid w:val="00810F97"/>
    <w:rsid w:val="00811215"/>
    <w:rsid w:val="008112FF"/>
    <w:rsid w:val="00811891"/>
    <w:rsid w:val="00811C18"/>
    <w:rsid w:val="00811CC2"/>
    <w:rsid w:val="00811DFB"/>
    <w:rsid w:val="00812782"/>
    <w:rsid w:val="008129F1"/>
    <w:rsid w:val="00812A00"/>
    <w:rsid w:val="00812AD3"/>
    <w:rsid w:val="00812AFD"/>
    <w:rsid w:val="00812CC7"/>
    <w:rsid w:val="00812F46"/>
    <w:rsid w:val="00813070"/>
    <w:rsid w:val="008135C2"/>
    <w:rsid w:val="0081396B"/>
    <w:rsid w:val="00813E2C"/>
    <w:rsid w:val="00814408"/>
    <w:rsid w:val="00814DAF"/>
    <w:rsid w:val="00815004"/>
    <w:rsid w:val="00815A6E"/>
    <w:rsid w:val="00815AE8"/>
    <w:rsid w:val="00815D1A"/>
    <w:rsid w:val="0081628B"/>
    <w:rsid w:val="00816873"/>
    <w:rsid w:val="00816AD3"/>
    <w:rsid w:val="00816BFC"/>
    <w:rsid w:val="00816F95"/>
    <w:rsid w:val="00816FF0"/>
    <w:rsid w:val="0081747B"/>
    <w:rsid w:val="008176F1"/>
    <w:rsid w:val="008176FC"/>
    <w:rsid w:val="008178AF"/>
    <w:rsid w:val="00817B1C"/>
    <w:rsid w:val="00817EF6"/>
    <w:rsid w:val="00820001"/>
    <w:rsid w:val="00820126"/>
    <w:rsid w:val="00820374"/>
    <w:rsid w:val="0082066C"/>
    <w:rsid w:val="0082066E"/>
    <w:rsid w:val="00820E78"/>
    <w:rsid w:val="008212A7"/>
    <w:rsid w:val="00821508"/>
    <w:rsid w:val="008215FB"/>
    <w:rsid w:val="008216C7"/>
    <w:rsid w:val="00821FE6"/>
    <w:rsid w:val="008223BE"/>
    <w:rsid w:val="00822589"/>
    <w:rsid w:val="008227DD"/>
    <w:rsid w:val="00822C43"/>
    <w:rsid w:val="00822F5C"/>
    <w:rsid w:val="008236A9"/>
    <w:rsid w:val="0082373F"/>
    <w:rsid w:val="008237A2"/>
    <w:rsid w:val="00823B2D"/>
    <w:rsid w:val="00823FF5"/>
    <w:rsid w:val="0082445F"/>
    <w:rsid w:val="00824538"/>
    <w:rsid w:val="008246BC"/>
    <w:rsid w:val="0082492B"/>
    <w:rsid w:val="00825806"/>
    <w:rsid w:val="00826170"/>
    <w:rsid w:val="008276E7"/>
    <w:rsid w:val="008277E2"/>
    <w:rsid w:val="00827C47"/>
    <w:rsid w:val="008304CD"/>
    <w:rsid w:val="00830613"/>
    <w:rsid w:val="008307F6"/>
    <w:rsid w:val="00830C87"/>
    <w:rsid w:val="00830D57"/>
    <w:rsid w:val="00830E64"/>
    <w:rsid w:val="00831283"/>
    <w:rsid w:val="008313B4"/>
    <w:rsid w:val="00831CD2"/>
    <w:rsid w:val="00831E88"/>
    <w:rsid w:val="00831EF5"/>
    <w:rsid w:val="00831F53"/>
    <w:rsid w:val="00831FC3"/>
    <w:rsid w:val="008321DA"/>
    <w:rsid w:val="0083287E"/>
    <w:rsid w:val="00832ADC"/>
    <w:rsid w:val="00833134"/>
    <w:rsid w:val="0083346B"/>
    <w:rsid w:val="00833805"/>
    <w:rsid w:val="008339E8"/>
    <w:rsid w:val="00834343"/>
    <w:rsid w:val="00834989"/>
    <w:rsid w:val="00834B62"/>
    <w:rsid w:val="00834B97"/>
    <w:rsid w:val="008354FC"/>
    <w:rsid w:val="008357FD"/>
    <w:rsid w:val="00835836"/>
    <w:rsid w:val="00835873"/>
    <w:rsid w:val="00836585"/>
    <w:rsid w:val="00836621"/>
    <w:rsid w:val="00836C65"/>
    <w:rsid w:val="0083763B"/>
    <w:rsid w:val="00837889"/>
    <w:rsid w:val="008378F6"/>
    <w:rsid w:val="00837BE5"/>
    <w:rsid w:val="00837F9C"/>
    <w:rsid w:val="0084025D"/>
    <w:rsid w:val="00840464"/>
    <w:rsid w:val="0084056D"/>
    <w:rsid w:val="00841316"/>
    <w:rsid w:val="00841571"/>
    <w:rsid w:val="00841ACA"/>
    <w:rsid w:val="008424DD"/>
    <w:rsid w:val="008427D9"/>
    <w:rsid w:val="0084291E"/>
    <w:rsid w:val="00842AAE"/>
    <w:rsid w:val="00842F1A"/>
    <w:rsid w:val="00842FA8"/>
    <w:rsid w:val="008438C8"/>
    <w:rsid w:val="008439EE"/>
    <w:rsid w:val="00843ABF"/>
    <w:rsid w:val="00843DE3"/>
    <w:rsid w:val="00843EB6"/>
    <w:rsid w:val="00844017"/>
    <w:rsid w:val="00844142"/>
    <w:rsid w:val="00844FF9"/>
    <w:rsid w:val="008451A9"/>
    <w:rsid w:val="00845CD7"/>
    <w:rsid w:val="0084612C"/>
    <w:rsid w:val="00846812"/>
    <w:rsid w:val="0084682D"/>
    <w:rsid w:val="00846B15"/>
    <w:rsid w:val="00846C2A"/>
    <w:rsid w:val="008470D0"/>
    <w:rsid w:val="00847277"/>
    <w:rsid w:val="00847366"/>
    <w:rsid w:val="00850018"/>
    <w:rsid w:val="008500D0"/>
    <w:rsid w:val="008502C4"/>
    <w:rsid w:val="008505A2"/>
    <w:rsid w:val="00850759"/>
    <w:rsid w:val="008508F3"/>
    <w:rsid w:val="00850B1F"/>
    <w:rsid w:val="00850B2C"/>
    <w:rsid w:val="008510D9"/>
    <w:rsid w:val="008510F9"/>
    <w:rsid w:val="00851A50"/>
    <w:rsid w:val="00851CA8"/>
    <w:rsid w:val="00851CC2"/>
    <w:rsid w:val="00851DDE"/>
    <w:rsid w:val="00852151"/>
    <w:rsid w:val="00852276"/>
    <w:rsid w:val="0085251C"/>
    <w:rsid w:val="00852542"/>
    <w:rsid w:val="008526A5"/>
    <w:rsid w:val="008531C8"/>
    <w:rsid w:val="008532EC"/>
    <w:rsid w:val="0085354C"/>
    <w:rsid w:val="008537B8"/>
    <w:rsid w:val="008538AC"/>
    <w:rsid w:val="00853A92"/>
    <w:rsid w:val="00854369"/>
    <w:rsid w:val="00854378"/>
    <w:rsid w:val="008549F8"/>
    <w:rsid w:val="00854AE9"/>
    <w:rsid w:val="00854C08"/>
    <w:rsid w:val="00854F00"/>
    <w:rsid w:val="00855024"/>
    <w:rsid w:val="0085504E"/>
    <w:rsid w:val="00855229"/>
    <w:rsid w:val="0085533B"/>
    <w:rsid w:val="00855595"/>
    <w:rsid w:val="00855B4F"/>
    <w:rsid w:val="00855E6D"/>
    <w:rsid w:val="00856369"/>
    <w:rsid w:val="008563FE"/>
    <w:rsid w:val="00856877"/>
    <w:rsid w:val="0085690E"/>
    <w:rsid w:val="00856A2E"/>
    <w:rsid w:val="0085716E"/>
    <w:rsid w:val="00857284"/>
    <w:rsid w:val="00857EF9"/>
    <w:rsid w:val="00860780"/>
    <w:rsid w:val="00860DA6"/>
    <w:rsid w:val="00861511"/>
    <w:rsid w:val="00861700"/>
    <w:rsid w:val="00861A89"/>
    <w:rsid w:val="0086248D"/>
    <w:rsid w:val="00862D4C"/>
    <w:rsid w:val="00862E69"/>
    <w:rsid w:val="00862EF9"/>
    <w:rsid w:val="00862F1D"/>
    <w:rsid w:val="008634A9"/>
    <w:rsid w:val="00863E83"/>
    <w:rsid w:val="00864267"/>
    <w:rsid w:val="008643AC"/>
    <w:rsid w:val="00864568"/>
    <w:rsid w:val="00864640"/>
    <w:rsid w:val="0086493F"/>
    <w:rsid w:val="00865139"/>
    <w:rsid w:val="00865B3B"/>
    <w:rsid w:val="00865CF2"/>
    <w:rsid w:val="00865E3E"/>
    <w:rsid w:val="00865F19"/>
    <w:rsid w:val="0086617D"/>
    <w:rsid w:val="0086643D"/>
    <w:rsid w:val="0086664E"/>
    <w:rsid w:val="00866895"/>
    <w:rsid w:val="00866977"/>
    <w:rsid w:val="00866B0B"/>
    <w:rsid w:val="00867336"/>
    <w:rsid w:val="00867820"/>
    <w:rsid w:val="00867B2A"/>
    <w:rsid w:val="00867B6B"/>
    <w:rsid w:val="00867E4D"/>
    <w:rsid w:val="00870087"/>
    <w:rsid w:val="0087017B"/>
    <w:rsid w:val="00870424"/>
    <w:rsid w:val="00870667"/>
    <w:rsid w:val="0087069B"/>
    <w:rsid w:val="00870769"/>
    <w:rsid w:val="00870869"/>
    <w:rsid w:val="00870959"/>
    <w:rsid w:val="008713F0"/>
    <w:rsid w:val="00871611"/>
    <w:rsid w:val="008718D7"/>
    <w:rsid w:val="00871B67"/>
    <w:rsid w:val="00871D34"/>
    <w:rsid w:val="00871EAD"/>
    <w:rsid w:val="0087235F"/>
    <w:rsid w:val="00872A4A"/>
    <w:rsid w:val="00872A84"/>
    <w:rsid w:val="00872B57"/>
    <w:rsid w:val="008731F2"/>
    <w:rsid w:val="0087326C"/>
    <w:rsid w:val="008737B1"/>
    <w:rsid w:val="00873CEF"/>
    <w:rsid w:val="00874093"/>
    <w:rsid w:val="008747ED"/>
    <w:rsid w:val="008748DE"/>
    <w:rsid w:val="0087533E"/>
    <w:rsid w:val="00875559"/>
    <w:rsid w:val="00875934"/>
    <w:rsid w:val="00875B1B"/>
    <w:rsid w:val="00875DA5"/>
    <w:rsid w:val="00876087"/>
    <w:rsid w:val="0087630B"/>
    <w:rsid w:val="00876515"/>
    <w:rsid w:val="00876ACA"/>
    <w:rsid w:val="00876AE6"/>
    <w:rsid w:val="00876E55"/>
    <w:rsid w:val="00877108"/>
    <w:rsid w:val="008772DD"/>
    <w:rsid w:val="008772EF"/>
    <w:rsid w:val="008777BC"/>
    <w:rsid w:val="008779FB"/>
    <w:rsid w:val="00877F17"/>
    <w:rsid w:val="00880158"/>
    <w:rsid w:val="008802DD"/>
    <w:rsid w:val="008802FA"/>
    <w:rsid w:val="0088059C"/>
    <w:rsid w:val="00880953"/>
    <w:rsid w:val="00880CFF"/>
    <w:rsid w:val="008810E9"/>
    <w:rsid w:val="0088119F"/>
    <w:rsid w:val="008812AF"/>
    <w:rsid w:val="008812DB"/>
    <w:rsid w:val="008814F5"/>
    <w:rsid w:val="0088193A"/>
    <w:rsid w:val="00881A02"/>
    <w:rsid w:val="00881B2D"/>
    <w:rsid w:val="00882199"/>
    <w:rsid w:val="0088226B"/>
    <w:rsid w:val="00883318"/>
    <w:rsid w:val="0088350B"/>
    <w:rsid w:val="00883766"/>
    <w:rsid w:val="008837BE"/>
    <w:rsid w:val="00883800"/>
    <w:rsid w:val="0088391F"/>
    <w:rsid w:val="00883A68"/>
    <w:rsid w:val="00883A8F"/>
    <w:rsid w:val="00883D0D"/>
    <w:rsid w:val="0088451E"/>
    <w:rsid w:val="00884F2E"/>
    <w:rsid w:val="00884F6F"/>
    <w:rsid w:val="00885322"/>
    <w:rsid w:val="00885613"/>
    <w:rsid w:val="0088576A"/>
    <w:rsid w:val="00885F7B"/>
    <w:rsid w:val="008863F4"/>
    <w:rsid w:val="00886558"/>
    <w:rsid w:val="00886991"/>
    <w:rsid w:val="00886C07"/>
    <w:rsid w:val="00886C99"/>
    <w:rsid w:val="00886CED"/>
    <w:rsid w:val="00886DA1"/>
    <w:rsid w:val="00886E2B"/>
    <w:rsid w:val="00886E49"/>
    <w:rsid w:val="00886F89"/>
    <w:rsid w:val="00887010"/>
    <w:rsid w:val="008870E8"/>
    <w:rsid w:val="008871B6"/>
    <w:rsid w:val="0088740B"/>
    <w:rsid w:val="008874BC"/>
    <w:rsid w:val="008875E6"/>
    <w:rsid w:val="00887723"/>
    <w:rsid w:val="00887904"/>
    <w:rsid w:val="00887908"/>
    <w:rsid w:val="00887939"/>
    <w:rsid w:val="00887AC6"/>
    <w:rsid w:val="00887FF3"/>
    <w:rsid w:val="00890011"/>
    <w:rsid w:val="0089026D"/>
    <w:rsid w:val="0089086B"/>
    <w:rsid w:val="00890AC3"/>
    <w:rsid w:val="00890D9C"/>
    <w:rsid w:val="00891572"/>
    <w:rsid w:val="008915B6"/>
    <w:rsid w:val="00891D45"/>
    <w:rsid w:val="00892984"/>
    <w:rsid w:val="00892C64"/>
    <w:rsid w:val="00893219"/>
    <w:rsid w:val="008935B8"/>
    <w:rsid w:val="0089366E"/>
    <w:rsid w:val="00893D2C"/>
    <w:rsid w:val="00894256"/>
    <w:rsid w:val="008944A0"/>
    <w:rsid w:val="0089459D"/>
    <w:rsid w:val="00894942"/>
    <w:rsid w:val="00894BED"/>
    <w:rsid w:val="00894C61"/>
    <w:rsid w:val="0089530B"/>
    <w:rsid w:val="00895862"/>
    <w:rsid w:val="008960A0"/>
    <w:rsid w:val="00896721"/>
    <w:rsid w:val="0089686E"/>
    <w:rsid w:val="00896949"/>
    <w:rsid w:val="00896964"/>
    <w:rsid w:val="00896AC5"/>
    <w:rsid w:val="00896C4C"/>
    <w:rsid w:val="00896F18"/>
    <w:rsid w:val="0089729F"/>
    <w:rsid w:val="0089741D"/>
    <w:rsid w:val="008975CD"/>
    <w:rsid w:val="00897602"/>
    <w:rsid w:val="0089781D"/>
    <w:rsid w:val="00897ABB"/>
    <w:rsid w:val="00897D15"/>
    <w:rsid w:val="008A00B9"/>
    <w:rsid w:val="008A00F8"/>
    <w:rsid w:val="008A078E"/>
    <w:rsid w:val="008A0F17"/>
    <w:rsid w:val="008A0FC5"/>
    <w:rsid w:val="008A10E7"/>
    <w:rsid w:val="008A12B3"/>
    <w:rsid w:val="008A17C4"/>
    <w:rsid w:val="008A20EF"/>
    <w:rsid w:val="008A220C"/>
    <w:rsid w:val="008A242D"/>
    <w:rsid w:val="008A2F6E"/>
    <w:rsid w:val="008A3C26"/>
    <w:rsid w:val="008A471A"/>
    <w:rsid w:val="008A4896"/>
    <w:rsid w:val="008A4AB6"/>
    <w:rsid w:val="008A4DAF"/>
    <w:rsid w:val="008A53FD"/>
    <w:rsid w:val="008A56D8"/>
    <w:rsid w:val="008A59D5"/>
    <w:rsid w:val="008A5A5B"/>
    <w:rsid w:val="008A5E00"/>
    <w:rsid w:val="008A5FB3"/>
    <w:rsid w:val="008A6C56"/>
    <w:rsid w:val="008A766C"/>
    <w:rsid w:val="008A76E7"/>
    <w:rsid w:val="008B0385"/>
    <w:rsid w:val="008B0B5E"/>
    <w:rsid w:val="008B0C5D"/>
    <w:rsid w:val="008B0C8A"/>
    <w:rsid w:val="008B142F"/>
    <w:rsid w:val="008B15E6"/>
    <w:rsid w:val="008B1A7C"/>
    <w:rsid w:val="008B1DE0"/>
    <w:rsid w:val="008B1EC4"/>
    <w:rsid w:val="008B210D"/>
    <w:rsid w:val="008B2631"/>
    <w:rsid w:val="008B2F06"/>
    <w:rsid w:val="008B2F12"/>
    <w:rsid w:val="008B2F34"/>
    <w:rsid w:val="008B3107"/>
    <w:rsid w:val="008B31BB"/>
    <w:rsid w:val="008B3316"/>
    <w:rsid w:val="008B3933"/>
    <w:rsid w:val="008B3A90"/>
    <w:rsid w:val="008B3C2D"/>
    <w:rsid w:val="008B3E27"/>
    <w:rsid w:val="008B442F"/>
    <w:rsid w:val="008B45DE"/>
    <w:rsid w:val="008B48BA"/>
    <w:rsid w:val="008B4A02"/>
    <w:rsid w:val="008B4F15"/>
    <w:rsid w:val="008B5522"/>
    <w:rsid w:val="008B55A1"/>
    <w:rsid w:val="008B56AB"/>
    <w:rsid w:val="008B57A9"/>
    <w:rsid w:val="008B5B98"/>
    <w:rsid w:val="008B5C61"/>
    <w:rsid w:val="008B5DE1"/>
    <w:rsid w:val="008B5EF4"/>
    <w:rsid w:val="008B6062"/>
    <w:rsid w:val="008B61B6"/>
    <w:rsid w:val="008B66CF"/>
    <w:rsid w:val="008B66DC"/>
    <w:rsid w:val="008B6BA3"/>
    <w:rsid w:val="008B6C73"/>
    <w:rsid w:val="008B6F1A"/>
    <w:rsid w:val="008B7699"/>
    <w:rsid w:val="008B79AB"/>
    <w:rsid w:val="008B7C49"/>
    <w:rsid w:val="008C0299"/>
    <w:rsid w:val="008C03CD"/>
    <w:rsid w:val="008C05D2"/>
    <w:rsid w:val="008C094B"/>
    <w:rsid w:val="008C0D16"/>
    <w:rsid w:val="008C0E12"/>
    <w:rsid w:val="008C0ECC"/>
    <w:rsid w:val="008C13C6"/>
    <w:rsid w:val="008C1BD3"/>
    <w:rsid w:val="008C25BF"/>
    <w:rsid w:val="008C2883"/>
    <w:rsid w:val="008C2961"/>
    <w:rsid w:val="008C2AC2"/>
    <w:rsid w:val="008C2CD1"/>
    <w:rsid w:val="008C2D00"/>
    <w:rsid w:val="008C2D1E"/>
    <w:rsid w:val="008C2D99"/>
    <w:rsid w:val="008C362F"/>
    <w:rsid w:val="008C394B"/>
    <w:rsid w:val="008C3AF0"/>
    <w:rsid w:val="008C40CD"/>
    <w:rsid w:val="008C4624"/>
    <w:rsid w:val="008C4D0C"/>
    <w:rsid w:val="008C513F"/>
    <w:rsid w:val="008C53D0"/>
    <w:rsid w:val="008C5459"/>
    <w:rsid w:val="008C55E6"/>
    <w:rsid w:val="008C55E8"/>
    <w:rsid w:val="008C55F0"/>
    <w:rsid w:val="008C5C13"/>
    <w:rsid w:val="008C5D3F"/>
    <w:rsid w:val="008C7827"/>
    <w:rsid w:val="008C7EA7"/>
    <w:rsid w:val="008C7EE0"/>
    <w:rsid w:val="008C7FEA"/>
    <w:rsid w:val="008D05CD"/>
    <w:rsid w:val="008D1068"/>
    <w:rsid w:val="008D120D"/>
    <w:rsid w:val="008D15DD"/>
    <w:rsid w:val="008D2638"/>
    <w:rsid w:val="008D2817"/>
    <w:rsid w:val="008D2C31"/>
    <w:rsid w:val="008D3496"/>
    <w:rsid w:val="008D3577"/>
    <w:rsid w:val="008D366B"/>
    <w:rsid w:val="008D3860"/>
    <w:rsid w:val="008D3904"/>
    <w:rsid w:val="008D3B7A"/>
    <w:rsid w:val="008D3D36"/>
    <w:rsid w:val="008D46EC"/>
    <w:rsid w:val="008D49EA"/>
    <w:rsid w:val="008D548D"/>
    <w:rsid w:val="008D549A"/>
    <w:rsid w:val="008D57F7"/>
    <w:rsid w:val="008D619B"/>
    <w:rsid w:val="008D654F"/>
    <w:rsid w:val="008D666A"/>
    <w:rsid w:val="008D6677"/>
    <w:rsid w:val="008D673C"/>
    <w:rsid w:val="008D69CD"/>
    <w:rsid w:val="008D6ACE"/>
    <w:rsid w:val="008D6D38"/>
    <w:rsid w:val="008D6D77"/>
    <w:rsid w:val="008D6F3F"/>
    <w:rsid w:val="008D7352"/>
    <w:rsid w:val="008D74FD"/>
    <w:rsid w:val="008D752A"/>
    <w:rsid w:val="008D7A88"/>
    <w:rsid w:val="008D7F1C"/>
    <w:rsid w:val="008D7F23"/>
    <w:rsid w:val="008E0032"/>
    <w:rsid w:val="008E04ED"/>
    <w:rsid w:val="008E050C"/>
    <w:rsid w:val="008E0872"/>
    <w:rsid w:val="008E0A62"/>
    <w:rsid w:val="008E0B4F"/>
    <w:rsid w:val="008E0C0E"/>
    <w:rsid w:val="008E0EAE"/>
    <w:rsid w:val="008E1286"/>
    <w:rsid w:val="008E173A"/>
    <w:rsid w:val="008E23B4"/>
    <w:rsid w:val="008E25C2"/>
    <w:rsid w:val="008E2D11"/>
    <w:rsid w:val="008E2E3F"/>
    <w:rsid w:val="008E3517"/>
    <w:rsid w:val="008E3577"/>
    <w:rsid w:val="008E385F"/>
    <w:rsid w:val="008E479B"/>
    <w:rsid w:val="008E4929"/>
    <w:rsid w:val="008E494B"/>
    <w:rsid w:val="008E49BF"/>
    <w:rsid w:val="008E4D91"/>
    <w:rsid w:val="008E569A"/>
    <w:rsid w:val="008E612E"/>
    <w:rsid w:val="008E621E"/>
    <w:rsid w:val="008E691A"/>
    <w:rsid w:val="008E6A66"/>
    <w:rsid w:val="008E6B6D"/>
    <w:rsid w:val="008E6C00"/>
    <w:rsid w:val="008E6D16"/>
    <w:rsid w:val="008E6ECC"/>
    <w:rsid w:val="008E6FFA"/>
    <w:rsid w:val="008E7419"/>
    <w:rsid w:val="008E7A7A"/>
    <w:rsid w:val="008E7B70"/>
    <w:rsid w:val="008E7BD7"/>
    <w:rsid w:val="008F021E"/>
    <w:rsid w:val="008F0235"/>
    <w:rsid w:val="008F055B"/>
    <w:rsid w:val="008F05FB"/>
    <w:rsid w:val="008F0766"/>
    <w:rsid w:val="008F09F8"/>
    <w:rsid w:val="008F0C35"/>
    <w:rsid w:val="008F12BD"/>
    <w:rsid w:val="008F135B"/>
    <w:rsid w:val="008F135C"/>
    <w:rsid w:val="008F140B"/>
    <w:rsid w:val="008F1C28"/>
    <w:rsid w:val="008F2055"/>
    <w:rsid w:val="008F22D6"/>
    <w:rsid w:val="008F23B4"/>
    <w:rsid w:val="008F2A3D"/>
    <w:rsid w:val="008F3C36"/>
    <w:rsid w:val="008F3CC1"/>
    <w:rsid w:val="008F3D15"/>
    <w:rsid w:val="008F3D3D"/>
    <w:rsid w:val="008F46B4"/>
    <w:rsid w:val="008F4899"/>
    <w:rsid w:val="008F4E4B"/>
    <w:rsid w:val="008F525B"/>
    <w:rsid w:val="008F5541"/>
    <w:rsid w:val="008F56BB"/>
    <w:rsid w:val="008F57F7"/>
    <w:rsid w:val="008F595E"/>
    <w:rsid w:val="008F5F8D"/>
    <w:rsid w:val="008F603E"/>
    <w:rsid w:val="008F618F"/>
    <w:rsid w:val="008F63CD"/>
    <w:rsid w:val="008F660F"/>
    <w:rsid w:val="008F6C4C"/>
    <w:rsid w:val="008F6ED4"/>
    <w:rsid w:val="008F7275"/>
    <w:rsid w:val="008F773E"/>
    <w:rsid w:val="008F77A1"/>
    <w:rsid w:val="008F78CE"/>
    <w:rsid w:val="008F7ED3"/>
    <w:rsid w:val="008F7F3D"/>
    <w:rsid w:val="009002EE"/>
    <w:rsid w:val="00900EA5"/>
    <w:rsid w:val="00901423"/>
    <w:rsid w:val="0090178D"/>
    <w:rsid w:val="00901914"/>
    <w:rsid w:val="00901A2C"/>
    <w:rsid w:val="00901D20"/>
    <w:rsid w:val="00901EB0"/>
    <w:rsid w:val="0090374F"/>
    <w:rsid w:val="00903C36"/>
    <w:rsid w:val="00905308"/>
    <w:rsid w:val="0090557B"/>
    <w:rsid w:val="009055DE"/>
    <w:rsid w:val="00905A83"/>
    <w:rsid w:val="00905C7D"/>
    <w:rsid w:val="00905CF4"/>
    <w:rsid w:val="009064B3"/>
    <w:rsid w:val="00906A8B"/>
    <w:rsid w:val="00906ED8"/>
    <w:rsid w:val="00906FE1"/>
    <w:rsid w:val="00907058"/>
    <w:rsid w:val="009072D0"/>
    <w:rsid w:val="00907438"/>
    <w:rsid w:val="0090749A"/>
    <w:rsid w:val="00907667"/>
    <w:rsid w:val="00907773"/>
    <w:rsid w:val="00907913"/>
    <w:rsid w:val="00907C65"/>
    <w:rsid w:val="00907E8A"/>
    <w:rsid w:val="00907EE2"/>
    <w:rsid w:val="009100BE"/>
    <w:rsid w:val="00910179"/>
    <w:rsid w:val="009103A5"/>
    <w:rsid w:val="00910421"/>
    <w:rsid w:val="00910F4B"/>
    <w:rsid w:val="009110C6"/>
    <w:rsid w:val="00911CE7"/>
    <w:rsid w:val="009120E0"/>
    <w:rsid w:val="009123E8"/>
    <w:rsid w:val="00912C51"/>
    <w:rsid w:val="00913375"/>
    <w:rsid w:val="009140AB"/>
    <w:rsid w:val="00914242"/>
    <w:rsid w:val="009145AA"/>
    <w:rsid w:val="009145B8"/>
    <w:rsid w:val="00914664"/>
    <w:rsid w:val="0091466F"/>
    <w:rsid w:val="00914684"/>
    <w:rsid w:val="00914754"/>
    <w:rsid w:val="00914AE5"/>
    <w:rsid w:val="00914B6B"/>
    <w:rsid w:val="00914D93"/>
    <w:rsid w:val="009152F7"/>
    <w:rsid w:val="0091548A"/>
    <w:rsid w:val="0091568F"/>
    <w:rsid w:val="009157B6"/>
    <w:rsid w:val="00915F87"/>
    <w:rsid w:val="009163BC"/>
    <w:rsid w:val="009164C2"/>
    <w:rsid w:val="00917542"/>
    <w:rsid w:val="009176CF"/>
    <w:rsid w:val="009179E1"/>
    <w:rsid w:val="00920361"/>
    <w:rsid w:val="009208FE"/>
    <w:rsid w:val="0092099E"/>
    <w:rsid w:val="00920B9C"/>
    <w:rsid w:val="00920FA7"/>
    <w:rsid w:val="009211BD"/>
    <w:rsid w:val="009214E9"/>
    <w:rsid w:val="00921F2A"/>
    <w:rsid w:val="0092225C"/>
    <w:rsid w:val="009222B0"/>
    <w:rsid w:val="0092289D"/>
    <w:rsid w:val="00922BAF"/>
    <w:rsid w:val="00922C24"/>
    <w:rsid w:val="0092335B"/>
    <w:rsid w:val="00923C38"/>
    <w:rsid w:val="00923D88"/>
    <w:rsid w:val="00923F67"/>
    <w:rsid w:val="00923F75"/>
    <w:rsid w:val="009240F0"/>
    <w:rsid w:val="00924228"/>
    <w:rsid w:val="00924A70"/>
    <w:rsid w:val="00925358"/>
    <w:rsid w:val="009256CF"/>
    <w:rsid w:val="00925930"/>
    <w:rsid w:val="00925E3F"/>
    <w:rsid w:val="00925F7D"/>
    <w:rsid w:val="00926171"/>
    <w:rsid w:val="00926365"/>
    <w:rsid w:val="00926B70"/>
    <w:rsid w:val="00926EB5"/>
    <w:rsid w:val="00927B0A"/>
    <w:rsid w:val="00927DA9"/>
    <w:rsid w:val="00930161"/>
    <w:rsid w:val="009303F0"/>
    <w:rsid w:val="009309C0"/>
    <w:rsid w:val="00930FF2"/>
    <w:rsid w:val="00931287"/>
    <w:rsid w:val="00931436"/>
    <w:rsid w:val="009320DB"/>
    <w:rsid w:val="009322B8"/>
    <w:rsid w:val="0093262F"/>
    <w:rsid w:val="009328C0"/>
    <w:rsid w:val="00932BF9"/>
    <w:rsid w:val="00932E61"/>
    <w:rsid w:val="009331E8"/>
    <w:rsid w:val="0093330D"/>
    <w:rsid w:val="009340B6"/>
    <w:rsid w:val="0093438A"/>
    <w:rsid w:val="009344FD"/>
    <w:rsid w:val="00934876"/>
    <w:rsid w:val="009349B9"/>
    <w:rsid w:val="00934D78"/>
    <w:rsid w:val="00934EB9"/>
    <w:rsid w:val="009351BB"/>
    <w:rsid w:val="00935727"/>
    <w:rsid w:val="009359E1"/>
    <w:rsid w:val="00935A49"/>
    <w:rsid w:val="00935C16"/>
    <w:rsid w:val="00935D6F"/>
    <w:rsid w:val="00935FE0"/>
    <w:rsid w:val="0093689E"/>
    <w:rsid w:val="0093697B"/>
    <w:rsid w:val="00937D7B"/>
    <w:rsid w:val="00937E4D"/>
    <w:rsid w:val="0094020C"/>
    <w:rsid w:val="00940D62"/>
    <w:rsid w:val="00940F3F"/>
    <w:rsid w:val="0094150E"/>
    <w:rsid w:val="00942907"/>
    <w:rsid w:val="00943512"/>
    <w:rsid w:val="009435BC"/>
    <w:rsid w:val="00943834"/>
    <w:rsid w:val="00944030"/>
    <w:rsid w:val="009441BF"/>
    <w:rsid w:val="009443A1"/>
    <w:rsid w:val="0094484E"/>
    <w:rsid w:val="00944889"/>
    <w:rsid w:val="009448DE"/>
    <w:rsid w:val="00944E3C"/>
    <w:rsid w:val="00945291"/>
    <w:rsid w:val="00945293"/>
    <w:rsid w:val="009454AB"/>
    <w:rsid w:val="00945848"/>
    <w:rsid w:val="00945F5D"/>
    <w:rsid w:val="00945FF2"/>
    <w:rsid w:val="0094605C"/>
    <w:rsid w:val="0094612E"/>
    <w:rsid w:val="009461E2"/>
    <w:rsid w:val="00946664"/>
    <w:rsid w:val="00946B55"/>
    <w:rsid w:val="00946EB7"/>
    <w:rsid w:val="00946F25"/>
    <w:rsid w:val="00946FB4"/>
    <w:rsid w:val="009472F3"/>
    <w:rsid w:val="00947557"/>
    <w:rsid w:val="00947B0A"/>
    <w:rsid w:val="00947E8D"/>
    <w:rsid w:val="00947EBD"/>
    <w:rsid w:val="009500ED"/>
    <w:rsid w:val="00950251"/>
    <w:rsid w:val="0095042A"/>
    <w:rsid w:val="00950449"/>
    <w:rsid w:val="0095057F"/>
    <w:rsid w:val="00950584"/>
    <w:rsid w:val="009509D5"/>
    <w:rsid w:val="00950DD2"/>
    <w:rsid w:val="0095156F"/>
    <w:rsid w:val="00951904"/>
    <w:rsid w:val="00951BF6"/>
    <w:rsid w:val="00951EC2"/>
    <w:rsid w:val="0095205F"/>
    <w:rsid w:val="00952489"/>
    <w:rsid w:val="00952546"/>
    <w:rsid w:val="00953164"/>
    <w:rsid w:val="00953267"/>
    <w:rsid w:val="00953A2C"/>
    <w:rsid w:val="00953A5C"/>
    <w:rsid w:val="00953CAC"/>
    <w:rsid w:val="00954140"/>
    <w:rsid w:val="00954624"/>
    <w:rsid w:val="00954C75"/>
    <w:rsid w:val="00955654"/>
    <w:rsid w:val="00955A34"/>
    <w:rsid w:val="00955BD9"/>
    <w:rsid w:val="00955D07"/>
    <w:rsid w:val="009560F5"/>
    <w:rsid w:val="009563AB"/>
    <w:rsid w:val="009564CB"/>
    <w:rsid w:val="009568D7"/>
    <w:rsid w:val="0095698B"/>
    <w:rsid w:val="0095699E"/>
    <w:rsid w:val="009573A0"/>
    <w:rsid w:val="00960C80"/>
    <w:rsid w:val="00960C9A"/>
    <w:rsid w:val="00960D46"/>
    <w:rsid w:val="00960EF9"/>
    <w:rsid w:val="009610CF"/>
    <w:rsid w:val="0096143E"/>
    <w:rsid w:val="009614C9"/>
    <w:rsid w:val="0096206B"/>
    <w:rsid w:val="00962273"/>
    <w:rsid w:val="009622D9"/>
    <w:rsid w:val="0096235B"/>
    <w:rsid w:val="0096245B"/>
    <w:rsid w:val="0096332E"/>
    <w:rsid w:val="00963A05"/>
    <w:rsid w:val="00963C68"/>
    <w:rsid w:val="00963FA9"/>
    <w:rsid w:val="00963FB8"/>
    <w:rsid w:val="00964199"/>
    <w:rsid w:val="009641B3"/>
    <w:rsid w:val="00964509"/>
    <w:rsid w:val="009645F5"/>
    <w:rsid w:val="0096499A"/>
    <w:rsid w:val="00964C4E"/>
    <w:rsid w:val="00964CBC"/>
    <w:rsid w:val="00964DCD"/>
    <w:rsid w:val="00964FBC"/>
    <w:rsid w:val="00965BB6"/>
    <w:rsid w:val="00965EA3"/>
    <w:rsid w:val="00965F20"/>
    <w:rsid w:val="009661FA"/>
    <w:rsid w:val="0096659E"/>
    <w:rsid w:val="00966CD4"/>
    <w:rsid w:val="00966CEC"/>
    <w:rsid w:val="00966FA8"/>
    <w:rsid w:val="00967653"/>
    <w:rsid w:val="009676E5"/>
    <w:rsid w:val="00967B47"/>
    <w:rsid w:val="00967C0E"/>
    <w:rsid w:val="0097034E"/>
    <w:rsid w:val="00970439"/>
    <w:rsid w:val="00970746"/>
    <w:rsid w:val="00970D83"/>
    <w:rsid w:val="00971344"/>
    <w:rsid w:val="009718BA"/>
    <w:rsid w:val="0097196E"/>
    <w:rsid w:val="00971B59"/>
    <w:rsid w:val="00971D78"/>
    <w:rsid w:val="00971D7F"/>
    <w:rsid w:val="00972536"/>
    <w:rsid w:val="00972CF4"/>
    <w:rsid w:val="00972D6B"/>
    <w:rsid w:val="00972DEC"/>
    <w:rsid w:val="0097319B"/>
    <w:rsid w:val="00973402"/>
    <w:rsid w:val="009738D9"/>
    <w:rsid w:val="00973C17"/>
    <w:rsid w:val="00973E4C"/>
    <w:rsid w:val="00974364"/>
    <w:rsid w:val="00974BD0"/>
    <w:rsid w:val="00974DB6"/>
    <w:rsid w:val="00974E71"/>
    <w:rsid w:val="009754F5"/>
    <w:rsid w:val="00975E24"/>
    <w:rsid w:val="00976417"/>
    <w:rsid w:val="009767C6"/>
    <w:rsid w:val="0097757E"/>
    <w:rsid w:val="0097763A"/>
    <w:rsid w:val="00977751"/>
    <w:rsid w:val="00977DE3"/>
    <w:rsid w:val="009802B9"/>
    <w:rsid w:val="00980627"/>
    <w:rsid w:val="00980677"/>
    <w:rsid w:val="009809D5"/>
    <w:rsid w:val="00981085"/>
    <w:rsid w:val="0098120D"/>
    <w:rsid w:val="009819B7"/>
    <w:rsid w:val="00981A01"/>
    <w:rsid w:val="00981A63"/>
    <w:rsid w:val="00981B91"/>
    <w:rsid w:val="00981D0E"/>
    <w:rsid w:val="00981E6B"/>
    <w:rsid w:val="00981F80"/>
    <w:rsid w:val="0098207E"/>
    <w:rsid w:val="0098283C"/>
    <w:rsid w:val="00983735"/>
    <w:rsid w:val="00983BB3"/>
    <w:rsid w:val="00983C06"/>
    <w:rsid w:val="00984475"/>
    <w:rsid w:val="009844F8"/>
    <w:rsid w:val="00984AA1"/>
    <w:rsid w:val="00984CEC"/>
    <w:rsid w:val="00984F0C"/>
    <w:rsid w:val="0098527F"/>
    <w:rsid w:val="0098543F"/>
    <w:rsid w:val="00985FBF"/>
    <w:rsid w:val="00985FE4"/>
    <w:rsid w:val="009861FE"/>
    <w:rsid w:val="0098627E"/>
    <w:rsid w:val="009863CD"/>
    <w:rsid w:val="00986CC6"/>
    <w:rsid w:val="00986CE8"/>
    <w:rsid w:val="00987380"/>
    <w:rsid w:val="0098748A"/>
    <w:rsid w:val="00987ADF"/>
    <w:rsid w:val="00987B6A"/>
    <w:rsid w:val="00987F20"/>
    <w:rsid w:val="00987F54"/>
    <w:rsid w:val="0099040C"/>
    <w:rsid w:val="00990773"/>
    <w:rsid w:val="0099091F"/>
    <w:rsid w:val="00990C40"/>
    <w:rsid w:val="00990CF8"/>
    <w:rsid w:val="00990DE6"/>
    <w:rsid w:val="00990FC4"/>
    <w:rsid w:val="009911DA"/>
    <w:rsid w:val="0099122B"/>
    <w:rsid w:val="00991573"/>
    <w:rsid w:val="00991C59"/>
    <w:rsid w:val="00991FDD"/>
    <w:rsid w:val="00992518"/>
    <w:rsid w:val="0099274E"/>
    <w:rsid w:val="0099285C"/>
    <w:rsid w:val="00992BF7"/>
    <w:rsid w:val="00992BFB"/>
    <w:rsid w:val="00992F16"/>
    <w:rsid w:val="00993587"/>
    <w:rsid w:val="00993769"/>
    <w:rsid w:val="00993885"/>
    <w:rsid w:val="0099421B"/>
    <w:rsid w:val="009945F4"/>
    <w:rsid w:val="0099508A"/>
    <w:rsid w:val="009958E9"/>
    <w:rsid w:val="00996017"/>
    <w:rsid w:val="009960B1"/>
    <w:rsid w:val="009960F0"/>
    <w:rsid w:val="0099611F"/>
    <w:rsid w:val="00996131"/>
    <w:rsid w:val="009961CF"/>
    <w:rsid w:val="00996805"/>
    <w:rsid w:val="00996B96"/>
    <w:rsid w:val="00996BC6"/>
    <w:rsid w:val="00996DFA"/>
    <w:rsid w:val="00996E84"/>
    <w:rsid w:val="00997245"/>
    <w:rsid w:val="009974F7"/>
    <w:rsid w:val="00997C4B"/>
    <w:rsid w:val="00997E0B"/>
    <w:rsid w:val="009A00AC"/>
    <w:rsid w:val="009A0319"/>
    <w:rsid w:val="009A066F"/>
    <w:rsid w:val="009A0F00"/>
    <w:rsid w:val="009A1737"/>
    <w:rsid w:val="009A18C3"/>
    <w:rsid w:val="009A1985"/>
    <w:rsid w:val="009A19DC"/>
    <w:rsid w:val="009A1B4B"/>
    <w:rsid w:val="009A2214"/>
    <w:rsid w:val="009A2392"/>
    <w:rsid w:val="009A256B"/>
    <w:rsid w:val="009A29D3"/>
    <w:rsid w:val="009A2E2C"/>
    <w:rsid w:val="009A316E"/>
    <w:rsid w:val="009A318F"/>
    <w:rsid w:val="009A3229"/>
    <w:rsid w:val="009A3579"/>
    <w:rsid w:val="009A36EE"/>
    <w:rsid w:val="009A3883"/>
    <w:rsid w:val="009A3BE1"/>
    <w:rsid w:val="009A3CC2"/>
    <w:rsid w:val="009A4294"/>
    <w:rsid w:val="009A466F"/>
    <w:rsid w:val="009A5558"/>
    <w:rsid w:val="009A5A0F"/>
    <w:rsid w:val="009A5ABA"/>
    <w:rsid w:val="009A5B33"/>
    <w:rsid w:val="009A5FA5"/>
    <w:rsid w:val="009A6068"/>
    <w:rsid w:val="009A62AF"/>
    <w:rsid w:val="009A694A"/>
    <w:rsid w:val="009A69FD"/>
    <w:rsid w:val="009A6BCF"/>
    <w:rsid w:val="009A6E59"/>
    <w:rsid w:val="009A73C3"/>
    <w:rsid w:val="009A7717"/>
    <w:rsid w:val="009A77C0"/>
    <w:rsid w:val="009A7EB4"/>
    <w:rsid w:val="009B089D"/>
    <w:rsid w:val="009B0C57"/>
    <w:rsid w:val="009B1527"/>
    <w:rsid w:val="009B1A7F"/>
    <w:rsid w:val="009B1F15"/>
    <w:rsid w:val="009B2031"/>
    <w:rsid w:val="009B23C8"/>
    <w:rsid w:val="009B25D6"/>
    <w:rsid w:val="009B2DBF"/>
    <w:rsid w:val="009B38D3"/>
    <w:rsid w:val="009B398D"/>
    <w:rsid w:val="009B3A12"/>
    <w:rsid w:val="009B3CFC"/>
    <w:rsid w:val="009B3D90"/>
    <w:rsid w:val="009B3FAD"/>
    <w:rsid w:val="009B4414"/>
    <w:rsid w:val="009B44C9"/>
    <w:rsid w:val="009B499B"/>
    <w:rsid w:val="009B52E9"/>
    <w:rsid w:val="009B5350"/>
    <w:rsid w:val="009B5369"/>
    <w:rsid w:val="009B59C7"/>
    <w:rsid w:val="009B5AE7"/>
    <w:rsid w:val="009B5C77"/>
    <w:rsid w:val="009B5D79"/>
    <w:rsid w:val="009B6042"/>
    <w:rsid w:val="009B60B0"/>
    <w:rsid w:val="009B6A85"/>
    <w:rsid w:val="009B6BFB"/>
    <w:rsid w:val="009B752E"/>
    <w:rsid w:val="009B7D09"/>
    <w:rsid w:val="009B7D91"/>
    <w:rsid w:val="009B7F79"/>
    <w:rsid w:val="009C011A"/>
    <w:rsid w:val="009C0219"/>
    <w:rsid w:val="009C0447"/>
    <w:rsid w:val="009C0564"/>
    <w:rsid w:val="009C05DB"/>
    <w:rsid w:val="009C0828"/>
    <w:rsid w:val="009C0834"/>
    <w:rsid w:val="009C0E53"/>
    <w:rsid w:val="009C1099"/>
    <w:rsid w:val="009C10F5"/>
    <w:rsid w:val="009C12CC"/>
    <w:rsid w:val="009C16CF"/>
    <w:rsid w:val="009C18E0"/>
    <w:rsid w:val="009C1954"/>
    <w:rsid w:val="009C19C3"/>
    <w:rsid w:val="009C1C75"/>
    <w:rsid w:val="009C1C7D"/>
    <w:rsid w:val="009C21B5"/>
    <w:rsid w:val="009C260C"/>
    <w:rsid w:val="009C274D"/>
    <w:rsid w:val="009C2E6D"/>
    <w:rsid w:val="009C2FF0"/>
    <w:rsid w:val="009C3669"/>
    <w:rsid w:val="009C3888"/>
    <w:rsid w:val="009C3D05"/>
    <w:rsid w:val="009C4170"/>
    <w:rsid w:val="009C4361"/>
    <w:rsid w:val="009C440D"/>
    <w:rsid w:val="009C462A"/>
    <w:rsid w:val="009C4AE8"/>
    <w:rsid w:val="009C4FB5"/>
    <w:rsid w:val="009C54BF"/>
    <w:rsid w:val="009C582B"/>
    <w:rsid w:val="009C598E"/>
    <w:rsid w:val="009C5D8C"/>
    <w:rsid w:val="009C6467"/>
    <w:rsid w:val="009C655C"/>
    <w:rsid w:val="009C6969"/>
    <w:rsid w:val="009C6B7D"/>
    <w:rsid w:val="009C7A91"/>
    <w:rsid w:val="009D00C4"/>
    <w:rsid w:val="009D16A2"/>
    <w:rsid w:val="009D1758"/>
    <w:rsid w:val="009D17A6"/>
    <w:rsid w:val="009D1B5C"/>
    <w:rsid w:val="009D1B99"/>
    <w:rsid w:val="009D20ED"/>
    <w:rsid w:val="009D2241"/>
    <w:rsid w:val="009D2AF8"/>
    <w:rsid w:val="009D2D13"/>
    <w:rsid w:val="009D2DE0"/>
    <w:rsid w:val="009D319F"/>
    <w:rsid w:val="009D360A"/>
    <w:rsid w:val="009D41B8"/>
    <w:rsid w:val="009D4612"/>
    <w:rsid w:val="009D4E79"/>
    <w:rsid w:val="009D4F52"/>
    <w:rsid w:val="009D612B"/>
    <w:rsid w:val="009D63E3"/>
    <w:rsid w:val="009D6CD4"/>
    <w:rsid w:val="009D72C1"/>
    <w:rsid w:val="009D77C6"/>
    <w:rsid w:val="009D7A9B"/>
    <w:rsid w:val="009D7B78"/>
    <w:rsid w:val="009D7C45"/>
    <w:rsid w:val="009E182F"/>
    <w:rsid w:val="009E198F"/>
    <w:rsid w:val="009E19DD"/>
    <w:rsid w:val="009E1B16"/>
    <w:rsid w:val="009E1B2F"/>
    <w:rsid w:val="009E245D"/>
    <w:rsid w:val="009E247F"/>
    <w:rsid w:val="009E2E38"/>
    <w:rsid w:val="009E2EC5"/>
    <w:rsid w:val="009E3586"/>
    <w:rsid w:val="009E35B4"/>
    <w:rsid w:val="009E37DA"/>
    <w:rsid w:val="009E37EF"/>
    <w:rsid w:val="009E38C3"/>
    <w:rsid w:val="009E38DE"/>
    <w:rsid w:val="009E38F4"/>
    <w:rsid w:val="009E3B45"/>
    <w:rsid w:val="009E4422"/>
    <w:rsid w:val="009E463F"/>
    <w:rsid w:val="009E48E7"/>
    <w:rsid w:val="009E556B"/>
    <w:rsid w:val="009E5606"/>
    <w:rsid w:val="009E5AB6"/>
    <w:rsid w:val="009E6852"/>
    <w:rsid w:val="009E69C1"/>
    <w:rsid w:val="009E6DAE"/>
    <w:rsid w:val="009E7114"/>
    <w:rsid w:val="009E78E6"/>
    <w:rsid w:val="009E7EDE"/>
    <w:rsid w:val="009F073C"/>
    <w:rsid w:val="009F07CD"/>
    <w:rsid w:val="009F0C21"/>
    <w:rsid w:val="009F1408"/>
    <w:rsid w:val="009F1616"/>
    <w:rsid w:val="009F1A3B"/>
    <w:rsid w:val="009F1DFA"/>
    <w:rsid w:val="009F218F"/>
    <w:rsid w:val="009F296B"/>
    <w:rsid w:val="009F2D74"/>
    <w:rsid w:val="009F30CE"/>
    <w:rsid w:val="009F339A"/>
    <w:rsid w:val="009F34CE"/>
    <w:rsid w:val="009F366B"/>
    <w:rsid w:val="009F3721"/>
    <w:rsid w:val="009F3991"/>
    <w:rsid w:val="009F3A9F"/>
    <w:rsid w:val="009F3C64"/>
    <w:rsid w:val="009F3F4F"/>
    <w:rsid w:val="009F419D"/>
    <w:rsid w:val="009F425C"/>
    <w:rsid w:val="009F432A"/>
    <w:rsid w:val="009F492B"/>
    <w:rsid w:val="009F4C30"/>
    <w:rsid w:val="009F5457"/>
    <w:rsid w:val="009F5483"/>
    <w:rsid w:val="009F56F5"/>
    <w:rsid w:val="009F5AD4"/>
    <w:rsid w:val="009F6365"/>
    <w:rsid w:val="009F668E"/>
    <w:rsid w:val="009F6AD6"/>
    <w:rsid w:val="009F6BC5"/>
    <w:rsid w:val="009F6DE1"/>
    <w:rsid w:val="009F7043"/>
    <w:rsid w:val="009F7639"/>
    <w:rsid w:val="009F778F"/>
    <w:rsid w:val="009F7ACD"/>
    <w:rsid w:val="009F7C9B"/>
    <w:rsid w:val="009F7DF5"/>
    <w:rsid w:val="00A0010D"/>
    <w:rsid w:val="00A006D0"/>
    <w:rsid w:val="00A00727"/>
    <w:rsid w:val="00A00BBA"/>
    <w:rsid w:val="00A00C3F"/>
    <w:rsid w:val="00A01446"/>
    <w:rsid w:val="00A015DC"/>
    <w:rsid w:val="00A01F51"/>
    <w:rsid w:val="00A020D8"/>
    <w:rsid w:val="00A02218"/>
    <w:rsid w:val="00A02BA6"/>
    <w:rsid w:val="00A02D33"/>
    <w:rsid w:val="00A02F8D"/>
    <w:rsid w:val="00A031C4"/>
    <w:rsid w:val="00A032A1"/>
    <w:rsid w:val="00A03B5B"/>
    <w:rsid w:val="00A03B87"/>
    <w:rsid w:val="00A03F44"/>
    <w:rsid w:val="00A0418B"/>
    <w:rsid w:val="00A044C7"/>
    <w:rsid w:val="00A04A6D"/>
    <w:rsid w:val="00A04AE1"/>
    <w:rsid w:val="00A04C59"/>
    <w:rsid w:val="00A04DE1"/>
    <w:rsid w:val="00A04F45"/>
    <w:rsid w:val="00A0515C"/>
    <w:rsid w:val="00A0542E"/>
    <w:rsid w:val="00A05711"/>
    <w:rsid w:val="00A05978"/>
    <w:rsid w:val="00A05BA9"/>
    <w:rsid w:val="00A05C51"/>
    <w:rsid w:val="00A05C5C"/>
    <w:rsid w:val="00A05D21"/>
    <w:rsid w:val="00A05DB7"/>
    <w:rsid w:val="00A06693"/>
    <w:rsid w:val="00A0676F"/>
    <w:rsid w:val="00A06BE8"/>
    <w:rsid w:val="00A06FF7"/>
    <w:rsid w:val="00A072A1"/>
    <w:rsid w:val="00A0732B"/>
    <w:rsid w:val="00A07FE4"/>
    <w:rsid w:val="00A101B5"/>
    <w:rsid w:val="00A10B6A"/>
    <w:rsid w:val="00A10B95"/>
    <w:rsid w:val="00A10C7E"/>
    <w:rsid w:val="00A10F2B"/>
    <w:rsid w:val="00A11435"/>
    <w:rsid w:val="00A1182F"/>
    <w:rsid w:val="00A11C97"/>
    <w:rsid w:val="00A127A9"/>
    <w:rsid w:val="00A128D7"/>
    <w:rsid w:val="00A12F21"/>
    <w:rsid w:val="00A12F4D"/>
    <w:rsid w:val="00A136ED"/>
    <w:rsid w:val="00A13D91"/>
    <w:rsid w:val="00A13DD9"/>
    <w:rsid w:val="00A13E05"/>
    <w:rsid w:val="00A141AE"/>
    <w:rsid w:val="00A1451D"/>
    <w:rsid w:val="00A1459F"/>
    <w:rsid w:val="00A14828"/>
    <w:rsid w:val="00A1488A"/>
    <w:rsid w:val="00A14DE4"/>
    <w:rsid w:val="00A14F97"/>
    <w:rsid w:val="00A15281"/>
    <w:rsid w:val="00A1558A"/>
    <w:rsid w:val="00A1563F"/>
    <w:rsid w:val="00A15FA8"/>
    <w:rsid w:val="00A1602A"/>
    <w:rsid w:val="00A1618D"/>
    <w:rsid w:val="00A161A7"/>
    <w:rsid w:val="00A16248"/>
    <w:rsid w:val="00A165CB"/>
    <w:rsid w:val="00A1682C"/>
    <w:rsid w:val="00A16A2F"/>
    <w:rsid w:val="00A16D7C"/>
    <w:rsid w:val="00A16DDC"/>
    <w:rsid w:val="00A172D1"/>
    <w:rsid w:val="00A17773"/>
    <w:rsid w:val="00A177EF"/>
    <w:rsid w:val="00A17A71"/>
    <w:rsid w:val="00A17CD8"/>
    <w:rsid w:val="00A20A9E"/>
    <w:rsid w:val="00A20AD4"/>
    <w:rsid w:val="00A20F37"/>
    <w:rsid w:val="00A20F90"/>
    <w:rsid w:val="00A21664"/>
    <w:rsid w:val="00A21728"/>
    <w:rsid w:val="00A21C42"/>
    <w:rsid w:val="00A21CB6"/>
    <w:rsid w:val="00A22996"/>
    <w:rsid w:val="00A22C4F"/>
    <w:rsid w:val="00A22F93"/>
    <w:rsid w:val="00A23097"/>
    <w:rsid w:val="00A2327F"/>
    <w:rsid w:val="00A23F13"/>
    <w:rsid w:val="00A244DC"/>
    <w:rsid w:val="00A24876"/>
    <w:rsid w:val="00A248E2"/>
    <w:rsid w:val="00A248E7"/>
    <w:rsid w:val="00A24968"/>
    <w:rsid w:val="00A24A08"/>
    <w:rsid w:val="00A24A99"/>
    <w:rsid w:val="00A251F8"/>
    <w:rsid w:val="00A25368"/>
    <w:rsid w:val="00A2563E"/>
    <w:rsid w:val="00A256A3"/>
    <w:rsid w:val="00A25A3D"/>
    <w:rsid w:val="00A25DB8"/>
    <w:rsid w:val="00A26012"/>
    <w:rsid w:val="00A266D5"/>
    <w:rsid w:val="00A266EB"/>
    <w:rsid w:val="00A2676B"/>
    <w:rsid w:val="00A26AF1"/>
    <w:rsid w:val="00A26BBC"/>
    <w:rsid w:val="00A26E2E"/>
    <w:rsid w:val="00A2715F"/>
    <w:rsid w:val="00A276EF"/>
    <w:rsid w:val="00A27796"/>
    <w:rsid w:val="00A279F1"/>
    <w:rsid w:val="00A27E05"/>
    <w:rsid w:val="00A27FA2"/>
    <w:rsid w:val="00A301E1"/>
    <w:rsid w:val="00A305F5"/>
    <w:rsid w:val="00A308D5"/>
    <w:rsid w:val="00A308D7"/>
    <w:rsid w:val="00A30A2E"/>
    <w:rsid w:val="00A30E8D"/>
    <w:rsid w:val="00A30EA5"/>
    <w:rsid w:val="00A3121D"/>
    <w:rsid w:val="00A31232"/>
    <w:rsid w:val="00A316D9"/>
    <w:rsid w:val="00A31876"/>
    <w:rsid w:val="00A319FA"/>
    <w:rsid w:val="00A31F00"/>
    <w:rsid w:val="00A3201C"/>
    <w:rsid w:val="00A32077"/>
    <w:rsid w:val="00A321F6"/>
    <w:rsid w:val="00A331E7"/>
    <w:rsid w:val="00A334B7"/>
    <w:rsid w:val="00A33AB3"/>
    <w:rsid w:val="00A33ADB"/>
    <w:rsid w:val="00A33AEF"/>
    <w:rsid w:val="00A342ED"/>
    <w:rsid w:val="00A34426"/>
    <w:rsid w:val="00A34491"/>
    <w:rsid w:val="00A3451D"/>
    <w:rsid w:val="00A34922"/>
    <w:rsid w:val="00A349D0"/>
    <w:rsid w:val="00A35438"/>
    <w:rsid w:val="00A35E2A"/>
    <w:rsid w:val="00A3609A"/>
    <w:rsid w:val="00A360F8"/>
    <w:rsid w:val="00A3629E"/>
    <w:rsid w:val="00A363B7"/>
    <w:rsid w:val="00A366CC"/>
    <w:rsid w:val="00A369E9"/>
    <w:rsid w:val="00A36A6A"/>
    <w:rsid w:val="00A36BAB"/>
    <w:rsid w:val="00A36DA1"/>
    <w:rsid w:val="00A3768D"/>
    <w:rsid w:val="00A4069D"/>
    <w:rsid w:val="00A40712"/>
    <w:rsid w:val="00A40A78"/>
    <w:rsid w:val="00A40A7C"/>
    <w:rsid w:val="00A40BB9"/>
    <w:rsid w:val="00A40CE9"/>
    <w:rsid w:val="00A40F2A"/>
    <w:rsid w:val="00A41112"/>
    <w:rsid w:val="00A414E5"/>
    <w:rsid w:val="00A4190D"/>
    <w:rsid w:val="00A4191A"/>
    <w:rsid w:val="00A41CFD"/>
    <w:rsid w:val="00A4247F"/>
    <w:rsid w:val="00A425A2"/>
    <w:rsid w:val="00A4281E"/>
    <w:rsid w:val="00A4297B"/>
    <w:rsid w:val="00A42A15"/>
    <w:rsid w:val="00A42A23"/>
    <w:rsid w:val="00A43272"/>
    <w:rsid w:val="00A4372D"/>
    <w:rsid w:val="00A43A72"/>
    <w:rsid w:val="00A4418E"/>
    <w:rsid w:val="00A445EE"/>
    <w:rsid w:val="00A446E6"/>
    <w:rsid w:val="00A44BAD"/>
    <w:rsid w:val="00A44CC5"/>
    <w:rsid w:val="00A44F75"/>
    <w:rsid w:val="00A450C5"/>
    <w:rsid w:val="00A4575B"/>
    <w:rsid w:val="00A45BCD"/>
    <w:rsid w:val="00A45D8A"/>
    <w:rsid w:val="00A461B0"/>
    <w:rsid w:val="00A46511"/>
    <w:rsid w:val="00A46541"/>
    <w:rsid w:val="00A47396"/>
    <w:rsid w:val="00A4753E"/>
    <w:rsid w:val="00A47605"/>
    <w:rsid w:val="00A47E7E"/>
    <w:rsid w:val="00A50234"/>
    <w:rsid w:val="00A509AF"/>
    <w:rsid w:val="00A50A49"/>
    <w:rsid w:val="00A50FDA"/>
    <w:rsid w:val="00A5123D"/>
    <w:rsid w:val="00A51614"/>
    <w:rsid w:val="00A516B0"/>
    <w:rsid w:val="00A516F4"/>
    <w:rsid w:val="00A523AB"/>
    <w:rsid w:val="00A525CC"/>
    <w:rsid w:val="00A527C7"/>
    <w:rsid w:val="00A52B9F"/>
    <w:rsid w:val="00A5346C"/>
    <w:rsid w:val="00A53771"/>
    <w:rsid w:val="00A53BBD"/>
    <w:rsid w:val="00A53D7A"/>
    <w:rsid w:val="00A53E27"/>
    <w:rsid w:val="00A53F3C"/>
    <w:rsid w:val="00A54409"/>
    <w:rsid w:val="00A55272"/>
    <w:rsid w:val="00A557E6"/>
    <w:rsid w:val="00A55978"/>
    <w:rsid w:val="00A55AE0"/>
    <w:rsid w:val="00A55F40"/>
    <w:rsid w:val="00A56073"/>
    <w:rsid w:val="00A56153"/>
    <w:rsid w:val="00A56408"/>
    <w:rsid w:val="00A565B0"/>
    <w:rsid w:val="00A5678C"/>
    <w:rsid w:val="00A567B8"/>
    <w:rsid w:val="00A569C3"/>
    <w:rsid w:val="00A56F40"/>
    <w:rsid w:val="00A5716E"/>
    <w:rsid w:val="00A5747A"/>
    <w:rsid w:val="00A57537"/>
    <w:rsid w:val="00A576EF"/>
    <w:rsid w:val="00A57AF3"/>
    <w:rsid w:val="00A57BE8"/>
    <w:rsid w:val="00A60224"/>
    <w:rsid w:val="00A60A55"/>
    <w:rsid w:val="00A60D5F"/>
    <w:rsid w:val="00A610D4"/>
    <w:rsid w:val="00A614DD"/>
    <w:rsid w:val="00A618DC"/>
    <w:rsid w:val="00A619BA"/>
    <w:rsid w:val="00A61C1B"/>
    <w:rsid w:val="00A61FFA"/>
    <w:rsid w:val="00A620ED"/>
    <w:rsid w:val="00A62A38"/>
    <w:rsid w:val="00A62D9D"/>
    <w:rsid w:val="00A630E4"/>
    <w:rsid w:val="00A63266"/>
    <w:rsid w:val="00A63670"/>
    <w:rsid w:val="00A63786"/>
    <w:rsid w:val="00A639C9"/>
    <w:rsid w:val="00A63B32"/>
    <w:rsid w:val="00A63C37"/>
    <w:rsid w:val="00A63C72"/>
    <w:rsid w:val="00A64BA0"/>
    <w:rsid w:val="00A64ED3"/>
    <w:rsid w:val="00A650A1"/>
    <w:rsid w:val="00A6567F"/>
    <w:rsid w:val="00A6613E"/>
    <w:rsid w:val="00A664EC"/>
    <w:rsid w:val="00A66824"/>
    <w:rsid w:val="00A67096"/>
    <w:rsid w:val="00A67352"/>
    <w:rsid w:val="00A67A03"/>
    <w:rsid w:val="00A67D6E"/>
    <w:rsid w:val="00A67EAC"/>
    <w:rsid w:val="00A70029"/>
    <w:rsid w:val="00A700FE"/>
    <w:rsid w:val="00A703BA"/>
    <w:rsid w:val="00A704ED"/>
    <w:rsid w:val="00A70717"/>
    <w:rsid w:val="00A70F61"/>
    <w:rsid w:val="00A7146A"/>
    <w:rsid w:val="00A714E4"/>
    <w:rsid w:val="00A717BD"/>
    <w:rsid w:val="00A717E0"/>
    <w:rsid w:val="00A71828"/>
    <w:rsid w:val="00A71845"/>
    <w:rsid w:val="00A71BEC"/>
    <w:rsid w:val="00A71E05"/>
    <w:rsid w:val="00A71FF8"/>
    <w:rsid w:val="00A730E4"/>
    <w:rsid w:val="00A73191"/>
    <w:rsid w:val="00A731FA"/>
    <w:rsid w:val="00A735C0"/>
    <w:rsid w:val="00A73D46"/>
    <w:rsid w:val="00A74191"/>
    <w:rsid w:val="00A747D6"/>
    <w:rsid w:val="00A74AF3"/>
    <w:rsid w:val="00A74AFA"/>
    <w:rsid w:val="00A74B06"/>
    <w:rsid w:val="00A74B5E"/>
    <w:rsid w:val="00A751DA"/>
    <w:rsid w:val="00A757B1"/>
    <w:rsid w:val="00A76AB0"/>
    <w:rsid w:val="00A76C3D"/>
    <w:rsid w:val="00A76E55"/>
    <w:rsid w:val="00A76EC1"/>
    <w:rsid w:val="00A76FEE"/>
    <w:rsid w:val="00A7765C"/>
    <w:rsid w:val="00A77A5A"/>
    <w:rsid w:val="00A77D81"/>
    <w:rsid w:val="00A80166"/>
    <w:rsid w:val="00A817EC"/>
    <w:rsid w:val="00A81880"/>
    <w:rsid w:val="00A81A43"/>
    <w:rsid w:val="00A827CB"/>
    <w:rsid w:val="00A83452"/>
    <w:rsid w:val="00A835D5"/>
    <w:rsid w:val="00A83884"/>
    <w:rsid w:val="00A83891"/>
    <w:rsid w:val="00A83A53"/>
    <w:rsid w:val="00A84027"/>
    <w:rsid w:val="00A841EF"/>
    <w:rsid w:val="00A84282"/>
    <w:rsid w:val="00A842FD"/>
    <w:rsid w:val="00A8463F"/>
    <w:rsid w:val="00A848A6"/>
    <w:rsid w:val="00A848F7"/>
    <w:rsid w:val="00A84AA7"/>
    <w:rsid w:val="00A84EF1"/>
    <w:rsid w:val="00A85BA9"/>
    <w:rsid w:val="00A85D0A"/>
    <w:rsid w:val="00A85DF7"/>
    <w:rsid w:val="00A860E3"/>
    <w:rsid w:val="00A86143"/>
    <w:rsid w:val="00A865E6"/>
    <w:rsid w:val="00A86D8F"/>
    <w:rsid w:val="00A86FC0"/>
    <w:rsid w:val="00A8758A"/>
    <w:rsid w:val="00A87B94"/>
    <w:rsid w:val="00A87D07"/>
    <w:rsid w:val="00A900CA"/>
    <w:rsid w:val="00A905B0"/>
    <w:rsid w:val="00A90A34"/>
    <w:rsid w:val="00A90A8D"/>
    <w:rsid w:val="00A90F09"/>
    <w:rsid w:val="00A9116E"/>
    <w:rsid w:val="00A91484"/>
    <w:rsid w:val="00A923B7"/>
    <w:rsid w:val="00A9263F"/>
    <w:rsid w:val="00A931A1"/>
    <w:rsid w:val="00A93681"/>
    <w:rsid w:val="00A93D40"/>
    <w:rsid w:val="00A946A7"/>
    <w:rsid w:val="00A949EB"/>
    <w:rsid w:val="00A95390"/>
    <w:rsid w:val="00A95633"/>
    <w:rsid w:val="00A95BF4"/>
    <w:rsid w:val="00A95C97"/>
    <w:rsid w:val="00A96099"/>
    <w:rsid w:val="00A96C1E"/>
    <w:rsid w:val="00A96D7E"/>
    <w:rsid w:val="00A9732B"/>
    <w:rsid w:val="00A97AB6"/>
    <w:rsid w:val="00A97BED"/>
    <w:rsid w:val="00A97CD0"/>
    <w:rsid w:val="00AA003F"/>
    <w:rsid w:val="00AA01F9"/>
    <w:rsid w:val="00AA0659"/>
    <w:rsid w:val="00AA1757"/>
    <w:rsid w:val="00AA17A4"/>
    <w:rsid w:val="00AA1AAB"/>
    <w:rsid w:val="00AA1C51"/>
    <w:rsid w:val="00AA1FBD"/>
    <w:rsid w:val="00AA24A9"/>
    <w:rsid w:val="00AA2B8A"/>
    <w:rsid w:val="00AA321A"/>
    <w:rsid w:val="00AA3AC1"/>
    <w:rsid w:val="00AA3D38"/>
    <w:rsid w:val="00AA3F68"/>
    <w:rsid w:val="00AA4057"/>
    <w:rsid w:val="00AA4C38"/>
    <w:rsid w:val="00AA4DBB"/>
    <w:rsid w:val="00AA56C6"/>
    <w:rsid w:val="00AA597D"/>
    <w:rsid w:val="00AA5A67"/>
    <w:rsid w:val="00AA5A7E"/>
    <w:rsid w:val="00AA5AED"/>
    <w:rsid w:val="00AA5BDC"/>
    <w:rsid w:val="00AA5FAC"/>
    <w:rsid w:val="00AA6772"/>
    <w:rsid w:val="00AA6A5E"/>
    <w:rsid w:val="00AA6BA8"/>
    <w:rsid w:val="00AA6BEB"/>
    <w:rsid w:val="00AA6F07"/>
    <w:rsid w:val="00AA709E"/>
    <w:rsid w:val="00AA7239"/>
    <w:rsid w:val="00AA7C62"/>
    <w:rsid w:val="00AA7D70"/>
    <w:rsid w:val="00AA7DDA"/>
    <w:rsid w:val="00AA7DEC"/>
    <w:rsid w:val="00AA7F7F"/>
    <w:rsid w:val="00AB0038"/>
    <w:rsid w:val="00AB0245"/>
    <w:rsid w:val="00AB026E"/>
    <w:rsid w:val="00AB03C8"/>
    <w:rsid w:val="00AB12B0"/>
    <w:rsid w:val="00AB131F"/>
    <w:rsid w:val="00AB15E1"/>
    <w:rsid w:val="00AB1A36"/>
    <w:rsid w:val="00AB1E7A"/>
    <w:rsid w:val="00AB209C"/>
    <w:rsid w:val="00AB20A8"/>
    <w:rsid w:val="00AB25C3"/>
    <w:rsid w:val="00AB28D0"/>
    <w:rsid w:val="00AB2AFD"/>
    <w:rsid w:val="00AB3293"/>
    <w:rsid w:val="00AB3379"/>
    <w:rsid w:val="00AB3535"/>
    <w:rsid w:val="00AB3708"/>
    <w:rsid w:val="00AB378C"/>
    <w:rsid w:val="00AB37FE"/>
    <w:rsid w:val="00AB38CA"/>
    <w:rsid w:val="00AB394E"/>
    <w:rsid w:val="00AB3A4D"/>
    <w:rsid w:val="00AB3EF8"/>
    <w:rsid w:val="00AB410E"/>
    <w:rsid w:val="00AB4872"/>
    <w:rsid w:val="00AB4AB1"/>
    <w:rsid w:val="00AB54EA"/>
    <w:rsid w:val="00AB5505"/>
    <w:rsid w:val="00AB615C"/>
    <w:rsid w:val="00AB6207"/>
    <w:rsid w:val="00AB641C"/>
    <w:rsid w:val="00AB64C3"/>
    <w:rsid w:val="00AB6C73"/>
    <w:rsid w:val="00AB6EB0"/>
    <w:rsid w:val="00AB7022"/>
    <w:rsid w:val="00AB70B7"/>
    <w:rsid w:val="00AB70CB"/>
    <w:rsid w:val="00AB711F"/>
    <w:rsid w:val="00AB7421"/>
    <w:rsid w:val="00AB78DA"/>
    <w:rsid w:val="00AB7D17"/>
    <w:rsid w:val="00AC01F5"/>
    <w:rsid w:val="00AC0461"/>
    <w:rsid w:val="00AC06D4"/>
    <w:rsid w:val="00AC091A"/>
    <w:rsid w:val="00AC09C1"/>
    <w:rsid w:val="00AC1430"/>
    <w:rsid w:val="00AC14A1"/>
    <w:rsid w:val="00AC15A8"/>
    <w:rsid w:val="00AC16C4"/>
    <w:rsid w:val="00AC1A36"/>
    <w:rsid w:val="00AC1A5E"/>
    <w:rsid w:val="00AC261F"/>
    <w:rsid w:val="00AC2D2B"/>
    <w:rsid w:val="00AC2F4E"/>
    <w:rsid w:val="00AC2F89"/>
    <w:rsid w:val="00AC35FD"/>
    <w:rsid w:val="00AC3789"/>
    <w:rsid w:val="00AC385F"/>
    <w:rsid w:val="00AC498D"/>
    <w:rsid w:val="00AC576A"/>
    <w:rsid w:val="00AC58A5"/>
    <w:rsid w:val="00AC5B6F"/>
    <w:rsid w:val="00AC5DAF"/>
    <w:rsid w:val="00AC6B24"/>
    <w:rsid w:val="00AC6BF1"/>
    <w:rsid w:val="00AC6F96"/>
    <w:rsid w:val="00AC716E"/>
    <w:rsid w:val="00AC7265"/>
    <w:rsid w:val="00AC77B7"/>
    <w:rsid w:val="00AC79E9"/>
    <w:rsid w:val="00AC7A2C"/>
    <w:rsid w:val="00AC7A3B"/>
    <w:rsid w:val="00AC7AA6"/>
    <w:rsid w:val="00AD05DF"/>
    <w:rsid w:val="00AD0900"/>
    <w:rsid w:val="00AD0A2B"/>
    <w:rsid w:val="00AD0B8B"/>
    <w:rsid w:val="00AD0BE2"/>
    <w:rsid w:val="00AD0D52"/>
    <w:rsid w:val="00AD10C7"/>
    <w:rsid w:val="00AD11E2"/>
    <w:rsid w:val="00AD13BE"/>
    <w:rsid w:val="00AD180B"/>
    <w:rsid w:val="00AD1B48"/>
    <w:rsid w:val="00AD21CD"/>
    <w:rsid w:val="00AD241B"/>
    <w:rsid w:val="00AD2B91"/>
    <w:rsid w:val="00AD2F2A"/>
    <w:rsid w:val="00AD2FCF"/>
    <w:rsid w:val="00AD319E"/>
    <w:rsid w:val="00AD334C"/>
    <w:rsid w:val="00AD340F"/>
    <w:rsid w:val="00AD37AE"/>
    <w:rsid w:val="00AD3B2B"/>
    <w:rsid w:val="00AD3F45"/>
    <w:rsid w:val="00AD4160"/>
    <w:rsid w:val="00AD44E6"/>
    <w:rsid w:val="00AD4727"/>
    <w:rsid w:val="00AD49B0"/>
    <w:rsid w:val="00AD5142"/>
    <w:rsid w:val="00AD5163"/>
    <w:rsid w:val="00AD53B9"/>
    <w:rsid w:val="00AD552F"/>
    <w:rsid w:val="00AD6460"/>
    <w:rsid w:val="00AD69B5"/>
    <w:rsid w:val="00AD6FD9"/>
    <w:rsid w:val="00AD72F1"/>
    <w:rsid w:val="00AD79C0"/>
    <w:rsid w:val="00AD7EDE"/>
    <w:rsid w:val="00AE00E4"/>
    <w:rsid w:val="00AE028E"/>
    <w:rsid w:val="00AE02F4"/>
    <w:rsid w:val="00AE0556"/>
    <w:rsid w:val="00AE068D"/>
    <w:rsid w:val="00AE0836"/>
    <w:rsid w:val="00AE087C"/>
    <w:rsid w:val="00AE093D"/>
    <w:rsid w:val="00AE0AF8"/>
    <w:rsid w:val="00AE0F7D"/>
    <w:rsid w:val="00AE107D"/>
    <w:rsid w:val="00AE1176"/>
    <w:rsid w:val="00AE12B5"/>
    <w:rsid w:val="00AE17CF"/>
    <w:rsid w:val="00AE199F"/>
    <w:rsid w:val="00AE1E0F"/>
    <w:rsid w:val="00AE1EFA"/>
    <w:rsid w:val="00AE2534"/>
    <w:rsid w:val="00AE2E8A"/>
    <w:rsid w:val="00AE335B"/>
    <w:rsid w:val="00AE364D"/>
    <w:rsid w:val="00AE3825"/>
    <w:rsid w:val="00AE4105"/>
    <w:rsid w:val="00AE4485"/>
    <w:rsid w:val="00AE45E0"/>
    <w:rsid w:val="00AE46E0"/>
    <w:rsid w:val="00AE4781"/>
    <w:rsid w:val="00AE4B16"/>
    <w:rsid w:val="00AE4D03"/>
    <w:rsid w:val="00AE4D29"/>
    <w:rsid w:val="00AE4FFF"/>
    <w:rsid w:val="00AE50D3"/>
    <w:rsid w:val="00AE5684"/>
    <w:rsid w:val="00AE659B"/>
    <w:rsid w:val="00AE65DA"/>
    <w:rsid w:val="00AE666E"/>
    <w:rsid w:val="00AE7137"/>
    <w:rsid w:val="00AE71C3"/>
    <w:rsid w:val="00AE730B"/>
    <w:rsid w:val="00AE7468"/>
    <w:rsid w:val="00AE7559"/>
    <w:rsid w:val="00AE7994"/>
    <w:rsid w:val="00AE7A13"/>
    <w:rsid w:val="00AE7A1E"/>
    <w:rsid w:val="00AE7AE0"/>
    <w:rsid w:val="00AEAE7D"/>
    <w:rsid w:val="00AF0CD4"/>
    <w:rsid w:val="00AF0D1C"/>
    <w:rsid w:val="00AF1058"/>
    <w:rsid w:val="00AF11AD"/>
    <w:rsid w:val="00AF147D"/>
    <w:rsid w:val="00AF16E9"/>
    <w:rsid w:val="00AF19D3"/>
    <w:rsid w:val="00AF1C4E"/>
    <w:rsid w:val="00AF2071"/>
    <w:rsid w:val="00AF2089"/>
    <w:rsid w:val="00AF208E"/>
    <w:rsid w:val="00AF2572"/>
    <w:rsid w:val="00AF2743"/>
    <w:rsid w:val="00AF2F3C"/>
    <w:rsid w:val="00AF37CA"/>
    <w:rsid w:val="00AF3B92"/>
    <w:rsid w:val="00AF3C92"/>
    <w:rsid w:val="00AF3E5D"/>
    <w:rsid w:val="00AF427E"/>
    <w:rsid w:val="00AF45C7"/>
    <w:rsid w:val="00AF460F"/>
    <w:rsid w:val="00AF4678"/>
    <w:rsid w:val="00AF46E3"/>
    <w:rsid w:val="00AF4957"/>
    <w:rsid w:val="00AF4A3C"/>
    <w:rsid w:val="00AF52FB"/>
    <w:rsid w:val="00AF5BF7"/>
    <w:rsid w:val="00AF5EE7"/>
    <w:rsid w:val="00AF5F4F"/>
    <w:rsid w:val="00AF63E7"/>
    <w:rsid w:val="00AF66A2"/>
    <w:rsid w:val="00AF6A96"/>
    <w:rsid w:val="00AF6C1B"/>
    <w:rsid w:val="00AF6F10"/>
    <w:rsid w:val="00AF7229"/>
    <w:rsid w:val="00AF7984"/>
    <w:rsid w:val="00AF7BAF"/>
    <w:rsid w:val="00B00050"/>
    <w:rsid w:val="00B000B3"/>
    <w:rsid w:val="00B003B2"/>
    <w:rsid w:val="00B00706"/>
    <w:rsid w:val="00B011F0"/>
    <w:rsid w:val="00B0189F"/>
    <w:rsid w:val="00B01AB5"/>
    <w:rsid w:val="00B01D63"/>
    <w:rsid w:val="00B01E13"/>
    <w:rsid w:val="00B0238C"/>
    <w:rsid w:val="00B0270B"/>
    <w:rsid w:val="00B02ABA"/>
    <w:rsid w:val="00B02E3B"/>
    <w:rsid w:val="00B02F89"/>
    <w:rsid w:val="00B03D63"/>
    <w:rsid w:val="00B03DD4"/>
    <w:rsid w:val="00B03E5D"/>
    <w:rsid w:val="00B03E9B"/>
    <w:rsid w:val="00B0496B"/>
    <w:rsid w:val="00B049D4"/>
    <w:rsid w:val="00B0504F"/>
    <w:rsid w:val="00B050D4"/>
    <w:rsid w:val="00B052AB"/>
    <w:rsid w:val="00B05459"/>
    <w:rsid w:val="00B05953"/>
    <w:rsid w:val="00B05AE4"/>
    <w:rsid w:val="00B05B15"/>
    <w:rsid w:val="00B06BA1"/>
    <w:rsid w:val="00B06D89"/>
    <w:rsid w:val="00B0722B"/>
    <w:rsid w:val="00B072B4"/>
    <w:rsid w:val="00B072D4"/>
    <w:rsid w:val="00B0732D"/>
    <w:rsid w:val="00B07A7C"/>
    <w:rsid w:val="00B07D77"/>
    <w:rsid w:val="00B10794"/>
    <w:rsid w:val="00B10B67"/>
    <w:rsid w:val="00B11EFC"/>
    <w:rsid w:val="00B124C1"/>
    <w:rsid w:val="00B1283B"/>
    <w:rsid w:val="00B12BA7"/>
    <w:rsid w:val="00B12CFF"/>
    <w:rsid w:val="00B12F71"/>
    <w:rsid w:val="00B131FC"/>
    <w:rsid w:val="00B137F7"/>
    <w:rsid w:val="00B1477F"/>
    <w:rsid w:val="00B14818"/>
    <w:rsid w:val="00B14E18"/>
    <w:rsid w:val="00B15D26"/>
    <w:rsid w:val="00B15F0B"/>
    <w:rsid w:val="00B16A8C"/>
    <w:rsid w:val="00B16AF7"/>
    <w:rsid w:val="00B174C5"/>
    <w:rsid w:val="00B17877"/>
    <w:rsid w:val="00B17CE6"/>
    <w:rsid w:val="00B17D16"/>
    <w:rsid w:val="00B17DA1"/>
    <w:rsid w:val="00B20075"/>
    <w:rsid w:val="00B20378"/>
    <w:rsid w:val="00B208A8"/>
    <w:rsid w:val="00B20E2C"/>
    <w:rsid w:val="00B20EC6"/>
    <w:rsid w:val="00B210D6"/>
    <w:rsid w:val="00B2153E"/>
    <w:rsid w:val="00B21544"/>
    <w:rsid w:val="00B2184A"/>
    <w:rsid w:val="00B21C74"/>
    <w:rsid w:val="00B21D72"/>
    <w:rsid w:val="00B2208C"/>
    <w:rsid w:val="00B2234B"/>
    <w:rsid w:val="00B224E4"/>
    <w:rsid w:val="00B22798"/>
    <w:rsid w:val="00B22805"/>
    <w:rsid w:val="00B22810"/>
    <w:rsid w:val="00B230E1"/>
    <w:rsid w:val="00B232CB"/>
    <w:rsid w:val="00B238C9"/>
    <w:rsid w:val="00B23945"/>
    <w:rsid w:val="00B23B03"/>
    <w:rsid w:val="00B244E5"/>
    <w:rsid w:val="00B24588"/>
    <w:rsid w:val="00B251E1"/>
    <w:rsid w:val="00B25350"/>
    <w:rsid w:val="00B253CF"/>
    <w:rsid w:val="00B25632"/>
    <w:rsid w:val="00B257FD"/>
    <w:rsid w:val="00B258CF"/>
    <w:rsid w:val="00B25D82"/>
    <w:rsid w:val="00B26B03"/>
    <w:rsid w:val="00B26EF0"/>
    <w:rsid w:val="00B2707D"/>
    <w:rsid w:val="00B273B6"/>
    <w:rsid w:val="00B274F1"/>
    <w:rsid w:val="00B27B15"/>
    <w:rsid w:val="00B27E62"/>
    <w:rsid w:val="00B3001E"/>
    <w:rsid w:val="00B30046"/>
    <w:rsid w:val="00B302B8"/>
    <w:rsid w:val="00B3058A"/>
    <w:rsid w:val="00B30A31"/>
    <w:rsid w:val="00B30B3A"/>
    <w:rsid w:val="00B30BFA"/>
    <w:rsid w:val="00B3155C"/>
    <w:rsid w:val="00B31A04"/>
    <w:rsid w:val="00B31B4D"/>
    <w:rsid w:val="00B32028"/>
    <w:rsid w:val="00B32937"/>
    <w:rsid w:val="00B32D85"/>
    <w:rsid w:val="00B32FDC"/>
    <w:rsid w:val="00B32FF5"/>
    <w:rsid w:val="00B34048"/>
    <w:rsid w:val="00B34106"/>
    <w:rsid w:val="00B34241"/>
    <w:rsid w:val="00B349D7"/>
    <w:rsid w:val="00B34E4B"/>
    <w:rsid w:val="00B34F9C"/>
    <w:rsid w:val="00B351D9"/>
    <w:rsid w:val="00B3534C"/>
    <w:rsid w:val="00B3554F"/>
    <w:rsid w:val="00B35BBC"/>
    <w:rsid w:val="00B35D94"/>
    <w:rsid w:val="00B35EAD"/>
    <w:rsid w:val="00B364D2"/>
    <w:rsid w:val="00B36A1A"/>
    <w:rsid w:val="00B36A72"/>
    <w:rsid w:val="00B36DA9"/>
    <w:rsid w:val="00B36E11"/>
    <w:rsid w:val="00B37061"/>
    <w:rsid w:val="00B37756"/>
    <w:rsid w:val="00B4003B"/>
    <w:rsid w:val="00B400E9"/>
    <w:rsid w:val="00B409A1"/>
    <w:rsid w:val="00B40A26"/>
    <w:rsid w:val="00B40D94"/>
    <w:rsid w:val="00B4151E"/>
    <w:rsid w:val="00B41820"/>
    <w:rsid w:val="00B4196C"/>
    <w:rsid w:val="00B41C10"/>
    <w:rsid w:val="00B4209F"/>
    <w:rsid w:val="00B42ADC"/>
    <w:rsid w:val="00B432C7"/>
    <w:rsid w:val="00B43B30"/>
    <w:rsid w:val="00B43CD9"/>
    <w:rsid w:val="00B43F68"/>
    <w:rsid w:val="00B44681"/>
    <w:rsid w:val="00B45034"/>
    <w:rsid w:val="00B45172"/>
    <w:rsid w:val="00B45AB1"/>
    <w:rsid w:val="00B45BE6"/>
    <w:rsid w:val="00B45CB5"/>
    <w:rsid w:val="00B460B0"/>
    <w:rsid w:val="00B469C9"/>
    <w:rsid w:val="00B46D4B"/>
    <w:rsid w:val="00B47BD1"/>
    <w:rsid w:val="00B47BD8"/>
    <w:rsid w:val="00B504B2"/>
    <w:rsid w:val="00B505A5"/>
    <w:rsid w:val="00B50BC1"/>
    <w:rsid w:val="00B516AE"/>
    <w:rsid w:val="00B5174A"/>
    <w:rsid w:val="00B517C9"/>
    <w:rsid w:val="00B51A5B"/>
    <w:rsid w:val="00B51F48"/>
    <w:rsid w:val="00B51FF6"/>
    <w:rsid w:val="00B52096"/>
    <w:rsid w:val="00B52522"/>
    <w:rsid w:val="00B5275B"/>
    <w:rsid w:val="00B5287A"/>
    <w:rsid w:val="00B528D7"/>
    <w:rsid w:val="00B5372A"/>
    <w:rsid w:val="00B53A52"/>
    <w:rsid w:val="00B53F5A"/>
    <w:rsid w:val="00B5400A"/>
    <w:rsid w:val="00B5418D"/>
    <w:rsid w:val="00B544F3"/>
    <w:rsid w:val="00B54540"/>
    <w:rsid w:val="00B54719"/>
    <w:rsid w:val="00B548CA"/>
    <w:rsid w:val="00B55104"/>
    <w:rsid w:val="00B55257"/>
    <w:rsid w:val="00B55493"/>
    <w:rsid w:val="00B5555D"/>
    <w:rsid w:val="00B55B24"/>
    <w:rsid w:val="00B55C59"/>
    <w:rsid w:val="00B55E65"/>
    <w:rsid w:val="00B56D71"/>
    <w:rsid w:val="00B57212"/>
    <w:rsid w:val="00B57800"/>
    <w:rsid w:val="00B57D5A"/>
    <w:rsid w:val="00B57F68"/>
    <w:rsid w:val="00B60001"/>
    <w:rsid w:val="00B605B6"/>
    <w:rsid w:val="00B608B6"/>
    <w:rsid w:val="00B60D40"/>
    <w:rsid w:val="00B61488"/>
    <w:rsid w:val="00B61506"/>
    <w:rsid w:val="00B61539"/>
    <w:rsid w:val="00B61874"/>
    <w:rsid w:val="00B61FC7"/>
    <w:rsid w:val="00B621E5"/>
    <w:rsid w:val="00B624FF"/>
    <w:rsid w:val="00B62851"/>
    <w:rsid w:val="00B633C6"/>
    <w:rsid w:val="00B63A55"/>
    <w:rsid w:val="00B6414F"/>
    <w:rsid w:val="00B646AF"/>
    <w:rsid w:val="00B648EF"/>
    <w:rsid w:val="00B64AAC"/>
    <w:rsid w:val="00B64B8F"/>
    <w:rsid w:val="00B64D36"/>
    <w:rsid w:val="00B64D63"/>
    <w:rsid w:val="00B64ED3"/>
    <w:rsid w:val="00B65950"/>
    <w:rsid w:val="00B66454"/>
    <w:rsid w:val="00B66DC2"/>
    <w:rsid w:val="00B67340"/>
    <w:rsid w:val="00B67342"/>
    <w:rsid w:val="00B67485"/>
    <w:rsid w:val="00B67A2E"/>
    <w:rsid w:val="00B67BA4"/>
    <w:rsid w:val="00B67F00"/>
    <w:rsid w:val="00B70436"/>
    <w:rsid w:val="00B7076B"/>
    <w:rsid w:val="00B708CD"/>
    <w:rsid w:val="00B70B56"/>
    <w:rsid w:val="00B70BFE"/>
    <w:rsid w:val="00B70D15"/>
    <w:rsid w:val="00B70D5F"/>
    <w:rsid w:val="00B7167D"/>
    <w:rsid w:val="00B71A4D"/>
    <w:rsid w:val="00B71ED4"/>
    <w:rsid w:val="00B71F84"/>
    <w:rsid w:val="00B71FCA"/>
    <w:rsid w:val="00B72024"/>
    <w:rsid w:val="00B72446"/>
    <w:rsid w:val="00B72BD4"/>
    <w:rsid w:val="00B72D6A"/>
    <w:rsid w:val="00B73679"/>
    <w:rsid w:val="00B743BD"/>
    <w:rsid w:val="00B745A2"/>
    <w:rsid w:val="00B749DC"/>
    <w:rsid w:val="00B74A90"/>
    <w:rsid w:val="00B752F6"/>
    <w:rsid w:val="00B75471"/>
    <w:rsid w:val="00B7574D"/>
    <w:rsid w:val="00B7585C"/>
    <w:rsid w:val="00B75E5E"/>
    <w:rsid w:val="00B767D1"/>
    <w:rsid w:val="00B76BEA"/>
    <w:rsid w:val="00B772B1"/>
    <w:rsid w:val="00B77614"/>
    <w:rsid w:val="00B7795A"/>
    <w:rsid w:val="00B77B3A"/>
    <w:rsid w:val="00B80950"/>
    <w:rsid w:val="00B80A3A"/>
    <w:rsid w:val="00B80B2E"/>
    <w:rsid w:val="00B8106B"/>
    <w:rsid w:val="00B810E3"/>
    <w:rsid w:val="00B814EA"/>
    <w:rsid w:val="00B82680"/>
    <w:rsid w:val="00B826CA"/>
    <w:rsid w:val="00B82902"/>
    <w:rsid w:val="00B82A27"/>
    <w:rsid w:val="00B82F37"/>
    <w:rsid w:val="00B83087"/>
    <w:rsid w:val="00B830E2"/>
    <w:rsid w:val="00B837CC"/>
    <w:rsid w:val="00B83C3D"/>
    <w:rsid w:val="00B83FCC"/>
    <w:rsid w:val="00B84154"/>
    <w:rsid w:val="00B8422E"/>
    <w:rsid w:val="00B84234"/>
    <w:rsid w:val="00B84341"/>
    <w:rsid w:val="00B845DB"/>
    <w:rsid w:val="00B84916"/>
    <w:rsid w:val="00B84DC8"/>
    <w:rsid w:val="00B85055"/>
    <w:rsid w:val="00B85408"/>
    <w:rsid w:val="00B856CD"/>
    <w:rsid w:val="00B85F02"/>
    <w:rsid w:val="00B86E1B"/>
    <w:rsid w:val="00B86EE6"/>
    <w:rsid w:val="00B87285"/>
    <w:rsid w:val="00B877B1"/>
    <w:rsid w:val="00B87A39"/>
    <w:rsid w:val="00B903F3"/>
    <w:rsid w:val="00B90550"/>
    <w:rsid w:val="00B90781"/>
    <w:rsid w:val="00B90884"/>
    <w:rsid w:val="00B90908"/>
    <w:rsid w:val="00B9116B"/>
    <w:rsid w:val="00B912F8"/>
    <w:rsid w:val="00B91472"/>
    <w:rsid w:val="00B925B9"/>
    <w:rsid w:val="00B92655"/>
    <w:rsid w:val="00B92A36"/>
    <w:rsid w:val="00B92AD3"/>
    <w:rsid w:val="00B930A8"/>
    <w:rsid w:val="00B9319D"/>
    <w:rsid w:val="00B935C6"/>
    <w:rsid w:val="00B935D0"/>
    <w:rsid w:val="00B93605"/>
    <w:rsid w:val="00B937DC"/>
    <w:rsid w:val="00B93987"/>
    <w:rsid w:val="00B93DA4"/>
    <w:rsid w:val="00B93FF4"/>
    <w:rsid w:val="00B94246"/>
    <w:rsid w:val="00B9430E"/>
    <w:rsid w:val="00B9435F"/>
    <w:rsid w:val="00B94608"/>
    <w:rsid w:val="00B946BC"/>
    <w:rsid w:val="00B953BF"/>
    <w:rsid w:val="00B95685"/>
    <w:rsid w:val="00B95DB3"/>
    <w:rsid w:val="00B960A3"/>
    <w:rsid w:val="00B965F6"/>
    <w:rsid w:val="00B9671C"/>
    <w:rsid w:val="00B9677F"/>
    <w:rsid w:val="00B9695E"/>
    <w:rsid w:val="00B96AA9"/>
    <w:rsid w:val="00B96BCF"/>
    <w:rsid w:val="00B971D7"/>
    <w:rsid w:val="00B975FE"/>
    <w:rsid w:val="00B976DC"/>
    <w:rsid w:val="00B97705"/>
    <w:rsid w:val="00B97773"/>
    <w:rsid w:val="00B97F00"/>
    <w:rsid w:val="00BA018A"/>
    <w:rsid w:val="00BA0346"/>
    <w:rsid w:val="00BA036F"/>
    <w:rsid w:val="00BA03D9"/>
    <w:rsid w:val="00BA09FA"/>
    <w:rsid w:val="00BA0DDA"/>
    <w:rsid w:val="00BA1150"/>
    <w:rsid w:val="00BA19F7"/>
    <w:rsid w:val="00BA1FE4"/>
    <w:rsid w:val="00BA2029"/>
    <w:rsid w:val="00BA2081"/>
    <w:rsid w:val="00BA217C"/>
    <w:rsid w:val="00BA26AA"/>
    <w:rsid w:val="00BA27A3"/>
    <w:rsid w:val="00BA2A73"/>
    <w:rsid w:val="00BA2B55"/>
    <w:rsid w:val="00BA2E36"/>
    <w:rsid w:val="00BA3985"/>
    <w:rsid w:val="00BA3E25"/>
    <w:rsid w:val="00BA3EAC"/>
    <w:rsid w:val="00BA3F65"/>
    <w:rsid w:val="00BA4220"/>
    <w:rsid w:val="00BA431C"/>
    <w:rsid w:val="00BA44D0"/>
    <w:rsid w:val="00BA4AFC"/>
    <w:rsid w:val="00BA504C"/>
    <w:rsid w:val="00BA508B"/>
    <w:rsid w:val="00BA58C1"/>
    <w:rsid w:val="00BA59A0"/>
    <w:rsid w:val="00BA5F60"/>
    <w:rsid w:val="00BA66AE"/>
    <w:rsid w:val="00BA6B55"/>
    <w:rsid w:val="00BA6C77"/>
    <w:rsid w:val="00BA710B"/>
    <w:rsid w:val="00BA7346"/>
    <w:rsid w:val="00BA75EB"/>
    <w:rsid w:val="00BA773D"/>
    <w:rsid w:val="00BA7C85"/>
    <w:rsid w:val="00BA7CB6"/>
    <w:rsid w:val="00BB0129"/>
    <w:rsid w:val="00BB0141"/>
    <w:rsid w:val="00BB0251"/>
    <w:rsid w:val="00BB066B"/>
    <w:rsid w:val="00BB0704"/>
    <w:rsid w:val="00BB0870"/>
    <w:rsid w:val="00BB093E"/>
    <w:rsid w:val="00BB1336"/>
    <w:rsid w:val="00BB16ED"/>
    <w:rsid w:val="00BB18C5"/>
    <w:rsid w:val="00BB192B"/>
    <w:rsid w:val="00BB1BB9"/>
    <w:rsid w:val="00BB1C8A"/>
    <w:rsid w:val="00BB2338"/>
    <w:rsid w:val="00BB2BD9"/>
    <w:rsid w:val="00BB2D45"/>
    <w:rsid w:val="00BB39F5"/>
    <w:rsid w:val="00BB3A2D"/>
    <w:rsid w:val="00BB3C2C"/>
    <w:rsid w:val="00BB3DFF"/>
    <w:rsid w:val="00BB437E"/>
    <w:rsid w:val="00BB447F"/>
    <w:rsid w:val="00BB44E6"/>
    <w:rsid w:val="00BB48B0"/>
    <w:rsid w:val="00BB4A21"/>
    <w:rsid w:val="00BB4FF1"/>
    <w:rsid w:val="00BB5217"/>
    <w:rsid w:val="00BB5E4F"/>
    <w:rsid w:val="00BB63B3"/>
    <w:rsid w:val="00BB6463"/>
    <w:rsid w:val="00BB66C0"/>
    <w:rsid w:val="00BB66F0"/>
    <w:rsid w:val="00BB69F5"/>
    <w:rsid w:val="00BB6E23"/>
    <w:rsid w:val="00BB71AB"/>
    <w:rsid w:val="00BB730A"/>
    <w:rsid w:val="00BB7354"/>
    <w:rsid w:val="00BB7454"/>
    <w:rsid w:val="00BB75D0"/>
    <w:rsid w:val="00BB7841"/>
    <w:rsid w:val="00BC0186"/>
    <w:rsid w:val="00BC01DF"/>
    <w:rsid w:val="00BC0250"/>
    <w:rsid w:val="00BC04FC"/>
    <w:rsid w:val="00BC0AB7"/>
    <w:rsid w:val="00BC0F28"/>
    <w:rsid w:val="00BC1571"/>
    <w:rsid w:val="00BC17BD"/>
    <w:rsid w:val="00BC1E18"/>
    <w:rsid w:val="00BC2150"/>
    <w:rsid w:val="00BC2203"/>
    <w:rsid w:val="00BC2849"/>
    <w:rsid w:val="00BC2BDA"/>
    <w:rsid w:val="00BC45F5"/>
    <w:rsid w:val="00BC49AA"/>
    <w:rsid w:val="00BC4AB4"/>
    <w:rsid w:val="00BC5104"/>
    <w:rsid w:val="00BC54DB"/>
    <w:rsid w:val="00BC595F"/>
    <w:rsid w:val="00BC5AF6"/>
    <w:rsid w:val="00BC5EF7"/>
    <w:rsid w:val="00BC6C17"/>
    <w:rsid w:val="00BC7193"/>
    <w:rsid w:val="00BC7E04"/>
    <w:rsid w:val="00BD00B4"/>
    <w:rsid w:val="00BD073C"/>
    <w:rsid w:val="00BD0DBD"/>
    <w:rsid w:val="00BD0E82"/>
    <w:rsid w:val="00BD0F9E"/>
    <w:rsid w:val="00BD1506"/>
    <w:rsid w:val="00BD1C34"/>
    <w:rsid w:val="00BD1F48"/>
    <w:rsid w:val="00BD20EE"/>
    <w:rsid w:val="00BD24F3"/>
    <w:rsid w:val="00BD25BD"/>
    <w:rsid w:val="00BD26E0"/>
    <w:rsid w:val="00BD27DC"/>
    <w:rsid w:val="00BD2A91"/>
    <w:rsid w:val="00BD2AE1"/>
    <w:rsid w:val="00BD2D81"/>
    <w:rsid w:val="00BD2F06"/>
    <w:rsid w:val="00BD30C6"/>
    <w:rsid w:val="00BD35A7"/>
    <w:rsid w:val="00BD35DA"/>
    <w:rsid w:val="00BD367A"/>
    <w:rsid w:val="00BD3785"/>
    <w:rsid w:val="00BD3B7F"/>
    <w:rsid w:val="00BD4041"/>
    <w:rsid w:val="00BD4345"/>
    <w:rsid w:val="00BD434E"/>
    <w:rsid w:val="00BD4691"/>
    <w:rsid w:val="00BD4890"/>
    <w:rsid w:val="00BD4D09"/>
    <w:rsid w:val="00BD4DDB"/>
    <w:rsid w:val="00BD4E6E"/>
    <w:rsid w:val="00BD5101"/>
    <w:rsid w:val="00BD5A8F"/>
    <w:rsid w:val="00BD5FCE"/>
    <w:rsid w:val="00BD6459"/>
    <w:rsid w:val="00BD64B1"/>
    <w:rsid w:val="00BD6621"/>
    <w:rsid w:val="00BD68B0"/>
    <w:rsid w:val="00BD6AB6"/>
    <w:rsid w:val="00BD6EB6"/>
    <w:rsid w:val="00BD7276"/>
    <w:rsid w:val="00BD7744"/>
    <w:rsid w:val="00BD7837"/>
    <w:rsid w:val="00BE019E"/>
    <w:rsid w:val="00BE0AD6"/>
    <w:rsid w:val="00BE0B19"/>
    <w:rsid w:val="00BE0C23"/>
    <w:rsid w:val="00BE0C30"/>
    <w:rsid w:val="00BE0C62"/>
    <w:rsid w:val="00BE0CB8"/>
    <w:rsid w:val="00BE0D08"/>
    <w:rsid w:val="00BE0EB9"/>
    <w:rsid w:val="00BE0EEA"/>
    <w:rsid w:val="00BE12FA"/>
    <w:rsid w:val="00BE159E"/>
    <w:rsid w:val="00BE1CB0"/>
    <w:rsid w:val="00BE1D4B"/>
    <w:rsid w:val="00BE21B2"/>
    <w:rsid w:val="00BE222A"/>
    <w:rsid w:val="00BE23DA"/>
    <w:rsid w:val="00BE343F"/>
    <w:rsid w:val="00BE3664"/>
    <w:rsid w:val="00BE3C7E"/>
    <w:rsid w:val="00BE3CEF"/>
    <w:rsid w:val="00BE3EEF"/>
    <w:rsid w:val="00BE40BB"/>
    <w:rsid w:val="00BE419E"/>
    <w:rsid w:val="00BE4ACA"/>
    <w:rsid w:val="00BE4C39"/>
    <w:rsid w:val="00BE4D86"/>
    <w:rsid w:val="00BE4E4B"/>
    <w:rsid w:val="00BE560A"/>
    <w:rsid w:val="00BE5630"/>
    <w:rsid w:val="00BE5E57"/>
    <w:rsid w:val="00BE62CE"/>
    <w:rsid w:val="00BE64A2"/>
    <w:rsid w:val="00BE6AE6"/>
    <w:rsid w:val="00BE71B5"/>
    <w:rsid w:val="00BE72DA"/>
    <w:rsid w:val="00BE7468"/>
    <w:rsid w:val="00BE7470"/>
    <w:rsid w:val="00BE7755"/>
    <w:rsid w:val="00BE7799"/>
    <w:rsid w:val="00BE7806"/>
    <w:rsid w:val="00BE7A8D"/>
    <w:rsid w:val="00BF00CA"/>
    <w:rsid w:val="00BF0239"/>
    <w:rsid w:val="00BF02B1"/>
    <w:rsid w:val="00BF049A"/>
    <w:rsid w:val="00BF07BE"/>
    <w:rsid w:val="00BF09BC"/>
    <w:rsid w:val="00BF0E63"/>
    <w:rsid w:val="00BF111F"/>
    <w:rsid w:val="00BF16A3"/>
    <w:rsid w:val="00BF16CA"/>
    <w:rsid w:val="00BF24E6"/>
    <w:rsid w:val="00BF27D8"/>
    <w:rsid w:val="00BF3440"/>
    <w:rsid w:val="00BF37CD"/>
    <w:rsid w:val="00BF3DC4"/>
    <w:rsid w:val="00BF3F9D"/>
    <w:rsid w:val="00BF3FBA"/>
    <w:rsid w:val="00BF3FDA"/>
    <w:rsid w:val="00BF40B5"/>
    <w:rsid w:val="00BF4559"/>
    <w:rsid w:val="00BF4651"/>
    <w:rsid w:val="00BF48D7"/>
    <w:rsid w:val="00BF543F"/>
    <w:rsid w:val="00BF551E"/>
    <w:rsid w:val="00BF58F3"/>
    <w:rsid w:val="00BF590B"/>
    <w:rsid w:val="00BF5FF8"/>
    <w:rsid w:val="00BF61B1"/>
    <w:rsid w:val="00BF6997"/>
    <w:rsid w:val="00BF7165"/>
    <w:rsid w:val="00BF729E"/>
    <w:rsid w:val="00BF77CB"/>
    <w:rsid w:val="00BF7BA9"/>
    <w:rsid w:val="00BF7E38"/>
    <w:rsid w:val="00C000EB"/>
    <w:rsid w:val="00C008ED"/>
    <w:rsid w:val="00C00B1F"/>
    <w:rsid w:val="00C00C29"/>
    <w:rsid w:val="00C01E05"/>
    <w:rsid w:val="00C021B4"/>
    <w:rsid w:val="00C021E2"/>
    <w:rsid w:val="00C02759"/>
    <w:rsid w:val="00C02AB8"/>
    <w:rsid w:val="00C02EE6"/>
    <w:rsid w:val="00C031A7"/>
    <w:rsid w:val="00C032E6"/>
    <w:rsid w:val="00C0426E"/>
    <w:rsid w:val="00C044F5"/>
    <w:rsid w:val="00C045C3"/>
    <w:rsid w:val="00C0474C"/>
    <w:rsid w:val="00C04C9B"/>
    <w:rsid w:val="00C05257"/>
    <w:rsid w:val="00C05351"/>
    <w:rsid w:val="00C057DB"/>
    <w:rsid w:val="00C059B6"/>
    <w:rsid w:val="00C05CDC"/>
    <w:rsid w:val="00C062F5"/>
    <w:rsid w:val="00C067FC"/>
    <w:rsid w:val="00C06907"/>
    <w:rsid w:val="00C06A48"/>
    <w:rsid w:val="00C06BD5"/>
    <w:rsid w:val="00C0700E"/>
    <w:rsid w:val="00C07092"/>
    <w:rsid w:val="00C076B6"/>
    <w:rsid w:val="00C07E9D"/>
    <w:rsid w:val="00C07EAC"/>
    <w:rsid w:val="00C10080"/>
    <w:rsid w:val="00C10101"/>
    <w:rsid w:val="00C10277"/>
    <w:rsid w:val="00C1042B"/>
    <w:rsid w:val="00C10514"/>
    <w:rsid w:val="00C105D5"/>
    <w:rsid w:val="00C10A30"/>
    <w:rsid w:val="00C10D6C"/>
    <w:rsid w:val="00C1144B"/>
    <w:rsid w:val="00C11616"/>
    <w:rsid w:val="00C11953"/>
    <w:rsid w:val="00C1197A"/>
    <w:rsid w:val="00C120F1"/>
    <w:rsid w:val="00C124C4"/>
    <w:rsid w:val="00C1295C"/>
    <w:rsid w:val="00C12C2B"/>
    <w:rsid w:val="00C12FFF"/>
    <w:rsid w:val="00C1399E"/>
    <w:rsid w:val="00C13AEC"/>
    <w:rsid w:val="00C14195"/>
    <w:rsid w:val="00C1433D"/>
    <w:rsid w:val="00C14B45"/>
    <w:rsid w:val="00C14E5C"/>
    <w:rsid w:val="00C1500B"/>
    <w:rsid w:val="00C15271"/>
    <w:rsid w:val="00C15F7F"/>
    <w:rsid w:val="00C15FB8"/>
    <w:rsid w:val="00C15FFA"/>
    <w:rsid w:val="00C16858"/>
    <w:rsid w:val="00C16F99"/>
    <w:rsid w:val="00C17239"/>
    <w:rsid w:val="00C17388"/>
    <w:rsid w:val="00C2027B"/>
    <w:rsid w:val="00C202C5"/>
    <w:rsid w:val="00C202E8"/>
    <w:rsid w:val="00C20662"/>
    <w:rsid w:val="00C2082C"/>
    <w:rsid w:val="00C20B8A"/>
    <w:rsid w:val="00C21215"/>
    <w:rsid w:val="00C213CF"/>
    <w:rsid w:val="00C220D3"/>
    <w:rsid w:val="00C22110"/>
    <w:rsid w:val="00C223BB"/>
    <w:rsid w:val="00C2289D"/>
    <w:rsid w:val="00C228A6"/>
    <w:rsid w:val="00C22953"/>
    <w:rsid w:val="00C2295C"/>
    <w:rsid w:val="00C22AE8"/>
    <w:rsid w:val="00C22B50"/>
    <w:rsid w:val="00C23142"/>
    <w:rsid w:val="00C233C6"/>
    <w:rsid w:val="00C239DF"/>
    <w:rsid w:val="00C239EA"/>
    <w:rsid w:val="00C240A6"/>
    <w:rsid w:val="00C243DD"/>
    <w:rsid w:val="00C247C3"/>
    <w:rsid w:val="00C248E9"/>
    <w:rsid w:val="00C2493A"/>
    <w:rsid w:val="00C2494F"/>
    <w:rsid w:val="00C249ED"/>
    <w:rsid w:val="00C250EA"/>
    <w:rsid w:val="00C2547A"/>
    <w:rsid w:val="00C2556D"/>
    <w:rsid w:val="00C25B03"/>
    <w:rsid w:val="00C25B59"/>
    <w:rsid w:val="00C26511"/>
    <w:rsid w:val="00C265CF"/>
    <w:rsid w:val="00C267E2"/>
    <w:rsid w:val="00C268FD"/>
    <w:rsid w:val="00C26B2D"/>
    <w:rsid w:val="00C2798C"/>
    <w:rsid w:val="00C27A3C"/>
    <w:rsid w:val="00C27EE4"/>
    <w:rsid w:val="00C30481"/>
    <w:rsid w:val="00C30803"/>
    <w:rsid w:val="00C30946"/>
    <w:rsid w:val="00C3098D"/>
    <w:rsid w:val="00C309C7"/>
    <w:rsid w:val="00C30CA4"/>
    <w:rsid w:val="00C30EC3"/>
    <w:rsid w:val="00C30F87"/>
    <w:rsid w:val="00C31304"/>
    <w:rsid w:val="00C31447"/>
    <w:rsid w:val="00C315F3"/>
    <w:rsid w:val="00C31EA5"/>
    <w:rsid w:val="00C32342"/>
    <w:rsid w:val="00C32927"/>
    <w:rsid w:val="00C330BF"/>
    <w:rsid w:val="00C330FB"/>
    <w:rsid w:val="00C33A1B"/>
    <w:rsid w:val="00C33B98"/>
    <w:rsid w:val="00C33DB4"/>
    <w:rsid w:val="00C33DD9"/>
    <w:rsid w:val="00C34431"/>
    <w:rsid w:val="00C345E3"/>
    <w:rsid w:val="00C34642"/>
    <w:rsid w:val="00C34E37"/>
    <w:rsid w:val="00C34FA7"/>
    <w:rsid w:val="00C35160"/>
    <w:rsid w:val="00C3552A"/>
    <w:rsid w:val="00C356DA"/>
    <w:rsid w:val="00C359A8"/>
    <w:rsid w:val="00C35B33"/>
    <w:rsid w:val="00C36288"/>
    <w:rsid w:val="00C36693"/>
    <w:rsid w:val="00C37322"/>
    <w:rsid w:val="00C37EB0"/>
    <w:rsid w:val="00C398DF"/>
    <w:rsid w:val="00C401EA"/>
    <w:rsid w:val="00C4055A"/>
    <w:rsid w:val="00C4153A"/>
    <w:rsid w:val="00C41581"/>
    <w:rsid w:val="00C41916"/>
    <w:rsid w:val="00C41E27"/>
    <w:rsid w:val="00C42840"/>
    <w:rsid w:val="00C42B58"/>
    <w:rsid w:val="00C42EB5"/>
    <w:rsid w:val="00C435EB"/>
    <w:rsid w:val="00C43638"/>
    <w:rsid w:val="00C4426A"/>
    <w:rsid w:val="00C442D7"/>
    <w:rsid w:val="00C448EB"/>
    <w:rsid w:val="00C45AC6"/>
    <w:rsid w:val="00C45CB4"/>
    <w:rsid w:val="00C45D04"/>
    <w:rsid w:val="00C45F0C"/>
    <w:rsid w:val="00C46A2F"/>
    <w:rsid w:val="00C46F69"/>
    <w:rsid w:val="00C4713D"/>
    <w:rsid w:val="00C47323"/>
    <w:rsid w:val="00C47398"/>
    <w:rsid w:val="00C47624"/>
    <w:rsid w:val="00C502DD"/>
    <w:rsid w:val="00C50400"/>
    <w:rsid w:val="00C50415"/>
    <w:rsid w:val="00C5070A"/>
    <w:rsid w:val="00C507FB"/>
    <w:rsid w:val="00C5113F"/>
    <w:rsid w:val="00C511AB"/>
    <w:rsid w:val="00C512EA"/>
    <w:rsid w:val="00C51372"/>
    <w:rsid w:val="00C51491"/>
    <w:rsid w:val="00C518BF"/>
    <w:rsid w:val="00C51BA2"/>
    <w:rsid w:val="00C51D70"/>
    <w:rsid w:val="00C51DA6"/>
    <w:rsid w:val="00C51E40"/>
    <w:rsid w:val="00C51EB2"/>
    <w:rsid w:val="00C52117"/>
    <w:rsid w:val="00C527C2"/>
    <w:rsid w:val="00C52900"/>
    <w:rsid w:val="00C5299A"/>
    <w:rsid w:val="00C53392"/>
    <w:rsid w:val="00C533B4"/>
    <w:rsid w:val="00C53C70"/>
    <w:rsid w:val="00C53D78"/>
    <w:rsid w:val="00C54104"/>
    <w:rsid w:val="00C5422B"/>
    <w:rsid w:val="00C546DA"/>
    <w:rsid w:val="00C54700"/>
    <w:rsid w:val="00C54801"/>
    <w:rsid w:val="00C5482F"/>
    <w:rsid w:val="00C549F9"/>
    <w:rsid w:val="00C54A6B"/>
    <w:rsid w:val="00C54FD4"/>
    <w:rsid w:val="00C55297"/>
    <w:rsid w:val="00C5573D"/>
    <w:rsid w:val="00C55B1A"/>
    <w:rsid w:val="00C5686E"/>
    <w:rsid w:val="00C568D9"/>
    <w:rsid w:val="00C56CC8"/>
    <w:rsid w:val="00C56E64"/>
    <w:rsid w:val="00C570D8"/>
    <w:rsid w:val="00C576C6"/>
    <w:rsid w:val="00C5790A"/>
    <w:rsid w:val="00C57B80"/>
    <w:rsid w:val="00C57C0B"/>
    <w:rsid w:val="00C601C7"/>
    <w:rsid w:val="00C602DC"/>
    <w:rsid w:val="00C60414"/>
    <w:rsid w:val="00C60518"/>
    <w:rsid w:val="00C60686"/>
    <w:rsid w:val="00C606F4"/>
    <w:rsid w:val="00C60B1B"/>
    <w:rsid w:val="00C60F8F"/>
    <w:rsid w:val="00C615E8"/>
    <w:rsid w:val="00C61877"/>
    <w:rsid w:val="00C619CE"/>
    <w:rsid w:val="00C62008"/>
    <w:rsid w:val="00C6222E"/>
    <w:rsid w:val="00C62816"/>
    <w:rsid w:val="00C62889"/>
    <w:rsid w:val="00C628F1"/>
    <w:rsid w:val="00C62C24"/>
    <w:rsid w:val="00C62EB4"/>
    <w:rsid w:val="00C630BC"/>
    <w:rsid w:val="00C630F5"/>
    <w:rsid w:val="00C63109"/>
    <w:rsid w:val="00C63BFB"/>
    <w:rsid w:val="00C63C84"/>
    <w:rsid w:val="00C63F85"/>
    <w:rsid w:val="00C641EE"/>
    <w:rsid w:val="00C646A7"/>
    <w:rsid w:val="00C648FC"/>
    <w:rsid w:val="00C64D09"/>
    <w:rsid w:val="00C64EE5"/>
    <w:rsid w:val="00C653DD"/>
    <w:rsid w:val="00C65482"/>
    <w:rsid w:val="00C6582B"/>
    <w:rsid w:val="00C65CE2"/>
    <w:rsid w:val="00C66084"/>
    <w:rsid w:val="00C6617E"/>
    <w:rsid w:val="00C663C1"/>
    <w:rsid w:val="00C66400"/>
    <w:rsid w:val="00C66443"/>
    <w:rsid w:val="00C668BA"/>
    <w:rsid w:val="00C66AC6"/>
    <w:rsid w:val="00C671A7"/>
    <w:rsid w:val="00C67460"/>
    <w:rsid w:val="00C6759D"/>
    <w:rsid w:val="00C675E9"/>
    <w:rsid w:val="00C678D7"/>
    <w:rsid w:val="00C67BEB"/>
    <w:rsid w:val="00C70517"/>
    <w:rsid w:val="00C705D2"/>
    <w:rsid w:val="00C70683"/>
    <w:rsid w:val="00C707F0"/>
    <w:rsid w:val="00C70939"/>
    <w:rsid w:val="00C71031"/>
    <w:rsid w:val="00C71545"/>
    <w:rsid w:val="00C7194E"/>
    <w:rsid w:val="00C71E6D"/>
    <w:rsid w:val="00C71E99"/>
    <w:rsid w:val="00C71F8A"/>
    <w:rsid w:val="00C71FAC"/>
    <w:rsid w:val="00C72366"/>
    <w:rsid w:val="00C7286E"/>
    <w:rsid w:val="00C728FD"/>
    <w:rsid w:val="00C736B5"/>
    <w:rsid w:val="00C73950"/>
    <w:rsid w:val="00C73A50"/>
    <w:rsid w:val="00C7433E"/>
    <w:rsid w:val="00C7486A"/>
    <w:rsid w:val="00C74C14"/>
    <w:rsid w:val="00C74DCF"/>
    <w:rsid w:val="00C74E2A"/>
    <w:rsid w:val="00C74F4B"/>
    <w:rsid w:val="00C74F50"/>
    <w:rsid w:val="00C754FC"/>
    <w:rsid w:val="00C75BBC"/>
    <w:rsid w:val="00C75F16"/>
    <w:rsid w:val="00C763C7"/>
    <w:rsid w:val="00C76F0F"/>
    <w:rsid w:val="00C77099"/>
    <w:rsid w:val="00C77445"/>
    <w:rsid w:val="00C775C3"/>
    <w:rsid w:val="00C77626"/>
    <w:rsid w:val="00C77802"/>
    <w:rsid w:val="00C778AC"/>
    <w:rsid w:val="00C77963"/>
    <w:rsid w:val="00C77ADF"/>
    <w:rsid w:val="00C802F3"/>
    <w:rsid w:val="00C810D0"/>
    <w:rsid w:val="00C817E0"/>
    <w:rsid w:val="00C81A27"/>
    <w:rsid w:val="00C822F0"/>
    <w:rsid w:val="00C8270F"/>
    <w:rsid w:val="00C82B30"/>
    <w:rsid w:val="00C82FC8"/>
    <w:rsid w:val="00C82FCC"/>
    <w:rsid w:val="00C82FE0"/>
    <w:rsid w:val="00C833DA"/>
    <w:rsid w:val="00C84646"/>
    <w:rsid w:val="00C84E5B"/>
    <w:rsid w:val="00C84FFF"/>
    <w:rsid w:val="00C853B1"/>
    <w:rsid w:val="00C853C6"/>
    <w:rsid w:val="00C858D9"/>
    <w:rsid w:val="00C859F1"/>
    <w:rsid w:val="00C8601C"/>
    <w:rsid w:val="00C86097"/>
    <w:rsid w:val="00C860D2"/>
    <w:rsid w:val="00C8651F"/>
    <w:rsid w:val="00C867EC"/>
    <w:rsid w:val="00C86BF8"/>
    <w:rsid w:val="00C86E92"/>
    <w:rsid w:val="00C86F01"/>
    <w:rsid w:val="00C872C0"/>
    <w:rsid w:val="00C873C3"/>
    <w:rsid w:val="00C873D7"/>
    <w:rsid w:val="00C87B49"/>
    <w:rsid w:val="00C87B76"/>
    <w:rsid w:val="00C90640"/>
    <w:rsid w:val="00C90E06"/>
    <w:rsid w:val="00C9144E"/>
    <w:rsid w:val="00C914BA"/>
    <w:rsid w:val="00C9197D"/>
    <w:rsid w:val="00C91AAF"/>
    <w:rsid w:val="00C91ECF"/>
    <w:rsid w:val="00C91F9F"/>
    <w:rsid w:val="00C92ABF"/>
    <w:rsid w:val="00C92B7D"/>
    <w:rsid w:val="00C92F5A"/>
    <w:rsid w:val="00C932A4"/>
    <w:rsid w:val="00C937F1"/>
    <w:rsid w:val="00C93927"/>
    <w:rsid w:val="00C93951"/>
    <w:rsid w:val="00C939FE"/>
    <w:rsid w:val="00C93C5A"/>
    <w:rsid w:val="00C93EF2"/>
    <w:rsid w:val="00C9404E"/>
    <w:rsid w:val="00C944A4"/>
    <w:rsid w:val="00C9455C"/>
    <w:rsid w:val="00C95142"/>
    <w:rsid w:val="00C952AC"/>
    <w:rsid w:val="00C953A4"/>
    <w:rsid w:val="00C9543E"/>
    <w:rsid w:val="00C95555"/>
    <w:rsid w:val="00C95790"/>
    <w:rsid w:val="00C95BEC"/>
    <w:rsid w:val="00C95C20"/>
    <w:rsid w:val="00C9689E"/>
    <w:rsid w:val="00C96B86"/>
    <w:rsid w:val="00C96D6B"/>
    <w:rsid w:val="00C96ED6"/>
    <w:rsid w:val="00C9744B"/>
    <w:rsid w:val="00C97867"/>
    <w:rsid w:val="00C97902"/>
    <w:rsid w:val="00C97B42"/>
    <w:rsid w:val="00C97E2D"/>
    <w:rsid w:val="00CA02FD"/>
    <w:rsid w:val="00CA07D2"/>
    <w:rsid w:val="00CA1422"/>
    <w:rsid w:val="00CA179E"/>
    <w:rsid w:val="00CA1B73"/>
    <w:rsid w:val="00CA1E05"/>
    <w:rsid w:val="00CA1FC8"/>
    <w:rsid w:val="00CA20B0"/>
    <w:rsid w:val="00CA2205"/>
    <w:rsid w:val="00CA277F"/>
    <w:rsid w:val="00CA2994"/>
    <w:rsid w:val="00CA2A5B"/>
    <w:rsid w:val="00CA2E10"/>
    <w:rsid w:val="00CA312D"/>
    <w:rsid w:val="00CA3183"/>
    <w:rsid w:val="00CA3AF9"/>
    <w:rsid w:val="00CA3CF9"/>
    <w:rsid w:val="00CA4045"/>
    <w:rsid w:val="00CA41B5"/>
    <w:rsid w:val="00CA45C0"/>
    <w:rsid w:val="00CA4636"/>
    <w:rsid w:val="00CA4964"/>
    <w:rsid w:val="00CA4D0D"/>
    <w:rsid w:val="00CA4EF3"/>
    <w:rsid w:val="00CA4F24"/>
    <w:rsid w:val="00CA5363"/>
    <w:rsid w:val="00CA5369"/>
    <w:rsid w:val="00CA5649"/>
    <w:rsid w:val="00CA56C8"/>
    <w:rsid w:val="00CA581C"/>
    <w:rsid w:val="00CA5D95"/>
    <w:rsid w:val="00CA5E91"/>
    <w:rsid w:val="00CA65CF"/>
    <w:rsid w:val="00CA675F"/>
    <w:rsid w:val="00CA6882"/>
    <w:rsid w:val="00CA6A32"/>
    <w:rsid w:val="00CA7149"/>
    <w:rsid w:val="00CA71FA"/>
    <w:rsid w:val="00CA72E6"/>
    <w:rsid w:val="00CA75EA"/>
    <w:rsid w:val="00CA7611"/>
    <w:rsid w:val="00CA77B3"/>
    <w:rsid w:val="00CA78F7"/>
    <w:rsid w:val="00CA7A70"/>
    <w:rsid w:val="00CA7D85"/>
    <w:rsid w:val="00CB0233"/>
    <w:rsid w:val="00CB062F"/>
    <w:rsid w:val="00CB077C"/>
    <w:rsid w:val="00CB07D9"/>
    <w:rsid w:val="00CB09AD"/>
    <w:rsid w:val="00CB0C8B"/>
    <w:rsid w:val="00CB0D25"/>
    <w:rsid w:val="00CB0E44"/>
    <w:rsid w:val="00CB1A67"/>
    <w:rsid w:val="00CB1C9A"/>
    <w:rsid w:val="00CB1D46"/>
    <w:rsid w:val="00CB292D"/>
    <w:rsid w:val="00CB320C"/>
    <w:rsid w:val="00CB3665"/>
    <w:rsid w:val="00CB3B12"/>
    <w:rsid w:val="00CB3BB4"/>
    <w:rsid w:val="00CB3C1F"/>
    <w:rsid w:val="00CB3F48"/>
    <w:rsid w:val="00CB4689"/>
    <w:rsid w:val="00CB4B8E"/>
    <w:rsid w:val="00CB4CCA"/>
    <w:rsid w:val="00CB4E2B"/>
    <w:rsid w:val="00CB4E2C"/>
    <w:rsid w:val="00CB5168"/>
    <w:rsid w:val="00CB51AE"/>
    <w:rsid w:val="00CB52BE"/>
    <w:rsid w:val="00CB53B6"/>
    <w:rsid w:val="00CB58BF"/>
    <w:rsid w:val="00CB5999"/>
    <w:rsid w:val="00CB5AB2"/>
    <w:rsid w:val="00CB5BE7"/>
    <w:rsid w:val="00CB5CD2"/>
    <w:rsid w:val="00CB5D35"/>
    <w:rsid w:val="00CB61E6"/>
    <w:rsid w:val="00CB63C0"/>
    <w:rsid w:val="00CB66C6"/>
    <w:rsid w:val="00CB685E"/>
    <w:rsid w:val="00CB687B"/>
    <w:rsid w:val="00CB68C3"/>
    <w:rsid w:val="00CB703A"/>
    <w:rsid w:val="00CB773F"/>
    <w:rsid w:val="00CB7950"/>
    <w:rsid w:val="00CB7A97"/>
    <w:rsid w:val="00CC00BD"/>
    <w:rsid w:val="00CC05E8"/>
    <w:rsid w:val="00CC06CA"/>
    <w:rsid w:val="00CC0769"/>
    <w:rsid w:val="00CC098A"/>
    <w:rsid w:val="00CC0A2C"/>
    <w:rsid w:val="00CC0B82"/>
    <w:rsid w:val="00CC123D"/>
    <w:rsid w:val="00CC1CCE"/>
    <w:rsid w:val="00CC1D07"/>
    <w:rsid w:val="00CC2071"/>
    <w:rsid w:val="00CC2251"/>
    <w:rsid w:val="00CC22AE"/>
    <w:rsid w:val="00CC24CA"/>
    <w:rsid w:val="00CC2B92"/>
    <w:rsid w:val="00CC2E4E"/>
    <w:rsid w:val="00CC2F62"/>
    <w:rsid w:val="00CC2FFE"/>
    <w:rsid w:val="00CC3009"/>
    <w:rsid w:val="00CC312E"/>
    <w:rsid w:val="00CC336A"/>
    <w:rsid w:val="00CC3429"/>
    <w:rsid w:val="00CC3BAC"/>
    <w:rsid w:val="00CC3CC1"/>
    <w:rsid w:val="00CC4284"/>
    <w:rsid w:val="00CC433C"/>
    <w:rsid w:val="00CC435C"/>
    <w:rsid w:val="00CC44EE"/>
    <w:rsid w:val="00CC4FF9"/>
    <w:rsid w:val="00CC51EF"/>
    <w:rsid w:val="00CC569C"/>
    <w:rsid w:val="00CC6360"/>
    <w:rsid w:val="00CC6A86"/>
    <w:rsid w:val="00CC6EC3"/>
    <w:rsid w:val="00CC6FE0"/>
    <w:rsid w:val="00CC7094"/>
    <w:rsid w:val="00CC70B5"/>
    <w:rsid w:val="00CC7645"/>
    <w:rsid w:val="00CC77B5"/>
    <w:rsid w:val="00CC7F85"/>
    <w:rsid w:val="00CD017E"/>
    <w:rsid w:val="00CD02F5"/>
    <w:rsid w:val="00CD03E5"/>
    <w:rsid w:val="00CD0536"/>
    <w:rsid w:val="00CD08E5"/>
    <w:rsid w:val="00CD0949"/>
    <w:rsid w:val="00CD0A19"/>
    <w:rsid w:val="00CD0A45"/>
    <w:rsid w:val="00CD0E97"/>
    <w:rsid w:val="00CD1147"/>
    <w:rsid w:val="00CD12A5"/>
    <w:rsid w:val="00CD14A3"/>
    <w:rsid w:val="00CD15FA"/>
    <w:rsid w:val="00CD17C7"/>
    <w:rsid w:val="00CD1C24"/>
    <w:rsid w:val="00CD2138"/>
    <w:rsid w:val="00CD2300"/>
    <w:rsid w:val="00CD2876"/>
    <w:rsid w:val="00CD2EEA"/>
    <w:rsid w:val="00CD388E"/>
    <w:rsid w:val="00CD3ADE"/>
    <w:rsid w:val="00CD3DE0"/>
    <w:rsid w:val="00CD4357"/>
    <w:rsid w:val="00CD43DC"/>
    <w:rsid w:val="00CD4666"/>
    <w:rsid w:val="00CD46D4"/>
    <w:rsid w:val="00CD4AD7"/>
    <w:rsid w:val="00CD4D5C"/>
    <w:rsid w:val="00CD4E58"/>
    <w:rsid w:val="00CD586B"/>
    <w:rsid w:val="00CD5C2F"/>
    <w:rsid w:val="00CD5C91"/>
    <w:rsid w:val="00CD6120"/>
    <w:rsid w:val="00CD625C"/>
    <w:rsid w:val="00CD632A"/>
    <w:rsid w:val="00CD64DC"/>
    <w:rsid w:val="00CD6ADD"/>
    <w:rsid w:val="00CD720D"/>
    <w:rsid w:val="00CD7476"/>
    <w:rsid w:val="00CD7543"/>
    <w:rsid w:val="00CD77F5"/>
    <w:rsid w:val="00CD78DA"/>
    <w:rsid w:val="00CD7A75"/>
    <w:rsid w:val="00CD7B48"/>
    <w:rsid w:val="00CD7E45"/>
    <w:rsid w:val="00CE0698"/>
    <w:rsid w:val="00CE07F7"/>
    <w:rsid w:val="00CE0FD7"/>
    <w:rsid w:val="00CE0FE2"/>
    <w:rsid w:val="00CE10A9"/>
    <w:rsid w:val="00CE12D3"/>
    <w:rsid w:val="00CE2860"/>
    <w:rsid w:val="00CE307C"/>
    <w:rsid w:val="00CE32F0"/>
    <w:rsid w:val="00CE3768"/>
    <w:rsid w:val="00CE3A97"/>
    <w:rsid w:val="00CE3EDE"/>
    <w:rsid w:val="00CE41D2"/>
    <w:rsid w:val="00CE481A"/>
    <w:rsid w:val="00CE4A87"/>
    <w:rsid w:val="00CE4BB0"/>
    <w:rsid w:val="00CE4D3B"/>
    <w:rsid w:val="00CE4F3A"/>
    <w:rsid w:val="00CE55BC"/>
    <w:rsid w:val="00CE55E1"/>
    <w:rsid w:val="00CE5631"/>
    <w:rsid w:val="00CE5703"/>
    <w:rsid w:val="00CE5C85"/>
    <w:rsid w:val="00CE6085"/>
    <w:rsid w:val="00CE610D"/>
    <w:rsid w:val="00CE63BD"/>
    <w:rsid w:val="00CE6A82"/>
    <w:rsid w:val="00CE7024"/>
    <w:rsid w:val="00CE7126"/>
    <w:rsid w:val="00CE73C7"/>
    <w:rsid w:val="00CE7C69"/>
    <w:rsid w:val="00CE7CB4"/>
    <w:rsid w:val="00CF00BE"/>
    <w:rsid w:val="00CF01E1"/>
    <w:rsid w:val="00CF069D"/>
    <w:rsid w:val="00CF090E"/>
    <w:rsid w:val="00CF0D4E"/>
    <w:rsid w:val="00CF0EA9"/>
    <w:rsid w:val="00CF1093"/>
    <w:rsid w:val="00CF10A8"/>
    <w:rsid w:val="00CF123D"/>
    <w:rsid w:val="00CF12BB"/>
    <w:rsid w:val="00CF1325"/>
    <w:rsid w:val="00CF184B"/>
    <w:rsid w:val="00CF1BB0"/>
    <w:rsid w:val="00CF2695"/>
    <w:rsid w:val="00CF2776"/>
    <w:rsid w:val="00CF29E9"/>
    <w:rsid w:val="00CF2C8E"/>
    <w:rsid w:val="00CF2FC9"/>
    <w:rsid w:val="00CF3268"/>
    <w:rsid w:val="00CF37AF"/>
    <w:rsid w:val="00CF37BE"/>
    <w:rsid w:val="00CF3828"/>
    <w:rsid w:val="00CF39D5"/>
    <w:rsid w:val="00CF4339"/>
    <w:rsid w:val="00CF4E6C"/>
    <w:rsid w:val="00CF4EC2"/>
    <w:rsid w:val="00CF50E8"/>
    <w:rsid w:val="00CF511F"/>
    <w:rsid w:val="00CF5202"/>
    <w:rsid w:val="00CF52DC"/>
    <w:rsid w:val="00CF59E2"/>
    <w:rsid w:val="00CF5CD5"/>
    <w:rsid w:val="00CF665C"/>
    <w:rsid w:val="00CF7146"/>
    <w:rsid w:val="00CF79D7"/>
    <w:rsid w:val="00CF7B06"/>
    <w:rsid w:val="00CF7CC4"/>
    <w:rsid w:val="00CF7DE8"/>
    <w:rsid w:val="00CF7E54"/>
    <w:rsid w:val="00D00141"/>
    <w:rsid w:val="00D00728"/>
    <w:rsid w:val="00D00B28"/>
    <w:rsid w:val="00D00B9E"/>
    <w:rsid w:val="00D01129"/>
    <w:rsid w:val="00D014A0"/>
    <w:rsid w:val="00D01A50"/>
    <w:rsid w:val="00D01BA3"/>
    <w:rsid w:val="00D01C00"/>
    <w:rsid w:val="00D01CA5"/>
    <w:rsid w:val="00D01DFC"/>
    <w:rsid w:val="00D01E70"/>
    <w:rsid w:val="00D022BD"/>
    <w:rsid w:val="00D02677"/>
    <w:rsid w:val="00D02800"/>
    <w:rsid w:val="00D02911"/>
    <w:rsid w:val="00D03466"/>
    <w:rsid w:val="00D034C1"/>
    <w:rsid w:val="00D03564"/>
    <w:rsid w:val="00D03927"/>
    <w:rsid w:val="00D03ADB"/>
    <w:rsid w:val="00D041E2"/>
    <w:rsid w:val="00D04A66"/>
    <w:rsid w:val="00D052D1"/>
    <w:rsid w:val="00D055FC"/>
    <w:rsid w:val="00D05A28"/>
    <w:rsid w:val="00D05C6D"/>
    <w:rsid w:val="00D05F19"/>
    <w:rsid w:val="00D0659B"/>
    <w:rsid w:val="00D066AE"/>
    <w:rsid w:val="00D06A29"/>
    <w:rsid w:val="00D06CC7"/>
    <w:rsid w:val="00D070F1"/>
    <w:rsid w:val="00D074D5"/>
    <w:rsid w:val="00D07717"/>
    <w:rsid w:val="00D07C35"/>
    <w:rsid w:val="00D07EB4"/>
    <w:rsid w:val="00D07ECF"/>
    <w:rsid w:val="00D10D14"/>
    <w:rsid w:val="00D10F07"/>
    <w:rsid w:val="00D10F3A"/>
    <w:rsid w:val="00D1139C"/>
    <w:rsid w:val="00D11D45"/>
    <w:rsid w:val="00D12327"/>
    <w:rsid w:val="00D124F4"/>
    <w:rsid w:val="00D12864"/>
    <w:rsid w:val="00D128A5"/>
    <w:rsid w:val="00D13023"/>
    <w:rsid w:val="00D13159"/>
    <w:rsid w:val="00D134DB"/>
    <w:rsid w:val="00D13847"/>
    <w:rsid w:val="00D13A5A"/>
    <w:rsid w:val="00D14305"/>
    <w:rsid w:val="00D14589"/>
    <w:rsid w:val="00D147F5"/>
    <w:rsid w:val="00D15155"/>
    <w:rsid w:val="00D1518C"/>
    <w:rsid w:val="00D152FC"/>
    <w:rsid w:val="00D159D2"/>
    <w:rsid w:val="00D16049"/>
    <w:rsid w:val="00D16055"/>
    <w:rsid w:val="00D16441"/>
    <w:rsid w:val="00D1651A"/>
    <w:rsid w:val="00D16B3C"/>
    <w:rsid w:val="00D17204"/>
    <w:rsid w:val="00D1741E"/>
    <w:rsid w:val="00D17856"/>
    <w:rsid w:val="00D17917"/>
    <w:rsid w:val="00D206F7"/>
    <w:rsid w:val="00D20D8C"/>
    <w:rsid w:val="00D21886"/>
    <w:rsid w:val="00D21F8F"/>
    <w:rsid w:val="00D2239E"/>
    <w:rsid w:val="00D223B2"/>
    <w:rsid w:val="00D22B81"/>
    <w:rsid w:val="00D22EB7"/>
    <w:rsid w:val="00D235C9"/>
    <w:rsid w:val="00D237A8"/>
    <w:rsid w:val="00D23D49"/>
    <w:rsid w:val="00D23EDD"/>
    <w:rsid w:val="00D23FDC"/>
    <w:rsid w:val="00D24160"/>
    <w:rsid w:val="00D24700"/>
    <w:rsid w:val="00D24841"/>
    <w:rsid w:val="00D24CE2"/>
    <w:rsid w:val="00D24D5E"/>
    <w:rsid w:val="00D25125"/>
    <w:rsid w:val="00D25335"/>
    <w:rsid w:val="00D253CA"/>
    <w:rsid w:val="00D25791"/>
    <w:rsid w:val="00D25938"/>
    <w:rsid w:val="00D2598E"/>
    <w:rsid w:val="00D25C6F"/>
    <w:rsid w:val="00D25C9F"/>
    <w:rsid w:val="00D262FB"/>
    <w:rsid w:val="00D26D94"/>
    <w:rsid w:val="00D27496"/>
    <w:rsid w:val="00D27563"/>
    <w:rsid w:val="00D2789F"/>
    <w:rsid w:val="00D307F9"/>
    <w:rsid w:val="00D30CCC"/>
    <w:rsid w:val="00D30D25"/>
    <w:rsid w:val="00D31625"/>
    <w:rsid w:val="00D31905"/>
    <w:rsid w:val="00D31C44"/>
    <w:rsid w:val="00D31E1C"/>
    <w:rsid w:val="00D32616"/>
    <w:rsid w:val="00D3277A"/>
    <w:rsid w:val="00D329D9"/>
    <w:rsid w:val="00D32A85"/>
    <w:rsid w:val="00D32E1A"/>
    <w:rsid w:val="00D32E8F"/>
    <w:rsid w:val="00D3304E"/>
    <w:rsid w:val="00D3375F"/>
    <w:rsid w:val="00D3387E"/>
    <w:rsid w:val="00D3397D"/>
    <w:rsid w:val="00D34019"/>
    <w:rsid w:val="00D343DD"/>
    <w:rsid w:val="00D3441E"/>
    <w:rsid w:val="00D347BE"/>
    <w:rsid w:val="00D347E8"/>
    <w:rsid w:val="00D348D5"/>
    <w:rsid w:val="00D3493D"/>
    <w:rsid w:val="00D349A7"/>
    <w:rsid w:val="00D34B6E"/>
    <w:rsid w:val="00D34BA0"/>
    <w:rsid w:val="00D35126"/>
    <w:rsid w:val="00D354D3"/>
    <w:rsid w:val="00D358C8"/>
    <w:rsid w:val="00D35C50"/>
    <w:rsid w:val="00D3630D"/>
    <w:rsid w:val="00D36409"/>
    <w:rsid w:val="00D36529"/>
    <w:rsid w:val="00D369A9"/>
    <w:rsid w:val="00D36CA2"/>
    <w:rsid w:val="00D36F19"/>
    <w:rsid w:val="00D37244"/>
    <w:rsid w:val="00D372F3"/>
    <w:rsid w:val="00D37465"/>
    <w:rsid w:val="00D37A47"/>
    <w:rsid w:val="00D37F05"/>
    <w:rsid w:val="00D40906"/>
    <w:rsid w:val="00D40B16"/>
    <w:rsid w:val="00D40E22"/>
    <w:rsid w:val="00D411EE"/>
    <w:rsid w:val="00D41ED4"/>
    <w:rsid w:val="00D4297E"/>
    <w:rsid w:val="00D42C12"/>
    <w:rsid w:val="00D42D13"/>
    <w:rsid w:val="00D42E74"/>
    <w:rsid w:val="00D4314A"/>
    <w:rsid w:val="00D43DE8"/>
    <w:rsid w:val="00D43DFD"/>
    <w:rsid w:val="00D44053"/>
    <w:rsid w:val="00D4439E"/>
    <w:rsid w:val="00D44A4C"/>
    <w:rsid w:val="00D44D41"/>
    <w:rsid w:val="00D452C3"/>
    <w:rsid w:val="00D4558E"/>
    <w:rsid w:val="00D45732"/>
    <w:rsid w:val="00D457CB"/>
    <w:rsid w:val="00D45CD9"/>
    <w:rsid w:val="00D4602E"/>
    <w:rsid w:val="00D4603C"/>
    <w:rsid w:val="00D4610D"/>
    <w:rsid w:val="00D46287"/>
    <w:rsid w:val="00D46483"/>
    <w:rsid w:val="00D466FB"/>
    <w:rsid w:val="00D46777"/>
    <w:rsid w:val="00D46DA5"/>
    <w:rsid w:val="00D46E43"/>
    <w:rsid w:val="00D46E92"/>
    <w:rsid w:val="00D47D2E"/>
    <w:rsid w:val="00D500A3"/>
    <w:rsid w:val="00D5052A"/>
    <w:rsid w:val="00D508AD"/>
    <w:rsid w:val="00D5094D"/>
    <w:rsid w:val="00D514CD"/>
    <w:rsid w:val="00D51DEB"/>
    <w:rsid w:val="00D527D1"/>
    <w:rsid w:val="00D527E0"/>
    <w:rsid w:val="00D5282D"/>
    <w:rsid w:val="00D52C31"/>
    <w:rsid w:val="00D5307F"/>
    <w:rsid w:val="00D53945"/>
    <w:rsid w:val="00D540A1"/>
    <w:rsid w:val="00D54434"/>
    <w:rsid w:val="00D546DD"/>
    <w:rsid w:val="00D54AC6"/>
    <w:rsid w:val="00D54BE0"/>
    <w:rsid w:val="00D54CE4"/>
    <w:rsid w:val="00D54F0A"/>
    <w:rsid w:val="00D55231"/>
    <w:rsid w:val="00D552D5"/>
    <w:rsid w:val="00D5552C"/>
    <w:rsid w:val="00D55704"/>
    <w:rsid w:val="00D55928"/>
    <w:rsid w:val="00D5617D"/>
    <w:rsid w:val="00D562E1"/>
    <w:rsid w:val="00D563F5"/>
    <w:rsid w:val="00D56534"/>
    <w:rsid w:val="00D56D53"/>
    <w:rsid w:val="00D57273"/>
    <w:rsid w:val="00D57721"/>
    <w:rsid w:val="00D57E07"/>
    <w:rsid w:val="00D600FB"/>
    <w:rsid w:val="00D60107"/>
    <w:rsid w:val="00D60916"/>
    <w:rsid w:val="00D60BD6"/>
    <w:rsid w:val="00D60FA0"/>
    <w:rsid w:val="00D61298"/>
    <w:rsid w:val="00D612B3"/>
    <w:rsid w:val="00D61D0E"/>
    <w:rsid w:val="00D61F18"/>
    <w:rsid w:val="00D6237B"/>
    <w:rsid w:val="00D6307D"/>
    <w:rsid w:val="00D630A0"/>
    <w:rsid w:val="00D630AC"/>
    <w:rsid w:val="00D63246"/>
    <w:rsid w:val="00D633A8"/>
    <w:rsid w:val="00D63A30"/>
    <w:rsid w:val="00D63A4F"/>
    <w:rsid w:val="00D63BA6"/>
    <w:rsid w:val="00D63BB6"/>
    <w:rsid w:val="00D63C59"/>
    <w:rsid w:val="00D64012"/>
    <w:rsid w:val="00D64103"/>
    <w:rsid w:val="00D64453"/>
    <w:rsid w:val="00D64606"/>
    <w:rsid w:val="00D64D01"/>
    <w:rsid w:val="00D6513C"/>
    <w:rsid w:val="00D65825"/>
    <w:rsid w:val="00D65D21"/>
    <w:rsid w:val="00D66542"/>
    <w:rsid w:val="00D6698E"/>
    <w:rsid w:val="00D671B2"/>
    <w:rsid w:val="00D672B2"/>
    <w:rsid w:val="00D672C8"/>
    <w:rsid w:val="00D672E9"/>
    <w:rsid w:val="00D6742F"/>
    <w:rsid w:val="00D67745"/>
    <w:rsid w:val="00D67A4E"/>
    <w:rsid w:val="00D67CC2"/>
    <w:rsid w:val="00D70092"/>
    <w:rsid w:val="00D7009A"/>
    <w:rsid w:val="00D7079E"/>
    <w:rsid w:val="00D707EE"/>
    <w:rsid w:val="00D708B7"/>
    <w:rsid w:val="00D709C0"/>
    <w:rsid w:val="00D70CE7"/>
    <w:rsid w:val="00D71558"/>
    <w:rsid w:val="00D717D6"/>
    <w:rsid w:val="00D717FC"/>
    <w:rsid w:val="00D730BF"/>
    <w:rsid w:val="00D731E7"/>
    <w:rsid w:val="00D73276"/>
    <w:rsid w:val="00D733F1"/>
    <w:rsid w:val="00D744C5"/>
    <w:rsid w:val="00D74847"/>
    <w:rsid w:val="00D75595"/>
    <w:rsid w:val="00D755D2"/>
    <w:rsid w:val="00D7590A"/>
    <w:rsid w:val="00D759C6"/>
    <w:rsid w:val="00D75AD3"/>
    <w:rsid w:val="00D75CF7"/>
    <w:rsid w:val="00D760D2"/>
    <w:rsid w:val="00D76175"/>
    <w:rsid w:val="00D76291"/>
    <w:rsid w:val="00D76AAB"/>
    <w:rsid w:val="00D771C3"/>
    <w:rsid w:val="00D77323"/>
    <w:rsid w:val="00D778BB"/>
    <w:rsid w:val="00D77BBC"/>
    <w:rsid w:val="00D77E02"/>
    <w:rsid w:val="00D77EF7"/>
    <w:rsid w:val="00D804E5"/>
    <w:rsid w:val="00D80B03"/>
    <w:rsid w:val="00D80E64"/>
    <w:rsid w:val="00D81B1B"/>
    <w:rsid w:val="00D81DC6"/>
    <w:rsid w:val="00D81FC1"/>
    <w:rsid w:val="00D824F3"/>
    <w:rsid w:val="00D827A6"/>
    <w:rsid w:val="00D8293A"/>
    <w:rsid w:val="00D82C76"/>
    <w:rsid w:val="00D8310D"/>
    <w:rsid w:val="00D83359"/>
    <w:rsid w:val="00D8367E"/>
    <w:rsid w:val="00D8376C"/>
    <w:rsid w:val="00D838FA"/>
    <w:rsid w:val="00D83928"/>
    <w:rsid w:val="00D83BF2"/>
    <w:rsid w:val="00D84770"/>
    <w:rsid w:val="00D84C27"/>
    <w:rsid w:val="00D85063"/>
    <w:rsid w:val="00D85A03"/>
    <w:rsid w:val="00D862D5"/>
    <w:rsid w:val="00D863B7"/>
    <w:rsid w:val="00D86D6A"/>
    <w:rsid w:val="00D86EF1"/>
    <w:rsid w:val="00D870CE"/>
    <w:rsid w:val="00D87673"/>
    <w:rsid w:val="00D87724"/>
    <w:rsid w:val="00D87897"/>
    <w:rsid w:val="00D87BBB"/>
    <w:rsid w:val="00D900F9"/>
    <w:rsid w:val="00D90340"/>
    <w:rsid w:val="00D9057C"/>
    <w:rsid w:val="00D90B0D"/>
    <w:rsid w:val="00D915D1"/>
    <w:rsid w:val="00D917A2"/>
    <w:rsid w:val="00D91A31"/>
    <w:rsid w:val="00D91E0B"/>
    <w:rsid w:val="00D92D24"/>
    <w:rsid w:val="00D931EB"/>
    <w:rsid w:val="00D93752"/>
    <w:rsid w:val="00D9381F"/>
    <w:rsid w:val="00D93B0C"/>
    <w:rsid w:val="00D93C52"/>
    <w:rsid w:val="00D93FFB"/>
    <w:rsid w:val="00D9417A"/>
    <w:rsid w:val="00D94596"/>
    <w:rsid w:val="00D9499C"/>
    <w:rsid w:val="00D94C4F"/>
    <w:rsid w:val="00D94E2D"/>
    <w:rsid w:val="00D9524D"/>
    <w:rsid w:val="00D952CA"/>
    <w:rsid w:val="00D959B5"/>
    <w:rsid w:val="00D96559"/>
    <w:rsid w:val="00D967BB"/>
    <w:rsid w:val="00D96D76"/>
    <w:rsid w:val="00DA004B"/>
    <w:rsid w:val="00DA0129"/>
    <w:rsid w:val="00DA01C6"/>
    <w:rsid w:val="00DA036D"/>
    <w:rsid w:val="00DA0936"/>
    <w:rsid w:val="00DA0C0B"/>
    <w:rsid w:val="00DA0E99"/>
    <w:rsid w:val="00DA1143"/>
    <w:rsid w:val="00DA1434"/>
    <w:rsid w:val="00DA14B0"/>
    <w:rsid w:val="00DA160F"/>
    <w:rsid w:val="00DA1977"/>
    <w:rsid w:val="00DA1FC4"/>
    <w:rsid w:val="00DA21A2"/>
    <w:rsid w:val="00DA245F"/>
    <w:rsid w:val="00DA2682"/>
    <w:rsid w:val="00DA2733"/>
    <w:rsid w:val="00DA2764"/>
    <w:rsid w:val="00DA2BAA"/>
    <w:rsid w:val="00DA2CFA"/>
    <w:rsid w:val="00DA2E52"/>
    <w:rsid w:val="00DA3664"/>
    <w:rsid w:val="00DA3704"/>
    <w:rsid w:val="00DA37B5"/>
    <w:rsid w:val="00DA3ADC"/>
    <w:rsid w:val="00DA3C35"/>
    <w:rsid w:val="00DA40A6"/>
    <w:rsid w:val="00DA4421"/>
    <w:rsid w:val="00DA492F"/>
    <w:rsid w:val="00DA4AB0"/>
    <w:rsid w:val="00DA4D2F"/>
    <w:rsid w:val="00DA51CB"/>
    <w:rsid w:val="00DA5766"/>
    <w:rsid w:val="00DA58E7"/>
    <w:rsid w:val="00DA630B"/>
    <w:rsid w:val="00DA67DA"/>
    <w:rsid w:val="00DA6833"/>
    <w:rsid w:val="00DA68F3"/>
    <w:rsid w:val="00DA6B99"/>
    <w:rsid w:val="00DA6C85"/>
    <w:rsid w:val="00DA73E5"/>
    <w:rsid w:val="00DA7554"/>
    <w:rsid w:val="00DA7688"/>
    <w:rsid w:val="00DA79E6"/>
    <w:rsid w:val="00DA7C48"/>
    <w:rsid w:val="00DB0A86"/>
    <w:rsid w:val="00DB0DA6"/>
    <w:rsid w:val="00DB0E18"/>
    <w:rsid w:val="00DB13A8"/>
    <w:rsid w:val="00DB14EA"/>
    <w:rsid w:val="00DB158F"/>
    <w:rsid w:val="00DB17C5"/>
    <w:rsid w:val="00DB18F9"/>
    <w:rsid w:val="00DB2273"/>
    <w:rsid w:val="00DB2C5A"/>
    <w:rsid w:val="00DB2D0D"/>
    <w:rsid w:val="00DB3077"/>
    <w:rsid w:val="00DB3873"/>
    <w:rsid w:val="00DB393F"/>
    <w:rsid w:val="00DB3DD8"/>
    <w:rsid w:val="00DB3E87"/>
    <w:rsid w:val="00DB4020"/>
    <w:rsid w:val="00DB4151"/>
    <w:rsid w:val="00DB419F"/>
    <w:rsid w:val="00DB4523"/>
    <w:rsid w:val="00DB499D"/>
    <w:rsid w:val="00DB4CAA"/>
    <w:rsid w:val="00DB50DF"/>
    <w:rsid w:val="00DB53B6"/>
    <w:rsid w:val="00DB58BC"/>
    <w:rsid w:val="00DB5AD4"/>
    <w:rsid w:val="00DB5D43"/>
    <w:rsid w:val="00DB65EF"/>
    <w:rsid w:val="00DB6BEF"/>
    <w:rsid w:val="00DB6D33"/>
    <w:rsid w:val="00DB6FA4"/>
    <w:rsid w:val="00DB726F"/>
    <w:rsid w:val="00DB752D"/>
    <w:rsid w:val="00DB7B07"/>
    <w:rsid w:val="00DB7B34"/>
    <w:rsid w:val="00DB7C23"/>
    <w:rsid w:val="00DB7EBC"/>
    <w:rsid w:val="00DC0211"/>
    <w:rsid w:val="00DC0CF5"/>
    <w:rsid w:val="00DC1686"/>
    <w:rsid w:val="00DC1826"/>
    <w:rsid w:val="00DC1BFB"/>
    <w:rsid w:val="00DC2725"/>
    <w:rsid w:val="00DC3028"/>
    <w:rsid w:val="00DC306E"/>
    <w:rsid w:val="00DC308C"/>
    <w:rsid w:val="00DC30B3"/>
    <w:rsid w:val="00DC3276"/>
    <w:rsid w:val="00DC3667"/>
    <w:rsid w:val="00DC39A0"/>
    <w:rsid w:val="00DC3BE3"/>
    <w:rsid w:val="00DC3DA3"/>
    <w:rsid w:val="00DC3F9D"/>
    <w:rsid w:val="00DC47F8"/>
    <w:rsid w:val="00DC523A"/>
    <w:rsid w:val="00DC5374"/>
    <w:rsid w:val="00DC5401"/>
    <w:rsid w:val="00DC541E"/>
    <w:rsid w:val="00DC5425"/>
    <w:rsid w:val="00DC6B18"/>
    <w:rsid w:val="00DC6B45"/>
    <w:rsid w:val="00DC73D2"/>
    <w:rsid w:val="00DC771E"/>
    <w:rsid w:val="00DC7C30"/>
    <w:rsid w:val="00DC7E84"/>
    <w:rsid w:val="00DD01CA"/>
    <w:rsid w:val="00DD02D5"/>
    <w:rsid w:val="00DD046D"/>
    <w:rsid w:val="00DD09EF"/>
    <w:rsid w:val="00DD0BF9"/>
    <w:rsid w:val="00DD0DF6"/>
    <w:rsid w:val="00DD1053"/>
    <w:rsid w:val="00DD14F9"/>
    <w:rsid w:val="00DD1F80"/>
    <w:rsid w:val="00DD1F84"/>
    <w:rsid w:val="00DD24BB"/>
    <w:rsid w:val="00DD2599"/>
    <w:rsid w:val="00DD25FE"/>
    <w:rsid w:val="00DD265E"/>
    <w:rsid w:val="00DD2703"/>
    <w:rsid w:val="00DD2C4E"/>
    <w:rsid w:val="00DD33A7"/>
    <w:rsid w:val="00DD34C1"/>
    <w:rsid w:val="00DD3E57"/>
    <w:rsid w:val="00DD405F"/>
    <w:rsid w:val="00DD4710"/>
    <w:rsid w:val="00DD4727"/>
    <w:rsid w:val="00DD4770"/>
    <w:rsid w:val="00DD4846"/>
    <w:rsid w:val="00DD4A11"/>
    <w:rsid w:val="00DD53FA"/>
    <w:rsid w:val="00DD56B1"/>
    <w:rsid w:val="00DD6B5E"/>
    <w:rsid w:val="00DD6FFC"/>
    <w:rsid w:val="00DD70AD"/>
    <w:rsid w:val="00DD74EE"/>
    <w:rsid w:val="00DD7727"/>
    <w:rsid w:val="00DD77B6"/>
    <w:rsid w:val="00DE0291"/>
    <w:rsid w:val="00DE056A"/>
    <w:rsid w:val="00DE0622"/>
    <w:rsid w:val="00DE0646"/>
    <w:rsid w:val="00DE0743"/>
    <w:rsid w:val="00DE0AF6"/>
    <w:rsid w:val="00DE0BEC"/>
    <w:rsid w:val="00DE0D1F"/>
    <w:rsid w:val="00DE14AD"/>
    <w:rsid w:val="00DE1607"/>
    <w:rsid w:val="00DE2505"/>
    <w:rsid w:val="00DE27B1"/>
    <w:rsid w:val="00DE2B63"/>
    <w:rsid w:val="00DE2DDA"/>
    <w:rsid w:val="00DE3174"/>
    <w:rsid w:val="00DE32F6"/>
    <w:rsid w:val="00DE33CD"/>
    <w:rsid w:val="00DE3849"/>
    <w:rsid w:val="00DE38E0"/>
    <w:rsid w:val="00DE4383"/>
    <w:rsid w:val="00DE4468"/>
    <w:rsid w:val="00DE44FB"/>
    <w:rsid w:val="00DE45A5"/>
    <w:rsid w:val="00DE5361"/>
    <w:rsid w:val="00DE5370"/>
    <w:rsid w:val="00DE54D3"/>
    <w:rsid w:val="00DE5715"/>
    <w:rsid w:val="00DE59B9"/>
    <w:rsid w:val="00DE5AD7"/>
    <w:rsid w:val="00DE5AF7"/>
    <w:rsid w:val="00DE5C34"/>
    <w:rsid w:val="00DE5CF1"/>
    <w:rsid w:val="00DE5F39"/>
    <w:rsid w:val="00DE624B"/>
    <w:rsid w:val="00DE63CC"/>
    <w:rsid w:val="00DE65F0"/>
    <w:rsid w:val="00DF0C99"/>
    <w:rsid w:val="00DF103E"/>
    <w:rsid w:val="00DF10F0"/>
    <w:rsid w:val="00DF1A1C"/>
    <w:rsid w:val="00DF1AA5"/>
    <w:rsid w:val="00DF1B71"/>
    <w:rsid w:val="00DF1BB7"/>
    <w:rsid w:val="00DF1FA4"/>
    <w:rsid w:val="00DF24EF"/>
    <w:rsid w:val="00DF2A8A"/>
    <w:rsid w:val="00DF2B97"/>
    <w:rsid w:val="00DF2BB3"/>
    <w:rsid w:val="00DF2E9F"/>
    <w:rsid w:val="00DF3568"/>
    <w:rsid w:val="00DF36EC"/>
    <w:rsid w:val="00DF3CF5"/>
    <w:rsid w:val="00DF40C9"/>
    <w:rsid w:val="00DF41E4"/>
    <w:rsid w:val="00DF42D1"/>
    <w:rsid w:val="00DF4689"/>
    <w:rsid w:val="00DF4CEB"/>
    <w:rsid w:val="00DF4E33"/>
    <w:rsid w:val="00DF4FBA"/>
    <w:rsid w:val="00DF51DE"/>
    <w:rsid w:val="00DF5205"/>
    <w:rsid w:val="00DF5368"/>
    <w:rsid w:val="00DF5A33"/>
    <w:rsid w:val="00DF62FF"/>
    <w:rsid w:val="00DF6676"/>
    <w:rsid w:val="00DF7687"/>
    <w:rsid w:val="00DF7891"/>
    <w:rsid w:val="00DF7BC7"/>
    <w:rsid w:val="00DF7CF5"/>
    <w:rsid w:val="00DF7F61"/>
    <w:rsid w:val="00E007A3"/>
    <w:rsid w:val="00E0083C"/>
    <w:rsid w:val="00E009C3"/>
    <w:rsid w:val="00E00D86"/>
    <w:rsid w:val="00E00F02"/>
    <w:rsid w:val="00E01430"/>
    <w:rsid w:val="00E01AAF"/>
    <w:rsid w:val="00E01B8E"/>
    <w:rsid w:val="00E01CD0"/>
    <w:rsid w:val="00E01DD1"/>
    <w:rsid w:val="00E01F3D"/>
    <w:rsid w:val="00E02224"/>
    <w:rsid w:val="00E02E1B"/>
    <w:rsid w:val="00E030C3"/>
    <w:rsid w:val="00E035E7"/>
    <w:rsid w:val="00E03676"/>
    <w:rsid w:val="00E03AEA"/>
    <w:rsid w:val="00E040C0"/>
    <w:rsid w:val="00E04176"/>
    <w:rsid w:val="00E056C8"/>
    <w:rsid w:val="00E05C34"/>
    <w:rsid w:val="00E05DF9"/>
    <w:rsid w:val="00E05F32"/>
    <w:rsid w:val="00E070D2"/>
    <w:rsid w:val="00E0713E"/>
    <w:rsid w:val="00E07C5C"/>
    <w:rsid w:val="00E10188"/>
    <w:rsid w:val="00E104DB"/>
    <w:rsid w:val="00E10CA8"/>
    <w:rsid w:val="00E10E80"/>
    <w:rsid w:val="00E10F03"/>
    <w:rsid w:val="00E11167"/>
    <w:rsid w:val="00E11504"/>
    <w:rsid w:val="00E11610"/>
    <w:rsid w:val="00E119F1"/>
    <w:rsid w:val="00E121A7"/>
    <w:rsid w:val="00E1252F"/>
    <w:rsid w:val="00E125CA"/>
    <w:rsid w:val="00E1292D"/>
    <w:rsid w:val="00E12C48"/>
    <w:rsid w:val="00E13555"/>
    <w:rsid w:val="00E1370B"/>
    <w:rsid w:val="00E138B9"/>
    <w:rsid w:val="00E13D04"/>
    <w:rsid w:val="00E13D20"/>
    <w:rsid w:val="00E13F28"/>
    <w:rsid w:val="00E14276"/>
    <w:rsid w:val="00E142D0"/>
    <w:rsid w:val="00E1486D"/>
    <w:rsid w:val="00E14E17"/>
    <w:rsid w:val="00E150F8"/>
    <w:rsid w:val="00E1523D"/>
    <w:rsid w:val="00E15630"/>
    <w:rsid w:val="00E15C8E"/>
    <w:rsid w:val="00E15D80"/>
    <w:rsid w:val="00E15F41"/>
    <w:rsid w:val="00E1622B"/>
    <w:rsid w:val="00E1646C"/>
    <w:rsid w:val="00E16A8E"/>
    <w:rsid w:val="00E16F8F"/>
    <w:rsid w:val="00E170AA"/>
    <w:rsid w:val="00E17446"/>
    <w:rsid w:val="00E177E4"/>
    <w:rsid w:val="00E1799F"/>
    <w:rsid w:val="00E17F2D"/>
    <w:rsid w:val="00E1F7B7"/>
    <w:rsid w:val="00E2014B"/>
    <w:rsid w:val="00E2024E"/>
    <w:rsid w:val="00E2032F"/>
    <w:rsid w:val="00E2047E"/>
    <w:rsid w:val="00E20D89"/>
    <w:rsid w:val="00E21494"/>
    <w:rsid w:val="00E21530"/>
    <w:rsid w:val="00E21BD7"/>
    <w:rsid w:val="00E21C53"/>
    <w:rsid w:val="00E22C58"/>
    <w:rsid w:val="00E22E95"/>
    <w:rsid w:val="00E22F47"/>
    <w:rsid w:val="00E2305D"/>
    <w:rsid w:val="00E230C0"/>
    <w:rsid w:val="00E23403"/>
    <w:rsid w:val="00E23738"/>
    <w:rsid w:val="00E237DF"/>
    <w:rsid w:val="00E23F66"/>
    <w:rsid w:val="00E23FDF"/>
    <w:rsid w:val="00E2441B"/>
    <w:rsid w:val="00E2482C"/>
    <w:rsid w:val="00E2487C"/>
    <w:rsid w:val="00E24892"/>
    <w:rsid w:val="00E24A12"/>
    <w:rsid w:val="00E24AD1"/>
    <w:rsid w:val="00E24B70"/>
    <w:rsid w:val="00E24C68"/>
    <w:rsid w:val="00E24E4A"/>
    <w:rsid w:val="00E2508B"/>
    <w:rsid w:val="00E257BF"/>
    <w:rsid w:val="00E25E99"/>
    <w:rsid w:val="00E25EBC"/>
    <w:rsid w:val="00E25F68"/>
    <w:rsid w:val="00E263F1"/>
    <w:rsid w:val="00E265FD"/>
    <w:rsid w:val="00E2675A"/>
    <w:rsid w:val="00E26D2E"/>
    <w:rsid w:val="00E274D7"/>
    <w:rsid w:val="00E2755C"/>
    <w:rsid w:val="00E27B5A"/>
    <w:rsid w:val="00E297CA"/>
    <w:rsid w:val="00E301A7"/>
    <w:rsid w:val="00E30AB0"/>
    <w:rsid w:val="00E30E5B"/>
    <w:rsid w:val="00E32050"/>
    <w:rsid w:val="00E3241A"/>
    <w:rsid w:val="00E324D2"/>
    <w:rsid w:val="00E325E8"/>
    <w:rsid w:val="00E32642"/>
    <w:rsid w:val="00E32F60"/>
    <w:rsid w:val="00E3320F"/>
    <w:rsid w:val="00E3329E"/>
    <w:rsid w:val="00E33361"/>
    <w:rsid w:val="00E33773"/>
    <w:rsid w:val="00E33D36"/>
    <w:rsid w:val="00E33E00"/>
    <w:rsid w:val="00E33E57"/>
    <w:rsid w:val="00E33F1E"/>
    <w:rsid w:val="00E33FD2"/>
    <w:rsid w:val="00E34168"/>
    <w:rsid w:val="00E34218"/>
    <w:rsid w:val="00E345C8"/>
    <w:rsid w:val="00E3469E"/>
    <w:rsid w:val="00E347DE"/>
    <w:rsid w:val="00E3489A"/>
    <w:rsid w:val="00E34A90"/>
    <w:rsid w:val="00E34B38"/>
    <w:rsid w:val="00E3536A"/>
    <w:rsid w:val="00E356EB"/>
    <w:rsid w:val="00E35C33"/>
    <w:rsid w:val="00E364AB"/>
    <w:rsid w:val="00E3674B"/>
    <w:rsid w:val="00E36A3F"/>
    <w:rsid w:val="00E36B69"/>
    <w:rsid w:val="00E36B81"/>
    <w:rsid w:val="00E37160"/>
    <w:rsid w:val="00E375C2"/>
    <w:rsid w:val="00E37790"/>
    <w:rsid w:val="00E37DDA"/>
    <w:rsid w:val="00E37F93"/>
    <w:rsid w:val="00E401B3"/>
    <w:rsid w:val="00E40418"/>
    <w:rsid w:val="00E404E0"/>
    <w:rsid w:val="00E40742"/>
    <w:rsid w:val="00E40929"/>
    <w:rsid w:val="00E40B82"/>
    <w:rsid w:val="00E40CB2"/>
    <w:rsid w:val="00E40F75"/>
    <w:rsid w:val="00E4109D"/>
    <w:rsid w:val="00E41206"/>
    <w:rsid w:val="00E41705"/>
    <w:rsid w:val="00E41C62"/>
    <w:rsid w:val="00E41DCD"/>
    <w:rsid w:val="00E42043"/>
    <w:rsid w:val="00E4226B"/>
    <w:rsid w:val="00E4268C"/>
    <w:rsid w:val="00E426FB"/>
    <w:rsid w:val="00E42A7B"/>
    <w:rsid w:val="00E42C03"/>
    <w:rsid w:val="00E42C5B"/>
    <w:rsid w:val="00E42DCC"/>
    <w:rsid w:val="00E43100"/>
    <w:rsid w:val="00E43261"/>
    <w:rsid w:val="00E43953"/>
    <w:rsid w:val="00E43E02"/>
    <w:rsid w:val="00E43E25"/>
    <w:rsid w:val="00E43E33"/>
    <w:rsid w:val="00E442D7"/>
    <w:rsid w:val="00E44342"/>
    <w:rsid w:val="00E447B8"/>
    <w:rsid w:val="00E45393"/>
    <w:rsid w:val="00E45534"/>
    <w:rsid w:val="00E457E1"/>
    <w:rsid w:val="00E45938"/>
    <w:rsid w:val="00E45BB2"/>
    <w:rsid w:val="00E45F85"/>
    <w:rsid w:val="00E4610D"/>
    <w:rsid w:val="00E46829"/>
    <w:rsid w:val="00E46842"/>
    <w:rsid w:val="00E47891"/>
    <w:rsid w:val="00E479E9"/>
    <w:rsid w:val="00E47A33"/>
    <w:rsid w:val="00E47C3F"/>
    <w:rsid w:val="00E506E6"/>
    <w:rsid w:val="00E50712"/>
    <w:rsid w:val="00E50E6F"/>
    <w:rsid w:val="00E50F52"/>
    <w:rsid w:val="00E510CC"/>
    <w:rsid w:val="00E51C10"/>
    <w:rsid w:val="00E51C17"/>
    <w:rsid w:val="00E52560"/>
    <w:rsid w:val="00E52704"/>
    <w:rsid w:val="00E52A2A"/>
    <w:rsid w:val="00E52C65"/>
    <w:rsid w:val="00E52ECC"/>
    <w:rsid w:val="00E53174"/>
    <w:rsid w:val="00E53754"/>
    <w:rsid w:val="00E53825"/>
    <w:rsid w:val="00E53ADB"/>
    <w:rsid w:val="00E54084"/>
    <w:rsid w:val="00E547D1"/>
    <w:rsid w:val="00E54958"/>
    <w:rsid w:val="00E54DC9"/>
    <w:rsid w:val="00E55063"/>
    <w:rsid w:val="00E5518A"/>
    <w:rsid w:val="00E55929"/>
    <w:rsid w:val="00E55F1B"/>
    <w:rsid w:val="00E56718"/>
    <w:rsid w:val="00E569A6"/>
    <w:rsid w:val="00E56D0C"/>
    <w:rsid w:val="00E56E25"/>
    <w:rsid w:val="00E56F80"/>
    <w:rsid w:val="00E572E8"/>
    <w:rsid w:val="00E57353"/>
    <w:rsid w:val="00E575C7"/>
    <w:rsid w:val="00E57649"/>
    <w:rsid w:val="00E57678"/>
    <w:rsid w:val="00E57AD1"/>
    <w:rsid w:val="00E57C8E"/>
    <w:rsid w:val="00E57DA2"/>
    <w:rsid w:val="00E60453"/>
    <w:rsid w:val="00E6140A"/>
    <w:rsid w:val="00E614ED"/>
    <w:rsid w:val="00E61621"/>
    <w:rsid w:val="00E6181B"/>
    <w:rsid w:val="00E61C48"/>
    <w:rsid w:val="00E61CF6"/>
    <w:rsid w:val="00E6207E"/>
    <w:rsid w:val="00E62112"/>
    <w:rsid w:val="00E62FDB"/>
    <w:rsid w:val="00E634A8"/>
    <w:rsid w:val="00E636B5"/>
    <w:rsid w:val="00E64080"/>
    <w:rsid w:val="00E640BB"/>
    <w:rsid w:val="00E64241"/>
    <w:rsid w:val="00E6432A"/>
    <w:rsid w:val="00E64B07"/>
    <w:rsid w:val="00E64E76"/>
    <w:rsid w:val="00E65252"/>
    <w:rsid w:val="00E657FD"/>
    <w:rsid w:val="00E65F8F"/>
    <w:rsid w:val="00E668C6"/>
    <w:rsid w:val="00E66D47"/>
    <w:rsid w:val="00E67010"/>
    <w:rsid w:val="00E67367"/>
    <w:rsid w:val="00E673E1"/>
    <w:rsid w:val="00E679DF"/>
    <w:rsid w:val="00E67A22"/>
    <w:rsid w:val="00E67ABA"/>
    <w:rsid w:val="00E67C7D"/>
    <w:rsid w:val="00E67E00"/>
    <w:rsid w:val="00E67E7C"/>
    <w:rsid w:val="00E70732"/>
    <w:rsid w:val="00E70CAF"/>
    <w:rsid w:val="00E7160B"/>
    <w:rsid w:val="00E71C1F"/>
    <w:rsid w:val="00E723AB"/>
    <w:rsid w:val="00E72B57"/>
    <w:rsid w:val="00E72C89"/>
    <w:rsid w:val="00E72C99"/>
    <w:rsid w:val="00E736EF"/>
    <w:rsid w:val="00E7381F"/>
    <w:rsid w:val="00E738C0"/>
    <w:rsid w:val="00E73EAE"/>
    <w:rsid w:val="00E742A1"/>
    <w:rsid w:val="00E74647"/>
    <w:rsid w:val="00E74664"/>
    <w:rsid w:val="00E74729"/>
    <w:rsid w:val="00E74EE8"/>
    <w:rsid w:val="00E750FD"/>
    <w:rsid w:val="00E75A19"/>
    <w:rsid w:val="00E7651A"/>
    <w:rsid w:val="00E76CD6"/>
    <w:rsid w:val="00E778C5"/>
    <w:rsid w:val="00E77C20"/>
    <w:rsid w:val="00E77C50"/>
    <w:rsid w:val="00E80010"/>
    <w:rsid w:val="00E801D1"/>
    <w:rsid w:val="00E80335"/>
    <w:rsid w:val="00E80AE7"/>
    <w:rsid w:val="00E80FE6"/>
    <w:rsid w:val="00E813E8"/>
    <w:rsid w:val="00E816C5"/>
    <w:rsid w:val="00E81F4E"/>
    <w:rsid w:val="00E82015"/>
    <w:rsid w:val="00E82064"/>
    <w:rsid w:val="00E82442"/>
    <w:rsid w:val="00E82570"/>
    <w:rsid w:val="00E826A8"/>
    <w:rsid w:val="00E827ED"/>
    <w:rsid w:val="00E8288B"/>
    <w:rsid w:val="00E82926"/>
    <w:rsid w:val="00E82ADA"/>
    <w:rsid w:val="00E82FE5"/>
    <w:rsid w:val="00E8318B"/>
    <w:rsid w:val="00E835C1"/>
    <w:rsid w:val="00E8391B"/>
    <w:rsid w:val="00E83F7B"/>
    <w:rsid w:val="00E8439A"/>
    <w:rsid w:val="00E8457E"/>
    <w:rsid w:val="00E84D71"/>
    <w:rsid w:val="00E8506E"/>
    <w:rsid w:val="00E851BF"/>
    <w:rsid w:val="00E851EA"/>
    <w:rsid w:val="00E856D0"/>
    <w:rsid w:val="00E85929"/>
    <w:rsid w:val="00E85BF7"/>
    <w:rsid w:val="00E85C3C"/>
    <w:rsid w:val="00E85C92"/>
    <w:rsid w:val="00E85F08"/>
    <w:rsid w:val="00E862C8"/>
    <w:rsid w:val="00E86343"/>
    <w:rsid w:val="00E86712"/>
    <w:rsid w:val="00E8751E"/>
    <w:rsid w:val="00E8777C"/>
    <w:rsid w:val="00E879E6"/>
    <w:rsid w:val="00E9025B"/>
    <w:rsid w:val="00E905C1"/>
    <w:rsid w:val="00E906D1"/>
    <w:rsid w:val="00E90825"/>
    <w:rsid w:val="00E91718"/>
    <w:rsid w:val="00E91991"/>
    <w:rsid w:val="00E91EE1"/>
    <w:rsid w:val="00E91FFC"/>
    <w:rsid w:val="00E92136"/>
    <w:rsid w:val="00E92350"/>
    <w:rsid w:val="00E92AED"/>
    <w:rsid w:val="00E939A5"/>
    <w:rsid w:val="00E93ABC"/>
    <w:rsid w:val="00E93B71"/>
    <w:rsid w:val="00E93BB1"/>
    <w:rsid w:val="00E94220"/>
    <w:rsid w:val="00E943C2"/>
    <w:rsid w:val="00E9451D"/>
    <w:rsid w:val="00E94961"/>
    <w:rsid w:val="00E94B66"/>
    <w:rsid w:val="00E94E49"/>
    <w:rsid w:val="00E95369"/>
    <w:rsid w:val="00E95574"/>
    <w:rsid w:val="00E95B91"/>
    <w:rsid w:val="00E95D46"/>
    <w:rsid w:val="00E95EBD"/>
    <w:rsid w:val="00E960EF"/>
    <w:rsid w:val="00E96465"/>
    <w:rsid w:val="00E9682F"/>
    <w:rsid w:val="00E96DE8"/>
    <w:rsid w:val="00E96E72"/>
    <w:rsid w:val="00E96EB1"/>
    <w:rsid w:val="00E972B5"/>
    <w:rsid w:val="00E97EF2"/>
    <w:rsid w:val="00EA08C1"/>
    <w:rsid w:val="00EA0D2F"/>
    <w:rsid w:val="00EA1010"/>
    <w:rsid w:val="00EA128A"/>
    <w:rsid w:val="00EA1582"/>
    <w:rsid w:val="00EA1739"/>
    <w:rsid w:val="00EA19B7"/>
    <w:rsid w:val="00EA1B61"/>
    <w:rsid w:val="00EA1F42"/>
    <w:rsid w:val="00EA2919"/>
    <w:rsid w:val="00EA2960"/>
    <w:rsid w:val="00EA2991"/>
    <w:rsid w:val="00EA2DB0"/>
    <w:rsid w:val="00EA2FBE"/>
    <w:rsid w:val="00EA3020"/>
    <w:rsid w:val="00EA32FC"/>
    <w:rsid w:val="00EA3379"/>
    <w:rsid w:val="00EA38E2"/>
    <w:rsid w:val="00EA3913"/>
    <w:rsid w:val="00EA3D13"/>
    <w:rsid w:val="00EA3EDD"/>
    <w:rsid w:val="00EA3F35"/>
    <w:rsid w:val="00EA4579"/>
    <w:rsid w:val="00EA4862"/>
    <w:rsid w:val="00EA48A1"/>
    <w:rsid w:val="00EA4A49"/>
    <w:rsid w:val="00EA4DD7"/>
    <w:rsid w:val="00EA50CE"/>
    <w:rsid w:val="00EA532D"/>
    <w:rsid w:val="00EA54D1"/>
    <w:rsid w:val="00EA5FA7"/>
    <w:rsid w:val="00EA62F9"/>
    <w:rsid w:val="00EA64E8"/>
    <w:rsid w:val="00EA657C"/>
    <w:rsid w:val="00EA65DE"/>
    <w:rsid w:val="00EA681D"/>
    <w:rsid w:val="00EA683C"/>
    <w:rsid w:val="00EA6DB8"/>
    <w:rsid w:val="00EA71B2"/>
    <w:rsid w:val="00EA7BA8"/>
    <w:rsid w:val="00EA7C0B"/>
    <w:rsid w:val="00EA7D21"/>
    <w:rsid w:val="00EA7E95"/>
    <w:rsid w:val="00EB0154"/>
    <w:rsid w:val="00EB09B6"/>
    <w:rsid w:val="00EB0D04"/>
    <w:rsid w:val="00EB0FA5"/>
    <w:rsid w:val="00EB1061"/>
    <w:rsid w:val="00EB10B3"/>
    <w:rsid w:val="00EB10E8"/>
    <w:rsid w:val="00EB10FA"/>
    <w:rsid w:val="00EB12FF"/>
    <w:rsid w:val="00EB168B"/>
    <w:rsid w:val="00EB1AB4"/>
    <w:rsid w:val="00EB1ACE"/>
    <w:rsid w:val="00EB1C3E"/>
    <w:rsid w:val="00EB2682"/>
    <w:rsid w:val="00EB26A7"/>
    <w:rsid w:val="00EB29DA"/>
    <w:rsid w:val="00EB2C43"/>
    <w:rsid w:val="00EB31CB"/>
    <w:rsid w:val="00EB3340"/>
    <w:rsid w:val="00EB3638"/>
    <w:rsid w:val="00EB3667"/>
    <w:rsid w:val="00EB3ADA"/>
    <w:rsid w:val="00EB3E22"/>
    <w:rsid w:val="00EB3EE8"/>
    <w:rsid w:val="00EB429C"/>
    <w:rsid w:val="00EB42A8"/>
    <w:rsid w:val="00EB435D"/>
    <w:rsid w:val="00EB454E"/>
    <w:rsid w:val="00EB48D9"/>
    <w:rsid w:val="00EB4AE3"/>
    <w:rsid w:val="00EB53D0"/>
    <w:rsid w:val="00EB5449"/>
    <w:rsid w:val="00EB5C6C"/>
    <w:rsid w:val="00EB5EA5"/>
    <w:rsid w:val="00EB6044"/>
    <w:rsid w:val="00EB6648"/>
    <w:rsid w:val="00EB6959"/>
    <w:rsid w:val="00EB695A"/>
    <w:rsid w:val="00EB6AAE"/>
    <w:rsid w:val="00EB6B57"/>
    <w:rsid w:val="00EB6BC3"/>
    <w:rsid w:val="00EB6DA6"/>
    <w:rsid w:val="00EB706C"/>
    <w:rsid w:val="00EB7C22"/>
    <w:rsid w:val="00EB7EB0"/>
    <w:rsid w:val="00EB7F6D"/>
    <w:rsid w:val="00EC0555"/>
    <w:rsid w:val="00EC05BE"/>
    <w:rsid w:val="00EC0B39"/>
    <w:rsid w:val="00EC1CB2"/>
    <w:rsid w:val="00EC2407"/>
    <w:rsid w:val="00EC244F"/>
    <w:rsid w:val="00EC2663"/>
    <w:rsid w:val="00EC2696"/>
    <w:rsid w:val="00EC2A96"/>
    <w:rsid w:val="00EC2C1D"/>
    <w:rsid w:val="00EC2DA0"/>
    <w:rsid w:val="00EC30C7"/>
    <w:rsid w:val="00EC342D"/>
    <w:rsid w:val="00EC38F4"/>
    <w:rsid w:val="00EC3981"/>
    <w:rsid w:val="00EC3D41"/>
    <w:rsid w:val="00EC3E3B"/>
    <w:rsid w:val="00EC3F30"/>
    <w:rsid w:val="00EC430C"/>
    <w:rsid w:val="00EC4B22"/>
    <w:rsid w:val="00EC4CB7"/>
    <w:rsid w:val="00EC5437"/>
    <w:rsid w:val="00EC55E9"/>
    <w:rsid w:val="00EC5A8D"/>
    <w:rsid w:val="00EC5AE2"/>
    <w:rsid w:val="00EC5C5E"/>
    <w:rsid w:val="00EC5C9A"/>
    <w:rsid w:val="00EC5D9F"/>
    <w:rsid w:val="00EC645A"/>
    <w:rsid w:val="00EC66B7"/>
    <w:rsid w:val="00EC69F1"/>
    <w:rsid w:val="00EC6FEF"/>
    <w:rsid w:val="00EC77CD"/>
    <w:rsid w:val="00EC7BA2"/>
    <w:rsid w:val="00EC7ED8"/>
    <w:rsid w:val="00EC7F1C"/>
    <w:rsid w:val="00EC7F9A"/>
    <w:rsid w:val="00ED035E"/>
    <w:rsid w:val="00ED0746"/>
    <w:rsid w:val="00ED07AC"/>
    <w:rsid w:val="00ED0E60"/>
    <w:rsid w:val="00ED15B1"/>
    <w:rsid w:val="00ED21FA"/>
    <w:rsid w:val="00ED2215"/>
    <w:rsid w:val="00ED265D"/>
    <w:rsid w:val="00ED270D"/>
    <w:rsid w:val="00ED3313"/>
    <w:rsid w:val="00ED34F2"/>
    <w:rsid w:val="00ED3866"/>
    <w:rsid w:val="00ED39CA"/>
    <w:rsid w:val="00ED3C25"/>
    <w:rsid w:val="00ED461F"/>
    <w:rsid w:val="00ED47A8"/>
    <w:rsid w:val="00ED4F8F"/>
    <w:rsid w:val="00ED56FD"/>
    <w:rsid w:val="00ED5809"/>
    <w:rsid w:val="00ED589C"/>
    <w:rsid w:val="00ED5CC4"/>
    <w:rsid w:val="00ED6220"/>
    <w:rsid w:val="00ED6869"/>
    <w:rsid w:val="00ED6B69"/>
    <w:rsid w:val="00ED6D60"/>
    <w:rsid w:val="00ED70D0"/>
    <w:rsid w:val="00ED7533"/>
    <w:rsid w:val="00ED7B86"/>
    <w:rsid w:val="00ED7E17"/>
    <w:rsid w:val="00ED7E76"/>
    <w:rsid w:val="00EE02E1"/>
    <w:rsid w:val="00EE053A"/>
    <w:rsid w:val="00EE0722"/>
    <w:rsid w:val="00EE076B"/>
    <w:rsid w:val="00EE07E2"/>
    <w:rsid w:val="00EE09DD"/>
    <w:rsid w:val="00EE0A63"/>
    <w:rsid w:val="00EE0D7B"/>
    <w:rsid w:val="00EE10B7"/>
    <w:rsid w:val="00EE13C9"/>
    <w:rsid w:val="00EE1585"/>
    <w:rsid w:val="00EE1643"/>
    <w:rsid w:val="00EE173E"/>
    <w:rsid w:val="00EE190A"/>
    <w:rsid w:val="00EE212F"/>
    <w:rsid w:val="00EE2362"/>
    <w:rsid w:val="00EE2952"/>
    <w:rsid w:val="00EE2AA2"/>
    <w:rsid w:val="00EE2BEE"/>
    <w:rsid w:val="00EE2CD9"/>
    <w:rsid w:val="00EE2F28"/>
    <w:rsid w:val="00EE38E2"/>
    <w:rsid w:val="00EE3A61"/>
    <w:rsid w:val="00EE4882"/>
    <w:rsid w:val="00EE5815"/>
    <w:rsid w:val="00EE5999"/>
    <w:rsid w:val="00EE5D10"/>
    <w:rsid w:val="00EE5DCF"/>
    <w:rsid w:val="00EE6294"/>
    <w:rsid w:val="00EE67BD"/>
    <w:rsid w:val="00EE6DB3"/>
    <w:rsid w:val="00EE6EC0"/>
    <w:rsid w:val="00EE753C"/>
    <w:rsid w:val="00EE7D0C"/>
    <w:rsid w:val="00EE7DE3"/>
    <w:rsid w:val="00EF0481"/>
    <w:rsid w:val="00EF04AA"/>
    <w:rsid w:val="00EF04DF"/>
    <w:rsid w:val="00EF0723"/>
    <w:rsid w:val="00EF0C13"/>
    <w:rsid w:val="00EF1059"/>
    <w:rsid w:val="00EF1369"/>
    <w:rsid w:val="00EF1482"/>
    <w:rsid w:val="00EF15E9"/>
    <w:rsid w:val="00EF1A9D"/>
    <w:rsid w:val="00EF1C36"/>
    <w:rsid w:val="00EF1CEE"/>
    <w:rsid w:val="00EF1DAB"/>
    <w:rsid w:val="00EF2AEB"/>
    <w:rsid w:val="00EF2F34"/>
    <w:rsid w:val="00EF335F"/>
    <w:rsid w:val="00EF3595"/>
    <w:rsid w:val="00EF3861"/>
    <w:rsid w:val="00EF3AF4"/>
    <w:rsid w:val="00EF47A1"/>
    <w:rsid w:val="00EF4946"/>
    <w:rsid w:val="00EF4A49"/>
    <w:rsid w:val="00EF4AB9"/>
    <w:rsid w:val="00EF4CBC"/>
    <w:rsid w:val="00EF4D6B"/>
    <w:rsid w:val="00EF4D73"/>
    <w:rsid w:val="00EF524E"/>
    <w:rsid w:val="00EF571D"/>
    <w:rsid w:val="00EF5830"/>
    <w:rsid w:val="00EF5B84"/>
    <w:rsid w:val="00EF65D8"/>
    <w:rsid w:val="00EF6ABE"/>
    <w:rsid w:val="00EF775D"/>
    <w:rsid w:val="00EF79A2"/>
    <w:rsid w:val="00EF7D40"/>
    <w:rsid w:val="00EF7E11"/>
    <w:rsid w:val="00F001E1"/>
    <w:rsid w:val="00F0021F"/>
    <w:rsid w:val="00F006B1"/>
    <w:rsid w:val="00F00CA7"/>
    <w:rsid w:val="00F01012"/>
    <w:rsid w:val="00F01B1C"/>
    <w:rsid w:val="00F01F68"/>
    <w:rsid w:val="00F02045"/>
    <w:rsid w:val="00F035AB"/>
    <w:rsid w:val="00F03CCA"/>
    <w:rsid w:val="00F042D4"/>
    <w:rsid w:val="00F04514"/>
    <w:rsid w:val="00F04841"/>
    <w:rsid w:val="00F049F0"/>
    <w:rsid w:val="00F0532B"/>
    <w:rsid w:val="00F0590F"/>
    <w:rsid w:val="00F05994"/>
    <w:rsid w:val="00F059F3"/>
    <w:rsid w:val="00F05E8D"/>
    <w:rsid w:val="00F05EBA"/>
    <w:rsid w:val="00F0637D"/>
    <w:rsid w:val="00F067E2"/>
    <w:rsid w:val="00F06A4F"/>
    <w:rsid w:val="00F0708F"/>
    <w:rsid w:val="00F07453"/>
    <w:rsid w:val="00F07833"/>
    <w:rsid w:val="00F07930"/>
    <w:rsid w:val="00F07D13"/>
    <w:rsid w:val="00F07D77"/>
    <w:rsid w:val="00F08DA8"/>
    <w:rsid w:val="00F100C5"/>
    <w:rsid w:val="00F10653"/>
    <w:rsid w:val="00F10794"/>
    <w:rsid w:val="00F10E90"/>
    <w:rsid w:val="00F10F1D"/>
    <w:rsid w:val="00F11121"/>
    <w:rsid w:val="00F112BB"/>
    <w:rsid w:val="00F11419"/>
    <w:rsid w:val="00F115C1"/>
    <w:rsid w:val="00F11B09"/>
    <w:rsid w:val="00F12B2B"/>
    <w:rsid w:val="00F13259"/>
    <w:rsid w:val="00F13342"/>
    <w:rsid w:val="00F1356F"/>
    <w:rsid w:val="00F139E5"/>
    <w:rsid w:val="00F13B8E"/>
    <w:rsid w:val="00F13E3B"/>
    <w:rsid w:val="00F14028"/>
    <w:rsid w:val="00F140E1"/>
    <w:rsid w:val="00F14AF8"/>
    <w:rsid w:val="00F14F9D"/>
    <w:rsid w:val="00F14FF5"/>
    <w:rsid w:val="00F159E0"/>
    <w:rsid w:val="00F164EA"/>
    <w:rsid w:val="00F16666"/>
    <w:rsid w:val="00F166C1"/>
    <w:rsid w:val="00F16ADC"/>
    <w:rsid w:val="00F17371"/>
    <w:rsid w:val="00F17436"/>
    <w:rsid w:val="00F17515"/>
    <w:rsid w:val="00F177C5"/>
    <w:rsid w:val="00F17B88"/>
    <w:rsid w:val="00F17E52"/>
    <w:rsid w:val="00F204DB"/>
    <w:rsid w:val="00F21104"/>
    <w:rsid w:val="00F21219"/>
    <w:rsid w:val="00F2151A"/>
    <w:rsid w:val="00F217FE"/>
    <w:rsid w:val="00F21C3C"/>
    <w:rsid w:val="00F22194"/>
    <w:rsid w:val="00F221A5"/>
    <w:rsid w:val="00F22BEE"/>
    <w:rsid w:val="00F22CDA"/>
    <w:rsid w:val="00F22D11"/>
    <w:rsid w:val="00F2338B"/>
    <w:rsid w:val="00F233F7"/>
    <w:rsid w:val="00F23792"/>
    <w:rsid w:val="00F23893"/>
    <w:rsid w:val="00F238F2"/>
    <w:rsid w:val="00F23926"/>
    <w:rsid w:val="00F23998"/>
    <w:rsid w:val="00F24817"/>
    <w:rsid w:val="00F250DA"/>
    <w:rsid w:val="00F25124"/>
    <w:rsid w:val="00F25140"/>
    <w:rsid w:val="00F25360"/>
    <w:rsid w:val="00F25537"/>
    <w:rsid w:val="00F25841"/>
    <w:rsid w:val="00F25FE3"/>
    <w:rsid w:val="00F261EC"/>
    <w:rsid w:val="00F261F5"/>
    <w:rsid w:val="00F2669F"/>
    <w:rsid w:val="00F26ACF"/>
    <w:rsid w:val="00F26E8B"/>
    <w:rsid w:val="00F278A4"/>
    <w:rsid w:val="00F279FF"/>
    <w:rsid w:val="00F27DC6"/>
    <w:rsid w:val="00F300C3"/>
    <w:rsid w:val="00F303C4"/>
    <w:rsid w:val="00F311AA"/>
    <w:rsid w:val="00F3149D"/>
    <w:rsid w:val="00F3185A"/>
    <w:rsid w:val="00F3223B"/>
    <w:rsid w:val="00F322DB"/>
    <w:rsid w:val="00F322F0"/>
    <w:rsid w:val="00F32546"/>
    <w:rsid w:val="00F326AC"/>
    <w:rsid w:val="00F3272B"/>
    <w:rsid w:val="00F3278F"/>
    <w:rsid w:val="00F3298A"/>
    <w:rsid w:val="00F32CC3"/>
    <w:rsid w:val="00F33266"/>
    <w:rsid w:val="00F333DB"/>
    <w:rsid w:val="00F333E3"/>
    <w:rsid w:val="00F33413"/>
    <w:rsid w:val="00F33B11"/>
    <w:rsid w:val="00F33F88"/>
    <w:rsid w:val="00F34AC1"/>
    <w:rsid w:val="00F34ACA"/>
    <w:rsid w:val="00F34B59"/>
    <w:rsid w:val="00F34D38"/>
    <w:rsid w:val="00F34FDD"/>
    <w:rsid w:val="00F35128"/>
    <w:rsid w:val="00F358E2"/>
    <w:rsid w:val="00F35D14"/>
    <w:rsid w:val="00F35FA0"/>
    <w:rsid w:val="00F368F9"/>
    <w:rsid w:val="00F36DEE"/>
    <w:rsid w:val="00F36E36"/>
    <w:rsid w:val="00F37115"/>
    <w:rsid w:val="00F37149"/>
    <w:rsid w:val="00F37DB3"/>
    <w:rsid w:val="00F402B2"/>
    <w:rsid w:val="00F4038C"/>
    <w:rsid w:val="00F40A3F"/>
    <w:rsid w:val="00F40C53"/>
    <w:rsid w:val="00F41335"/>
    <w:rsid w:val="00F41643"/>
    <w:rsid w:val="00F41A7F"/>
    <w:rsid w:val="00F41C8D"/>
    <w:rsid w:val="00F42011"/>
    <w:rsid w:val="00F42228"/>
    <w:rsid w:val="00F42828"/>
    <w:rsid w:val="00F432EC"/>
    <w:rsid w:val="00F439D9"/>
    <w:rsid w:val="00F43BD9"/>
    <w:rsid w:val="00F440DA"/>
    <w:rsid w:val="00F441FB"/>
    <w:rsid w:val="00F4437C"/>
    <w:rsid w:val="00F4471A"/>
    <w:rsid w:val="00F45CDB"/>
    <w:rsid w:val="00F45DAE"/>
    <w:rsid w:val="00F45EB4"/>
    <w:rsid w:val="00F45ED4"/>
    <w:rsid w:val="00F46564"/>
    <w:rsid w:val="00F466DA"/>
    <w:rsid w:val="00F46A35"/>
    <w:rsid w:val="00F46F2B"/>
    <w:rsid w:val="00F470A3"/>
    <w:rsid w:val="00F47149"/>
    <w:rsid w:val="00F47C78"/>
    <w:rsid w:val="00F47E37"/>
    <w:rsid w:val="00F50260"/>
    <w:rsid w:val="00F5098F"/>
    <w:rsid w:val="00F50B7A"/>
    <w:rsid w:val="00F51CDD"/>
    <w:rsid w:val="00F51EBF"/>
    <w:rsid w:val="00F51F5A"/>
    <w:rsid w:val="00F520FF"/>
    <w:rsid w:val="00F5244D"/>
    <w:rsid w:val="00F526E0"/>
    <w:rsid w:val="00F52801"/>
    <w:rsid w:val="00F52DC7"/>
    <w:rsid w:val="00F52EF8"/>
    <w:rsid w:val="00F53057"/>
    <w:rsid w:val="00F534A7"/>
    <w:rsid w:val="00F53598"/>
    <w:rsid w:val="00F536C3"/>
    <w:rsid w:val="00F53DB5"/>
    <w:rsid w:val="00F54005"/>
    <w:rsid w:val="00F541F9"/>
    <w:rsid w:val="00F54342"/>
    <w:rsid w:val="00F54535"/>
    <w:rsid w:val="00F545A1"/>
    <w:rsid w:val="00F54699"/>
    <w:rsid w:val="00F546E9"/>
    <w:rsid w:val="00F54760"/>
    <w:rsid w:val="00F548BA"/>
    <w:rsid w:val="00F54A71"/>
    <w:rsid w:val="00F54B6B"/>
    <w:rsid w:val="00F54C5E"/>
    <w:rsid w:val="00F54F70"/>
    <w:rsid w:val="00F551E8"/>
    <w:rsid w:val="00F55213"/>
    <w:rsid w:val="00F554A3"/>
    <w:rsid w:val="00F55508"/>
    <w:rsid w:val="00F55AF9"/>
    <w:rsid w:val="00F55B64"/>
    <w:rsid w:val="00F55F75"/>
    <w:rsid w:val="00F55FF2"/>
    <w:rsid w:val="00F5602B"/>
    <w:rsid w:val="00F5622A"/>
    <w:rsid w:val="00F562AE"/>
    <w:rsid w:val="00F568BC"/>
    <w:rsid w:val="00F56D35"/>
    <w:rsid w:val="00F5712D"/>
    <w:rsid w:val="00F571FC"/>
    <w:rsid w:val="00F5720B"/>
    <w:rsid w:val="00F57543"/>
    <w:rsid w:val="00F576E0"/>
    <w:rsid w:val="00F57C82"/>
    <w:rsid w:val="00F57E41"/>
    <w:rsid w:val="00F57F8D"/>
    <w:rsid w:val="00F6032E"/>
    <w:rsid w:val="00F60562"/>
    <w:rsid w:val="00F60803"/>
    <w:rsid w:val="00F60AEB"/>
    <w:rsid w:val="00F60B10"/>
    <w:rsid w:val="00F60DD1"/>
    <w:rsid w:val="00F60F89"/>
    <w:rsid w:val="00F612E5"/>
    <w:rsid w:val="00F61322"/>
    <w:rsid w:val="00F61426"/>
    <w:rsid w:val="00F61537"/>
    <w:rsid w:val="00F615E0"/>
    <w:rsid w:val="00F61913"/>
    <w:rsid w:val="00F61DCE"/>
    <w:rsid w:val="00F61DD8"/>
    <w:rsid w:val="00F621E6"/>
    <w:rsid w:val="00F62240"/>
    <w:rsid w:val="00F62493"/>
    <w:rsid w:val="00F62765"/>
    <w:rsid w:val="00F6285A"/>
    <w:rsid w:val="00F62D36"/>
    <w:rsid w:val="00F63008"/>
    <w:rsid w:val="00F63651"/>
    <w:rsid w:val="00F63667"/>
    <w:rsid w:val="00F641BB"/>
    <w:rsid w:val="00F64321"/>
    <w:rsid w:val="00F646E8"/>
    <w:rsid w:val="00F64730"/>
    <w:rsid w:val="00F64981"/>
    <w:rsid w:val="00F64DA9"/>
    <w:rsid w:val="00F65E5E"/>
    <w:rsid w:val="00F66339"/>
    <w:rsid w:val="00F6691B"/>
    <w:rsid w:val="00F669CA"/>
    <w:rsid w:val="00F6744C"/>
    <w:rsid w:val="00F67561"/>
    <w:rsid w:val="00F67730"/>
    <w:rsid w:val="00F67960"/>
    <w:rsid w:val="00F67BCA"/>
    <w:rsid w:val="00F7027E"/>
    <w:rsid w:val="00F70B7A"/>
    <w:rsid w:val="00F70F41"/>
    <w:rsid w:val="00F7141E"/>
    <w:rsid w:val="00F71629"/>
    <w:rsid w:val="00F71659"/>
    <w:rsid w:val="00F7173F"/>
    <w:rsid w:val="00F71ABD"/>
    <w:rsid w:val="00F71F32"/>
    <w:rsid w:val="00F721B4"/>
    <w:rsid w:val="00F721D4"/>
    <w:rsid w:val="00F722A8"/>
    <w:rsid w:val="00F72617"/>
    <w:rsid w:val="00F72EA9"/>
    <w:rsid w:val="00F73264"/>
    <w:rsid w:val="00F735A9"/>
    <w:rsid w:val="00F73A6A"/>
    <w:rsid w:val="00F74059"/>
    <w:rsid w:val="00F74136"/>
    <w:rsid w:val="00F74226"/>
    <w:rsid w:val="00F74567"/>
    <w:rsid w:val="00F74B75"/>
    <w:rsid w:val="00F74D3F"/>
    <w:rsid w:val="00F74EA5"/>
    <w:rsid w:val="00F75280"/>
    <w:rsid w:val="00F7535C"/>
    <w:rsid w:val="00F75362"/>
    <w:rsid w:val="00F75456"/>
    <w:rsid w:val="00F75510"/>
    <w:rsid w:val="00F75988"/>
    <w:rsid w:val="00F75A90"/>
    <w:rsid w:val="00F75D54"/>
    <w:rsid w:val="00F75D86"/>
    <w:rsid w:val="00F76118"/>
    <w:rsid w:val="00F7618F"/>
    <w:rsid w:val="00F7684F"/>
    <w:rsid w:val="00F76A86"/>
    <w:rsid w:val="00F76DC1"/>
    <w:rsid w:val="00F7709B"/>
    <w:rsid w:val="00F77138"/>
    <w:rsid w:val="00F7748D"/>
    <w:rsid w:val="00F77491"/>
    <w:rsid w:val="00F777B7"/>
    <w:rsid w:val="00F77A1C"/>
    <w:rsid w:val="00F77D78"/>
    <w:rsid w:val="00F800B1"/>
    <w:rsid w:val="00F801A5"/>
    <w:rsid w:val="00F8025D"/>
    <w:rsid w:val="00F8037B"/>
    <w:rsid w:val="00F804F3"/>
    <w:rsid w:val="00F80C56"/>
    <w:rsid w:val="00F8116D"/>
    <w:rsid w:val="00F81E05"/>
    <w:rsid w:val="00F82487"/>
    <w:rsid w:val="00F82DFB"/>
    <w:rsid w:val="00F82F05"/>
    <w:rsid w:val="00F835AC"/>
    <w:rsid w:val="00F83938"/>
    <w:rsid w:val="00F83C7B"/>
    <w:rsid w:val="00F83EFA"/>
    <w:rsid w:val="00F8400B"/>
    <w:rsid w:val="00F844BC"/>
    <w:rsid w:val="00F84B94"/>
    <w:rsid w:val="00F84ED4"/>
    <w:rsid w:val="00F84FAD"/>
    <w:rsid w:val="00F85125"/>
    <w:rsid w:val="00F85A0D"/>
    <w:rsid w:val="00F85E41"/>
    <w:rsid w:val="00F85E51"/>
    <w:rsid w:val="00F86626"/>
    <w:rsid w:val="00F86A69"/>
    <w:rsid w:val="00F86ACC"/>
    <w:rsid w:val="00F86DDD"/>
    <w:rsid w:val="00F8706B"/>
    <w:rsid w:val="00F876D4"/>
    <w:rsid w:val="00F87BAE"/>
    <w:rsid w:val="00F87DCA"/>
    <w:rsid w:val="00F87E29"/>
    <w:rsid w:val="00F87FFC"/>
    <w:rsid w:val="00F90165"/>
    <w:rsid w:val="00F904EA"/>
    <w:rsid w:val="00F9086B"/>
    <w:rsid w:val="00F90CC8"/>
    <w:rsid w:val="00F912B1"/>
    <w:rsid w:val="00F912C9"/>
    <w:rsid w:val="00F914CD"/>
    <w:rsid w:val="00F916D8"/>
    <w:rsid w:val="00F91980"/>
    <w:rsid w:val="00F91F4C"/>
    <w:rsid w:val="00F929D0"/>
    <w:rsid w:val="00F9323C"/>
    <w:rsid w:val="00F93344"/>
    <w:rsid w:val="00F93637"/>
    <w:rsid w:val="00F9367D"/>
    <w:rsid w:val="00F9391F"/>
    <w:rsid w:val="00F93971"/>
    <w:rsid w:val="00F93FA8"/>
    <w:rsid w:val="00F942E5"/>
    <w:rsid w:val="00F943E7"/>
    <w:rsid w:val="00F944BD"/>
    <w:rsid w:val="00F94621"/>
    <w:rsid w:val="00F94673"/>
    <w:rsid w:val="00F94842"/>
    <w:rsid w:val="00F94C04"/>
    <w:rsid w:val="00F94E56"/>
    <w:rsid w:val="00F94F15"/>
    <w:rsid w:val="00F95B9D"/>
    <w:rsid w:val="00F9615C"/>
    <w:rsid w:val="00F96238"/>
    <w:rsid w:val="00F96A5A"/>
    <w:rsid w:val="00F9773B"/>
    <w:rsid w:val="00F97874"/>
    <w:rsid w:val="00F97AD2"/>
    <w:rsid w:val="00F97B16"/>
    <w:rsid w:val="00F97B67"/>
    <w:rsid w:val="00F97D40"/>
    <w:rsid w:val="00F97F97"/>
    <w:rsid w:val="00FA01F4"/>
    <w:rsid w:val="00FA0458"/>
    <w:rsid w:val="00FA05AA"/>
    <w:rsid w:val="00FA0724"/>
    <w:rsid w:val="00FA07B2"/>
    <w:rsid w:val="00FA0CD2"/>
    <w:rsid w:val="00FA0ECB"/>
    <w:rsid w:val="00FA0FD6"/>
    <w:rsid w:val="00FA103E"/>
    <w:rsid w:val="00FA1073"/>
    <w:rsid w:val="00FA1638"/>
    <w:rsid w:val="00FA1A5C"/>
    <w:rsid w:val="00FA1E64"/>
    <w:rsid w:val="00FA26F0"/>
    <w:rsid w:val="00FA2CDF"/>
    <w:rsid w:val="00FA2ECE"/>
    <w:rsid w:val="00FA34A4"/>
    <w:rsid w:val="00FA3504"/>
    <w:rsid w:val="00FA3A2A"/>
    <w:rsid w:val="00FA3C4E"/>
    <w:rsid w:val="00FA3CF3"/>
    <w:rsid w:val="00FA4354"/>
    <w:rsid w:val="00FA4380"/>
    <w:rsid w:val="00FA4755"/>
    <w:rsid w:val="00FA5395"/>
    <w:rsid w:val="00FA5AF4"/>
    <w:rsid w:val="00FA5EC3"/>
    <w:rsid w:val="00FA5EE9"/>
    <w:rsid w:val="00FA601A"/>
    <w:rsid w:val="00FA66B3"/>
    <w:rsid w:val="00FA6859"/>
    <w:rsid w:val="00FA690C"/>
    <w:rsid w:val="00FA6A91"/>
    <w:rsid w:val="00FA6B2C"/>
    <w:rsid w:val="00FA79B8"/>
    <w:rsid w:val="00FA7ED6"/>
    <w:rsid w:val="00FB0163"/>
    <w:rsid w:val="00FB0B19"/>
    <w:rsid w:val="00FB1090"/>
    <w:rsid w:val="00FB12AF"/>
    <w:rsid w:val="00FB1597"/>
    <w:rsid w:val="00FB15E8"/>
    <w:rsid w:val="00FB160C"/>
    <w:rsid w:val="00FB17B1"/>
    <w:rsid w:val="00FB1856"/>
    <w:rsid w:val="00FB19C8"/>
    <w:rsid w:val="00FB1A0C"/>
    <w:rsid w:val="00FB1BDC"/>
    <w:rsid w:val="00FB1BEA"/>
    <w:rsid w:val="00FB1D01"/>
    <w:rsid w:val="00FB1E45"/>
    <w:rsid w:val="00FB1F39"/>
    <w:rsid w:val="00FB24D4"/>
    <w:rsid w:val="00FB2520"/>
    <w:rsid w:val="00FB283B"/>
    <w:rsid w:val="00FB304A"/>
    <w:rsid w:val="00FB374F"/>
    <w:rsid w:val="00FB3E35"/>
    <w:rsid w:val="00FB413A"/>
    <w:rsid w:val="00FB4857"/>
    <w:rsid w:val="00FB4944"/>
    <w:rsid w:val="00FB4BFD"/>
    <w:rsid w:val="00FB4DAB"/>
    <w:rsid w:val="00FB55B3"/>
    <w:rsid w:val="00FB55D0"/>
    <w:rsid w:val="00FB641E"/>
    <w:rsid w:val="00FB65C8"/>
    <w:rsid w:val="00FB66D9"/>
    <w:rsid w:val="00FB674A"/>
    <w:rsid w:val="00FB6ACC"/>
    <w:rsid w:val="00FB6FB6"/>
    <w:rsid w:val="00FB7401"/>
    <w:rsid w:val="00FB79BD"/>
    <w:rsid w:val="00FB7CD7"/>
    <w:rsid w:val="00FC0457"/>
    <w:rsid w:val="00FC04D6"/>
    <w:rsid w:val="00FC0698"/>
    <w:rsid w:val="00FC07C0"/>
    <w:rsid w:val="00FC07FB"/>
    <w:rsid w:val="00FC08C0"/>
    <w:rsid w:val="00FC0A31"/>
    <w:rsid w:val="00FC0F66"/>
    <w:rsid w:val="00FC150D"/>
    <w:rsid w:val="00FC1D18"/>
    <w:rsid w:val="00FC1D31"/>
    <w:rsid w:val="00FC22A3"/>
    <w:rsid w:val="00FC24F0"/>
    <w:rsid w:val="00FC2BAE"/>
    <w:rsid w:val="00FC2C93"/>
    <w:rsid w:val="00FC2D9F"/>
    <w:rsid w:val="00FC319C"/>
    <w:rsid w:val="00FC3918"/>
    <w:rsid w:val="00FC3919"/>
    <w:rsid w:val="00FC3C01"/>
    <w:rsid w:val="00FC3E5F"/>
    <w:rsid w:val="00FC4235"/>
    <w:rsid w:val="00FC462C"/>
    <w:rsid w:val="00FC4D93"/>
    <w:rsid w:val="00FC5360"/>
    <w:rsid w:val="00FC5435"/>
    <w:rsid w:val="00FC547B"/>
    <w:rsid w:val="00FC5739"/>
    <w:rsid w:val="00FC58F5"/>
    <w:rsid w:val="00FC5B7C"/>
    <w:rsid w:val="00FC5FE8"/>
    <w:rsid w:val="00FC6A23"/>
    <w:rsid w:val="00FC6AF5"/>
    <w:rsid w:val="00FC6BB1"/>
    <w:rsid w:val="00FC6DFA"/>
    <w:rsid w:val="00FC7026"/>
    <w:rsid w:val="00FC72A1"/>
    <w:rsid w:val="00FC75D6"/>
    <w:rsid w:val="00FC779A"/>
    <w:rsid w:val="00FC7A2D"/>
    <w:rsid w:val="00FC7B05"/>
    <w:rsid w:val="00FC7DB6"/>
    <w:rsid w:val="00FD00DA"/>
    <w:rsid w:val="00FD03B5"/>
    <w:rsid w:val="00FD0580"/>
    <w:rsid w:val="00FD0984"/>
    <w:rsid w:val="00FD0AB1"/>
    <w:rsid w:val="00FD0CED"/>
    <w:rsid w:val="00FD0DCE"/>
    <w:rsid w:val="00FD0F29"/>
    <w:rsid w:val="00FD13AA"/>
    <w:rsid w:val="00FD17EE"/>
    <w:rsid w:val="00FD1DE6"/>
    <w:rsid w:val="00FD1E08"/>
    <w:rsid w:val="00FD20BC"/>
    <w:rsid w:val="00FD228F"/>
    <w:rsid w:val="00FD2431"/>
    <w:rsid w:val="00FD2DDF"/>
    <w:rsid w:val="00FD2E2A"/>
    <w:rsid w:val="00FD3007"/>
    <w:rsid w:val="00FD3165"/>
    <w:rsid w:val="00FD34AF"/>
    <w:rsid w:val="00FD3856"/>
    <w:rsid w:val="00FD38DD"/>
    <w:rsid w:val="00FD3C47"/>
    <w:rsid w:val="00FD47A5"/>
    <w:rsid w:val="00FD5680"/>
    <w:rsid w:val="00FD57A9"/>
    <w:rsid w:val="00FD6184"/>
    <w:rsid w:val="00FD61C1"/>
    <w:rsid w:val="00FD623A"/>
    <w:rsid w:val="00FD6443"/>
    <w:rsid w:val="00FD6532"/>
    <w:rsid w:val="00FD66B9"/>
    <w:rsid w:val="00FD7210"/>
    <w:rsid w:val="00FD7473"/>
    <w:rsid w:val="00FD7F29"/>
    <w:rsid w:val="00FE0368"/>
    <w:rsid w:val="00FE039D"/>
    <w:rsid w:val="00FE0B5C"/>
    <w:rsid w:val="00FE0F79"/>
    <w:rsid w:val="00FE10E7"/>
    <w:rsid w:val="00FE12DF"/>
    <w:rsid w:val="00FE1ADC"/>
    <w:rsid w:val="00FE1BF0"/>
    <w:rsid w:val="00FE21CB"/>
    <w:rsid w:val="00FE2BE1"/>
    <w:rsid w:val="00FE2DA7"/>
    <w:rsid w:val="00FE2E17"/>
    <w:rsid w:val="00FE2F53"/>
    <w:rsid w:val="00FE30CD"/>
    <w:rsid w:val="00FE320E"/>
    <w:rsid w:val="00FE3355"/>
    <w:rsid w:val="00FE3562"/>
    <w:rsid w:val="00FE3A2B"/>
    <w:rsid w:val="00FE3F2F"/>
    <w:rsid w:val="00FE421C"/>
    <w:rsid w:val="00FE4597"/>
    <w:rsid w:val="00FE4DBA"/>
    <w:rsid w:val="00FE531C"/>
    <w:rsid w:val="00FE544C"/>
    <w:rsid w:val="00FE54DE"/>
    <w:rsid w:val="00FE58F8"/>
    <w:rsid w:val="00FE5CF1"/>
    <w:rsid w:val="00FE5E33"/>
    <w:rsid w:val="00FE6871"/>
    <w:rsid w:val="00FE6C5B"/>
    <w:rsid w:val="00FE7306"/>
    <w:rsid w:val="00FE7371"/>
    <w:rsid w:val="00FE737C"/>
    <w:rsid w:val="00FE73BA"/>
    <w:rsid w:val="00FE7759"/>
    <w:rsid w:val="00FE7908"/>
    <w:rsid w:val="00FE7E89"/>
    <w:rsid w:val="00FE7F06"/>
    <w:rsid w:val="00FF009C"/>
    <w:rsid w:val="00FF05AF"/>
    <w:rsid w:val="00FF0607"/>
    <w:rsid w:val="00FF0BC4"/>
    <w:rsid w:val="00FF0C8F"/>
    <w:rsid w:val="00FF1297"/>
    <w:rsid w:val="00FF144B"/>
    <w:rsid w:val="00FF15F1"/>
    <w:rsid w:val="00FF1823"/>
    <w:rsid w:val="00FF19E7"/>
    <w:rsid w:val="00FF1A12"/>
    <w:rsid w:val="00FF1B11"/>
    <w:rsid w:val="00FF1F9E"/>
    <w:rsid w:val="00FF1FBD"/>
    <w:rsid w:val="00FF2711"/>
    <w:rsid w:val="00FF2D39"/>
    <w:rsid w:val="00FF3021"/>
    <w:rsid w:val="00FF3AD4"/>
    <w:rsid w:val="00FF3E97"/>
    <w:rsid w:val="00FF3FAB"/>
    <w:rsid w:val="00FF3FE2"/>
    <w:rsid w:val="00FF442F"/>
    <w:rsid w:val="00FF44C7"/>
    <w:rsid w:val="00FF48D7"/>
    <w:rsid w:val="00FF49F2"/>
    <w:rsid w:val="00FF4C39"/>
    <w:rsid w:val="00FF527B"/>
    <w:rsid w:val="00FF53D2"/>
    <w:rsid w:val="00FF553A"/>
    <w:rsid w:val="00FF5AD2"/>
    <w:rsid w:val="00FF5BE7"/>
    <w:rsid w:val="00FF69A3"/>
    <w:rsid w:val="00FF6AC6"/>
    <w:rsid w:val="00FF6C77"/>
    <w:rsid w:val="00FF6D6D"/>
    <w:rsid w:val="00FFCDA3"/>
    <w:rsid w:val="010657F9"/>
    <w:rsid w:val="010AC081"/>
    <w:rsid w:val="0123BCE0"/>
    <w:rsid w:val="012ABA13"/>
    <w:rsid w:val="012B3ECC"/>
    <w:rsid w:val="012D6A43"/>
    <w:rsid w:val="01348DE1"/>
    <w:rsid w:val="0136BD10"/>
    <w:rsid w:val="0144406F"/>
    <w:rsid w:val="015E3EB9"/>
    <w:rsid w:val="01684835"/>
    <w:rsid w:val="01716A4D"/>
    <w:rsid w:val="01781986"/>
    <w:rsid w:val="01787A3D"/>
    <w:rsid w:val="017E34A0"/>
    <w:rsid w:val="017E7B94"/>
    <w:rsid w:val="017EA3E3"/>
    <w:rsid w:val="0188024F"/>
    <w:rsid w:val="018F4DA3"/>
    <w:rsid w:val="01A15B56"/>
    <w:rsid w:val="01A5A1E1"/>
    <w:rsid w:val="01A70ED9"/>
    <w:rsid w:val="01AD451C"/>
    <w:rsid w:val="01AE48DB"/>
    <w:rsid w:val="01B31366"/>
    <w:rsid w:val="01B43587"/>
    <w:rsid w:val="01B5C9D4"/>
    <w:rsid w:val="01C3E687"/>
    <w:rsid w:val="01DF8EE3"/>
    <w:rsid w:val="01DFF30C"/>
    <w:rsid w:val="01E246BD"/>
    <w:rsid w:val="01E91A98"/>
    <w:rsid w:val="01E99260"/>
    <w:rsid w:val="01F6DEF9"/>
    <w:rsid w:val="01F7067A"/>
    <w:rsid w:val="01F7C5B9"/>
    <w:rsid w:val="01FF88A4"/>
    <w:rsid w:val="020F9207"/>
    <w:rsid w:val="02130E72"/>
    <w:rsid w:val="0222F249"/>
    <w:rsid w:val="0226A259"/>
    <w:rsid w:val="02279A3F"/>
    <w:rsid w:val="022B494E"/>
    <w:rsid w:val="02325FC0"/>
    <w:rsid w:val="0247ECCD"/>
    <w:rsid w:val="024973DB"/>
    <w:rsid w:val="024C9CB1"/>
    <w:rsid w:val="0265821D"/>
    <w:rsid w:val="02677AB4"/>
    <w:rsid w:val="026DA1B3"/>
    <w:rsid w:val="0272CE62"/>
    <w:rsid w:val="02761A45"/>
    <w:rsid w:val="0278D139"/>
    <w:rsid w:val="027A5361"/>
    <w:rsid w:val="027C68A1"/>
    <w:rsid w:val="02829E3C"/>
    <w:rsid w:val="02915CB2"/>
    <w:rsid w:val="029AFBF6"/>
    <w:rsid w:val="029BDA82"/>
    <w:rsid w:val="02A220D4"/>
    <w:rsid w:val="02A86657"/>
    <w:rsid w:val="02AD51F6"/>
    <w:rsid w:val="02B3C356"/>
    <w:rsid w:val="02B98D61"/>
    <w:rsid w:val="02BA8F1B"/>
    <w:rsid w:val="02C9CA84"/>
    <w:rsid w:val="02CB3D1B"/>
    <w:rsid w:val="02D1BB74"/>
    <w:rsid w:val="02D85783"/>
    <w:rsid w:val="02DB893E"/>
    <w:rsid w:val="02E2604B"/>
    <w:rsid w:val="02F19BEE"/>
    <w:rsid w:val="02F6484E"/>
    <w:rsid w:val="02FCE3AE"/>
    <w:rsid w:val="03047E38"/>
    <w:rsid w:val="03139966"/>
    <w:rsid w:val="031FE139"/>
    <w:rsid w:val="0322F9AF"/>
    <w:rsid w:val="03272DDE"/>
    <w:rsid w:val="032B9CFC"/>
    <w:rsid w:val="032BB4A3"/>
    <w:rsid w:val="033D6CEA"/>
    <w:rsid w:val="03401622"/>
    <w:rsid w:val="034962AC"/>
    <w:rsid w:val="034AA11C"/>
    <w:rsid w:val="034AC93D"/>
    <w:rsid w:val="0355D744"/>
    <w:rsid w:val="0359287E"/>
    <w:rsid w:val="036450FF"/>
    <w:rsid w:val="03645B25"/>
    <w:rsid w:val="03679A7F"/>
    <w:rsid w:val="036F1C9B"/>
    <w:rsid w:val="03709FFF"/>
    <w:rsid w:val="03787099"/>
    <w:rsid w:val="037C39D7"/>
    <w:rsid w:val="037DBD94"/>
    <w:rsid w:val="0383B092"/>
    <w:rsid w:val="03860599"/>
    <w:rsid w:val="0396C7F9"/>
    <w:rsid w:val="03977827"/>
    <w:rsid w:val="03A314F8"/>
    <w:rsid w:val="03A8841F"/>
    <w:rsid w:val="03B3BF73"/>
    <w:rsid w:val="03BD456E"/>
    <w:rsid w:val="03BE7B67"/>
    <w:rsid w:val="03C64846"/>
    <w:rsid w:val="03D60653"/>
    <w:rsid w:val="03DAADF0"/>
    <w:rsid w:val="03F48404"/>
    <w:rsid w:val="03F5BD30"/>
    <w:rsid w:val="03F605E9"/>
    <w:rsid w:val="03F89E75"/>
    <w:rsid w:val="03FA830A"/>
    <w:rsid w:val="03FEC104"/>
    <w:rsid w:val="0401FE91"/>
    <w:rsid w:val="040627B5"/>
    <w:rsid w:val="0413B10E"/>
    <w:rsid w:val="0424E9C7"/>
    <w:rsid w:val="043C3596"/>
    <w:rsid w:val="043E5CE2"/>
    <w:rsid w:val="043FB95C"/>
    <w:rsid w:val="044310B7"/>
    <w:rsid w:val="045796C0"/>
    <w:rsid w:val="04630BF5"/>
    <w:rsid w:val="0470C31E"/>
    <w:rsid w:val="04739ED6"/>
    <w:rsid w:val="04753D0F"/>
    <w:rsid w:val="0476242E"/>
    <w:rsid w:val="0482E2F8"/>
    <w:rsid w:val="048B2843"/>
    <w:rsid w:val="049243BE"/>
    <w:rsid w:val="0492C811"/>
    <w:rsid w:val="04974DD8"/>
    <w:rsid w:val="049C19EC"/>
    <w:rsid w:val="049F0577"/>
    <w:rsid w:val="04B4171D"/>
    <w:rsid w:val="04C25BCE"/>
    <w:rsid w:val="04D85B34"/>
    <w:rsid w:val="04D9EB77"/>
    <w:rsid w:val="04DF7B5E"/>
    <w:rsid w:val="04E0A462"/>
    <w:rsid w:val="04E66445"/>
    <w:rsid w:val="04F06653"/>
    <w:rsid w:val="04F4E8DA"/>
    <w:rsid w:val="04F9A646"/>
    <w:rsid w:val="05003352"/>
    <w:rsid w:val="0502B014"/>
    <w:rsid w:val="05037A06"/>
    <w:rsid w:val="05041FDB"/>
    <w:rsid w:val="050CD2C9"/>
    <w:rsid w:val="050D1540"/>
    <w:rsid w:val="05129D89"/>
    <w:rsid w:val="051D7231"/>
    <w:rsid w:val="052A97EC"/>
    <w:rsid w:val="052D24A7"/>
    <w:rsid w:val="054F9CC2"/>
    <w:rsid w:val="055046FC"/>
    <w:rsid w:val="0550FDBF"/>
    <w:rsid w:val="0564D58D"/>
    <w:rsid w:val="057CC741"/>
    <w:rsid w:val="0586B972"/>
    <w:rsid w:val="058CC84C"/>
    <w:rsid w:val="058D9657"/>
    <w:rsid w:val="0590E0E6"/>
    <w:rsid w:val="0598AA10"/>
    <w:rsid w:val="05A4537F"/>
    <w:rsid w:val="05A45ECF"/>
    <w:rsid w:val="05B291D2"/>
    <w:rsid w:val="05B549BD"/>
    <w:rsid w:val="05BB8FF8"/>
    <w:rsid w:val="05C3AADB"/>
    <w:rsid w:val="05C62EB8"/>
    <w:rsid w:val="05D727BC"/>
    <w:rsid w:val="05E79D42"/>
    <w:rsid w:val="05ED5484"/>
    <w:rsid w:val="05EFA61F"/>
    <w:rsid w:val="05FA5B19"/>
    <w:rsid w:val="0601C0E0"/>
    <w:rsid w:val="06056B92"/>
    <w:rsid w:val="060ACA78"/>
    <w:rsid w:val="06164982"/>
    <w:rsid w:val="061FE9FD"/>
    <w:rsid w:val="06361151"/>
    <w:rsid w:val="063C6107"/>
    <w:rsid w:val="063E0226"/>
    <w:rsid w:val="06430724"/>
    <w:rsid w:val="064B1E8F"/>
    <w:rsid w:val="06500BC9"/>
    <w:rsid w:val="065FEA37"/>
    <w:rsid w:val="066A82F4"/>
    <w:rsid w:val="066AC5DE"/>
    <w:rsid w:val="066D6267"/>
    <w:rsid w:val="066F16C1"/>
    <w:rsid w:val="066FA06C"/>
    <w:rsid w:val="0671006A"/>
    <w:rsid w:val="06741AD6"/>
    <w:rsid w:val="0677258D"/>
    <w:rsid w:val="0679A836"/>
    <w:rsid w:val="0679F9F3"/>
    <w:rsid w:val="067E7AA0"/>
    <w:rsid w:val="068154D1"/>
    <w:rsid w:val="068E124C"/>
    <w:rsid w:val="069A92BA"/>
    <w:rsid w:val="06B08A7A"/>
    <w:rsid w:val="06B5D39E"/>
    <w:rsid w:val="06BB1AC2"/>
    <w:rsid w:val="06BC27F1"/>
    <w:rsid w:val="06C3718F"/>
    <w:rsid w:val="06D90BC5"/>
    <w:rsid w:val="06D92141"/>
    <w:rsid w:val="06E56D58"/>
    <w:rsid w:val="06E6965F"/>
    <w:rsid w:val="06E92D5C"/>
    <w:rsid w:val="06F1C3AA"/>
    <w:rsid w:val="06FF25AF"/>
    <w:rsid w:val="070D32EC"/>
    <w:rsid w:val="070E3F5C"/>
    <w:rsid w:val="0713DBE3"/>
    <w:rsid w:val="0715F486"/>
    <w:rsid w:val="0717B10F"/>
    <w:rsid w:val="0720E9E8"/>
    <w:rsid w:val="07213131"/>
    <w:rsid w:val="073D9174"/>
    <w:rsid w:val="074472A9"/>
    <w:rsid w:val="07450FCC"/>
    <w:rsid w:val="074D714C"/>
    <w:rsid w:val="074F40FD"/>
    <w:rsid w:val="075F0373"/>
    <w:rsid w:val="075F55E6"/>
    <w:rsid w:val="076C40B3"/>
    <w:rsid w:val="07772242"/>
    <w:rsid w:val="07778509"/>
    <w:rsid w:val="0787B7DA"/>
    <w:rsid w:val="078DED7D"/>
    <w:rsid w:val="0795F2BA"/>
    <w:rsid w:val="079820AE"/>
    <w:rsid w:val="07A43F3B"/>
    <w:rsid w:val="07A5DF90"/>
    <w:rsid w:val="07AEA43A"/>
    <w:rsid w:val="07AF3DFA"/>
    <w:rsid w:val="07B189B5"/>
    <w:rsid w:val="07B5CED2"/>
    <w:rsid w:val="07BB5461"/>
    <w:rsid w:val="07C43627"/>
    <w:rsid w:val="07C9CBF0"/>
    <w:rsid w:val="07CF3B6E"/>
    <w:rsid w:val="07D628F3"/>
    <w:rsid w:val="07D8D442"/>
    <w:rsid w:val="07E4D847"/>
    <w:rsid w:val="07EE2F9F"/>
    <w:rsid w:val="07FD64A1"/>
    <w:rsid w:val="08047426"/>
    <w:rsid w:val="0804AFE4"/>
    <w:rsid w:val="080B4BC9"/>
    <w:rsid w:val="080BCD16"/>
    <w:rsid w:val="080E59C7"/>
    <w:rsid w:val="0813D3B9"/>
    <w:rsid w:val="081C2C91"/>
    <w:rsid w:val="0820D6C6"/>
    <w:rsid w:val="08214703"/>
    <w:rsid w:val="08256B19"/>
    <w:rsid w:val="08333E87"/>
    <w:rsid w:val="08395A83"/>
    <w:rsid w:val="08456DB7"/>
    <w:rsid w:val="0847D6D8"/>
    <w:rsid w:val="084FFAB7"/>
    <w:rsid w:val="0851F2F5"/>
    <w:rsid w:val="08585184"/>
    <w:rsid w:val="085B0C24"/>
    <w:rsid w:val="086C45E7"/>
    <w:rsid w:val="0872883C"/>
    <w:rsid w:val="087436CD"/>
    <w:rsid w:val="08781C55"/>
    <w:rsid w:val="08820219"/>
    <w:rsid w:val="088B220D"/>
    <w:rsid w:val="089B0CDA"/>
    <w:rsid w:val="08B4822F"/>
    <w:rsid w:val="08C1C05D"/>
    <w:rsid w:val="08C540F7"/>
    <w:rsid w:val="08C8E381"/>
    <w:rsid w:val="08CBE4F0"/>
    <w:rsid w:val="08D5DEE2"/>
    <w:rsid w:val="08EA0BF6"/>
    <w:rsid w:val="08F6EDC0"/>
    <w:rsid w:val="08F99183"/>
    <w:rsid w:val="08F9AF5A"/>
    <w:rsid w:val="08FB0815"/>
    <w:rsid w:val="08FFAC21"/>
    <w:rsid w:val="09047007"/>
    <w:rsid w:val="091054B0"/>
    <w:rsid w:val="093261B4"/>
    <w:rsid w:val="0939AF99"/>
    <w:rsid w:val="0953ACEB"/>
    <w:rsid w:val="09592230"/>
    <w:rsid w:val="09650A73"/>
    <w:rsid w:val="0966B449"/>
    <w:rsid w:val="097125DE"/>
    <w:rsid w:val="09755AED"/>
    <w:rsid w:val="097A834F"/>
    <w:rsid w:val="09813BFC"/>
    <w:rsid w:val="09841839"/>
    <w:rsid w:val="0987FB60"/>
    <w:rsid w:val="098DF391"/>
    <w:rsid w:val="09946A32"/>
    <w:rsid w:val="099A3D90"/>
    <w:rsid w:val="09A064AE"/>
    <w:rsid w:val="09A98525"/>
    <w:rsid w:val="09AE21AF"/>
    <w:rsid w:val="09BE6986"/>
    <w:rsid w:val="09BF9AFC"/>
    <w:rsid w:val="09C98BD8"/>
    <w:rsid w:val="09CE8B29"/>
    <w:rsid w:val="09CF4F23"/>
    <w:rsid w:val="09CF781C"/>
    <w:rsid w:val="09D16933"/>
    <w:rsid w:val="09D55A7E"/>
    <w:rsid w:val="09D773AB"/>
    <w:rsid w:val="09D7C99A"/>
    <w:rsid w:val="09D85D22"/>
    <w:rsid w:val="09DA2A9F"/>
    <w:rsid w:val="09E20CBE"/>
    <w:rsid w:val="09E522AD"/>
    <w:rsid w:val="09F028AF"/>
    <w:rsid w:val="09F35DF7"/>
    <w:rsid w:val="09F47DF9"/>
    <w:rsid w:val="09F5989C"/>
    <w:rsid w:val="09F760BD"/>
    <w:rsid w:val="09F9491E"/>
    <w:rsid w:val="09FBA42E"/>
    <w:rsid w:val="0A0080B1"/>
    <w:rsid w:val="0A01E4E1"/>
    <w:rsid w:val="0A021E5D"/>
    <w:rsid w:val="0A3D34AD"/>
    <w:rsid w:val="0A3E97EB"/>
    <w:rsid w:val="0A4738DF"/>
    <w:rsid w:val="0A48B50B"/>
    <w:rsid w:val="0A54C620"/>
    <w:rsid w:val="0A5A7BB5"/>
    <w:rsid w:val="0A60C4E5"/>
    <w:rsid w:val="0A64FF53"/>
    <w:rsid w:val="0A6A1E7C"/>
    <w:rsid w:val="0A770430"/>
    <w:rsid w:val="0A7DD503"/>
    <w:rsid w:val="0A7FB255"/>
    <w:rsid w:val="0A8287C4"/>
    <w:rsid w:val="0A8537FD"/>
    <w:rsid w:val="0A94BF19"/>
    <w:rsid w:val="0A9CB642"/>
    <w:rsid w:val="0AA7D5E4"/>
    <w:rsid w:val="0AABA1AA"/>
    <w:rsid w:val="0AAF156B"/>
    <w:rsid w:val="0ABD12E0"/>
    <w:rsid w:val="0AC2137D"/>
    <w:rsid w:val="0AC5F2A5"/>
    <w:rsid w:val="0AC7EB79"/>
    <w:rsid w:val="0ACA8210"/>
    <w:rsid w:val="0AD210DF"/>
    <w:rsid w:val="0AE12413"/>
    <w:rsid w:val="0AF8C25C"/>
    <w:rsid w:val="0AFA7014"/>
    <w:rsid w:val="0AFAE6B0"/>
    <w:rsid w:val="0B0613CA"/>
    <w:rsid w:val="0B120D42"/>
    <w:rsid w:val="0B191D94"/>
    <w:rsid w:val="0B1BFFFC"/>
    <w:rsid w:val="0B22F49B"/>
    <w:rsid w:val="0B275CB1"/>
    <w:rsid w:val="0B2C0BE3"/>
    <w:rsid w:val="0B2F1D85"/>
    <w:rsid w:val="0B4B3EB8"/>
    <w:rsid w:val="0B4D3E10"/>
    <w:rsid w:val="0B5CE9C9"/>
    <w:rsid w:val="0B605C7B"/>
    <w:rsid w:val="0B624225"/>
    <w:rsid w:val="0B6F1E04"/>
    <w:rsid w:val="0B72F576"/>
    <w:rsid w:val="0B77B9DB"/>
    <w:rsid w:val="0B79005C"/>
    <w:rsid w:val="0B8C3968"/>
    <w:rsid w:val="0B925EE8"/>
    <w:rsid w:val="0B953DFF"/>
    <w:rsid w:val="0B96BB5E"/>
    <w:rsid w:val="0BA4E140"/>
    <w:rsid w:val="0BBFDC4F"/>
    <w:rsid w:val="0BC321AB"/>
    <w:rsid w:val="0BC62E91"/>
    <w:rsid w:val="0BCFDA59"/>
    <w:rsid w:val="0BD7959D"/>
    <w:rsid w:val="0BE1C32D"/>
    <w:rsid w:val="0BEBA8B0"/>
    <w:rsid w:val="0BEF3D6F"/>
    <w:rsid w:val="0BF0463E"/>
    <w:rsid w:val="0BF25ADC"/>
    <w:rsid w:val="0C038898"/>
    <w:rsid w:val="0C05C419"/>
    <w:rsid w:val="0C0C902E"/>
    <w:rsid w:val="0C0D6BCD"/>
    <w:rsid w:val="0C24740F"/>
    <w:rsid w:val="0C28780F"/>
    <w:rsid w:val="0C2D5C58"/>
    <w:rsid w:val="0C333854"/>
    <w:rsid w:val="0C3F605A"/>
    <w:rsid w:val="0C43F560"/>
    <w:rsid w:val="0C4687BC"/>
    <w:rsid w:val="0C517191"/>
    <w:rsid w:val="0C5207A5"/>
    <w:rsid w:val="0C55AD44"/>
    <w:rsid w:val="0C6D98E3"/>
    <w:rsid w:val="0C755ADF"/>
    <w:rsid w:val="0C7FE134"/>
    <w:rsid w:val="0C923E19"/>
    <w:rsid w:val="0C93886C"/>
    <w:rsid w:val="0C938F5B"/>
    <w:rsid w:val="0C958475"/>
    <w:rsid w:val="0C99C005"/>
    <w:rsid w:val="0C9F1EA3"/>
    <w:rsid w:val="0C9F49C9"/>
    <w:rsid w:val="0CABE7C3"/>
    <w:rsid w:val="0CC52FE8"/>
    <w:rsid w:val="0CCD2C21"/>
    <w:rsid w:val="0CD09BC6"/>
    <w:rsid w:val="0CD69DF1"/>
    <w:rsid w:val="0CD7005F"/>
    <w:rsid w:val="0CD7A92F"/>
    <w:rsid w:val="0CDFD64E"/>
    <w:rsid w:val="0CE77F18"/>
    <w:rsid w:val="0CE9E81F"/>
    <w:rsid w:val="0CEDDAE5"/>
    <w:rsid w:val="0CF5D89C"/>
    <w:rsid w:val="0CF64DFF"/>
    <w:rsid w:val="0CF6B030"/>
    <w:rsid w:val="0CF96693"/>
    <w:rsid w:val="0CFAD62F"/>
    <w:rsid w:val="0CFE8D2B"/>
    <w:rsid w:val="0D01C9DB"/>
    <w:rsid w:val="0D049D2B"/>
    <w:rsid w:val="0D127CF1"/>
    <w:rsid w:val="0D16377D"/>
    <w:rsid w:val="0D1E946F"/>
    <w:rsid w:val="0D26283A"/>
    <w:rsid w:val="0D281517"/>
    <w:rsid w:val="0D2E3048"/>
    <w:rsid w:val="0D38B2FF"/>
    <w:rsid w:val="0D3D5D85"/>
    <w:rsid w:val="0D3D9F8E"/>
    <w:rsid w:val="0D437100"/>
    <w:rsid w:val="0D4390B8"/>
    <w:rsid w:val="0D45B99C"/>
    <w:rsid w:val="0D4C8E10"/>
    <w:rsid w:val="0D4CEAA7"/>
    <w:rsid w:val="0D627F8C"/>
    <w:rsid w:val="0D6CE373"/>
    <w:rsid w:val="0D6F2AE8"/>
    <w:rsid w:val="0D7ACF3C"/>
    <w:rsid w:val="0D83A32C"/>
    <w:rsid w:val="0D8C5682"/>
    <w:rsid w:val="0D8E1BF2"/>
    <w:rsid w:val="0D98EEA8"/>
    <w:rsid w:val="0D9E23A3"/>
    <w:rsid w:val="0DA0371F"/>
    <w:rsid w:val="0DAD50C1"/>
    <w:rsid w:val="0DAD5417"/>
    <w:rsid w:val="0DB3C3BF"/>
    <w:rsid w:val="0DC6E5C1"/>
    <w:rsid w:val="0DD5BE87"/>
    <w:rsid w:val="0DD5DB99"/>
    <w:rsid w:val="0DD6D940"/>
    <w:rsid w:val="0DDC209C"/>
    <w:rsid w:val="0DDC4F78"/>
    <w:rsid w:val="0DF2D198"/>
    <w:rsid w:val="0E09BF97"/>
    <w:rsid w:val="0E0D8762"/>
    <w:rsid w:val="0E0D967A"/>
    <w:rsid w:val="0E119900"/>
    <w:rsid w:val="0E1584F2"/>
    <w:rsid w:val="0E36CFE6"/>
    <w:rsid w:val="0E45C13B"/>
    <w:rsid w:val="0E4C540E"/>
    <w:rsid w:val="0E5614D5"/>
    <w:rsid w:val="0E588E54"/>
    <w:rsid w:val="0E5A0FDD"/>
    <w:rsid w:val="0E690B0B"/>
    <w:rsid w:val="0E6C14FD"/>
    <w:rsid w:val="0E6F5B59"/>
    <w:rsid w:val="0E71B7E3"/>
    <w:rsid w:val="0E799EA0"/>
    <w:rsid w:val="0E7CF5C5"/>
    <w:rsid w:val="0E84A59C"/>
    <w:rsid w:val="0E8ABBE5"/>
    <w:rsid w:val="0E8B637D"/>
    <w:rsid w:val="0E8E7C36"/>
    <w:rsid w:val="0E95B869"/>
    <w:rsid w:val="0E9C58DB"/>
    <w:rsid w:val="0EAA4F15"/>
    <w:rsid w:val="0EB009A6"/>
    <w:rsid w:val="0EDE096E"/>
    <w:rsid w:val="0EF85A24"/>
    <w:rsid w:val="0EFD1860"/>
    <w:rsid w:val="0F13A323"/>
    <w:rsid w:val="0F177672"/>
    <w:rsid w:val="0F1D6B8B"/>
    <w:rsid w:val="0F2DAE60"/>
    <w:rsid w:val="0F2EC834"/>
    <w:rsid w:val="0F334048"/>
    <w:rsid w:val="0F3638E3"/>
    <w:rsid w:val="0F3D1713"/>
    <w:rsid w:val="0F45A9A5"/>
    <w:rsid w:val="0F492F29"/>
    <w:rsid w:val="0F4FADF8"/>
    <w:rsid w:val="0F51FA47"/>
    <w:rsid w:val="0F522949"/>
    <w:rsid w:val="0F554A94"/>
    <w:rsid w:val="0F5FA4D9"/>
    <w:rsid w:val="0F6E7CEA"/>
    <w:rsid w:val="0F72C58C"/>
    <w:rsid w:val="0F77593E"/>
    <w:rsid w:val="0F78E1CB"/>
    <w:rsid w:val="0F83ED5C"/>
    <w:rsid w:val="0F9CC45A"/>
    <w:rsid w:val="0F9DFA1E"/>
    <w:rsid w:val="0FA4A22D"/>
    <w:rsid w:val="0FB35D0D"/>
    <w:rsid w:val="0FB4AC84"/>
    <w:rsid w:val="0FB4F76C"/>
    <w:rsid w:val="0FBAC56E"/>
    <w:rsid w:val="0FBED24D"/>
    <w:rsid w:val="0FE60D86"/>
    <w:rsid w:val="0FF39723"/>
    <w:rsid w:val="0FF3BC06"/>
    <w:rsid w:val="0FF489F5"/>
    <w:rsid w:val="0FFE11A8"/>
    <w:rsid w:val="0FFE8682"/>
    <w:rsid w:val="0FFF5DEB"/>
    <w:rsid w:val="10043BB8"/>
    <w:rsid w:val="10074DA0"/>
    <w:rsid w:val="100A863A"/>
    <w:rsid w:val="100B5241"/>
    <w:rsid w:val="1010A6CA"/>
    <w:rsid w:val="10165D68"/>
    <w:rsid w:val="1029AAAD"/>
    <w:rsid w:val="102C219A"/>
    <w:rsid w:val="103066D3"/>
    <w:rsid w:val="10379111"/>
    <w:rsid w:val="10384F9D"/>
    <w:rsid w:val="103A2F77"/>
    <w:rsid w:val="103EFE59"/>
    <w:rsid w:val="1044295C"/>
    <w:rsid w:val="104624D1"/>
    <w:rsid w:val="104B6D06"/>
    <w:rsid w:val="10560DF3"/>
    <w:rsid w:val="1056D3D4"/>
    <w:rsid w:val="105B0F01"/>
    <w:rsid w:val="105C7AB4"/>
    <w:rsid w:val="10612C14"/>
    <w:rsid w:val="107591CC"/>
    <w:rsid w:val="1077E42F"/>
    <w:rsid w:val="10811EC2"/>
    <w:rsid w:val="10839BC6"/>
    <w:rsid w:val="108B859B"/>
    <w:rsid w:val="1098EAE6"/>
    <w:rsid w:val="109DB4A0"/>
    <w:rsid w:val="10ADC1E1"/>
    <w:rsid w:val="10AE1C01"/>
    <w:rsid w:val="10AEAED4"/>
    <w:rsid w:val="10AF5909"/>
    <w:rsid w:val="10B000E7"/>
    <w:rsid w:val="10B642D0"/>
    <w:rsid w:val="10B8C700"/>
    <w:rsid w:val="10BA3EBA"/>
    <w:rsid w:val="10CCB196"/>
    <w:rsid w:val="10CE5790"/>
    <w:rsid w:val="10D03567"/>
    <w:rsid w:val="10D79A93"/>
    <w:rsid w:val="10E3D651"/>
    <w:rsid w:val="10ECF738"/>
    <w:rsid w:val="10F04002"/>
    <w:rsid w:val="110A5372"/>
    <w:rsid w:val="110B4999"/>
    <w:rsid w:val="11132FAC"/>
    <w:rsid w:val="1116312E"/>
    <w:rsid w:val="1121029A"/>
    <w:rsid w:val="112545C6"/>
    <w:rsid w:val="11350907"/>
    <w:rsid w:val="113DC863"/>
    <w:rsid w:val="114367E6"/>
    <w:rsid w:val="11503AED"/>
    <w:rsid w:val="1173B255"/>
    <w:rsid w:val="1174158B"/>
    <w:rsid w:val="1176B83F"/>
    <w:rsid w:val="117B6B75"/>
    <w:rsid w:val="117F8511"/>
    <w:rsid w:val="118784AF"/>
    <w:rsid w:val="118E6B36"/>
    <w:rsid w:val="119A4BB9"/>
    <w:rsid w:val="11A62A1C"/>
    <w:rsid w:val="11A63D6B"/>
    <w:rsid w:val="11A94FCD"/>
    <w:rsid w:val="11AC772B"/>
    <w:rsid w:val="11B69B34"/>
    <w:rsid w:val="11C03128"/>
    <w:rsid w:val="11C03BC0"/>
    <w:rsid w:val="11C66CC3"/>
    <w:rsid w:val="11C782F0"/>
    <w:rsid w:val="11D01BC9"/>
    <w:rsid w:val="11D9F9E7"/>
    <w:rsid w:val="11DDA8BE"/>
    <w:rsid w:val="11F93E7B"/>
    <w:rsid w:val="11FF0C5D"/>
    <w:rsid w:val="1208E122"/>
    <w:rsid w:val="1212C1BA"/>
    <w:rsid w:val="12159749"/>
    <w:rsid w:val="12163615"/>
    <w:rsid w:val="1217CDC8"/>
    <w:rsid w:val="1222FAED"/>
    <w:rsid w:val="122C691A"/>
    <w:rsid w:val="122F2711"/>
    <w:rsid w:val="123C5653"/>
    <w:rsid w:val="123CE5F0"/>
    <w:rsid w:val="12411C41"/>
    <w:rsid w:val="1244CCC9"/>
    <w:rsid w:val="1246324E"/>
    <w:rsid w:val="124BC71A"/>
    <w:rsid w:val="1262F14C"/>
    <w:rsid w:val="126DE990"/>
    <w:rsid w:val="126E7DE5"/>
    <w:rsid w:val="128B8516"/>
    <w:rsid w:val="12921E98"/>
    <w:rsid w:val="1294EF4F"/>
    <w:rsid w:val="12A3B067"/>
    <w:rsid w:val="12A632A5"/>
    <w:rsid w:val="12AC7CC7"/>
    <w:rsid w:val="12AE084B"/>
    <w:rsid w:val="12B39332"/>
    <w:rsid w:val="12B74DFA"/>
    <w:rsid w:val="12B9C35E"/>
    <w:rsid w:val="12BBF285"/>
    <w:rsid w:val="12C54E4D"/>
    <w:rsid w:val="12C6758C"/>
    <w:rsid w:val="12C8DAC1"/>
    <w:rsid w:val="12D5EE74"/>
    <w:rsid w:val="12DC08F0"/>
    <w:rsid w:val="12DF4DD3"/>
    <w:rsid w:val="12E3768C"/>
    <w:rsid w:val="12F118BD"/>
    <w:rsid w:val="12F3DD79"/>
    <w:rsid w:val="12F731B4"/>
    <w:rsid w:val="12F899F0"/>
    <w:rsid w:val="12F9C841"/>
    <w:rsid w:val="12FFD8FF"/>
    <w:rsid w:val="1310E58E"/>
    <w:rsid w:val="131BD61B"/>
    <w:rsid w:val="1323420F"/>
    <w:rsid w:val="132EA0C3"/>
    <w:rsid w:val="13380EF0"/>
    <w:rsid w:val="133932B8"/>
    <w:rsid w:val="1348DF04"/>
    <w:rsid w:val="134D657C"/>
    <w:rsid w:val="135923B1"/>
    <w:rsid w:val="135C0EE8"/>
    <w:rsid w:val="1365C6AA"/>
    <w:rsid w:val="1377FADF"/>
    <w:rsid w:val="138F48D8"/>
    <w:rsid w:val="13904BA1"/>
    <w:rsid w:val="13958C72"/>
    <w:rsid w:val="13976F87"/>
    <w:rsid w:val="139C43AB"/>
    <w:rsid w:val="13B3A37D"/>
    <w:rsid w:val="13C0B9FC"/>
    <w:rsid w:val="13C876FA"/>
    <w:rsid w:val="13D401B4"/>
    <w:rsid w:val="13D6C023"/>
    <w:rsid w:val="13DD89BF"/>
    <w:rsid w:val="13E13A9A"/>
    <w:rsid w:val="13E8E052"/>
    <w:rsid w:val="13F830F5"/>
    <w:rsid w:val="13F89C33"/>
    <w:rsid w:val="13F9A346"/>
    <w:rsid w:val="13FA6916"/>
    <w:rsid w:val="140C0715"/>
    <w:rsid w:val="140CA053"/>
    <w:rsid w:val="1419C271"/>
    <w:rsid w:val="141BCB5C"/>
    <w:rsid w:val="1429634F"/>
    <w:rsid w:val="142C5EC6"/>
    <w:rsid w:val="142EEE7C"/>
    <w:rsid w:val="14307061"/>
    <w:rsid w:val="14385FCD"/>
    <w:rsid w:val="143EDC4C"/>
    <w:rsid w:val="1444BE7A"/>
    <w:rsid w:val="144E3D8B"/>
    <w:rsid w:val="145BBA28"/>
    <w:rsid w:val="1469894E"/>
    <w:rsid w:val="147581CF"/>
    <w:rsid w:val="1481EAC2"/>
    <w:rsid w:val="14853084"/>
    <w:rsid w:val="14862B62"/>
    <w:rsid w:val="148830AF"/>
    <w:rsid w:val="1497991A"/>
    <w:rsid w:val="14A0EB83"/>
    <w:rsid w:val="14B9C89C"/>
    <w:rsid w:val="14BCDBB7"/>
    <w:rsid w:val="14BD9786"/>
    <w:rsid w:val="14C13A02"/>
    <w:rsid w:val="14C22E24"/>
    <w:rsid w:val="14C3E047"/>
    <w:rsid w:val="14C5ADCC"/>
    <w:rsid w:val="14CE9DA6"/>
    <w:rsid w:val="14D06569"/>
    <w:rsid w:val="14D3FC56"/>
    <w:rsid w:val="14D7B921"/>
    <w:rsid w:val="14D8158F"/>
    <w:rsid w:val="14DC9009"/>
    <w:rsid w:val="14DE03BD"/>
    <w:rsid w:val="14FA00C7"/>
    <w:rsid w:val="14FB264E"/>
    <w:rsid w:val="14FDAF13"/>
    <w:rsid w:val="14FE5254"/>
    <w:rsid w:val="14FFD837"/>
    <w:rsid w:val="15088398"/>
    <w:rsid w:val="152B71A2"/>
    <w:rsid w:val="152EFEB0"/>
    <w:rsid w:val="1531C71D"/>
    <w:rsid w:val="15331827"/>
    <w:rsid w:val="153B1158"/>
    <w:rsid w:val="154D9594"/>
    <w:rsid w:val="1553A3E6"/>
    <w:rsid w:val="1555C9C9"/>
    <w:rsid w:val="1563D3F8"/>
    <w:rsid w:val="1564034A"/>
    <w:rsid w:val="156D9171"/>
    <w:rsid w:val="156E6262"/>
    <w:rsid w:val="1584ECEE"/>
    <w:rsid w:val="158BD54A"/>
    <w:rsid w:val="159097FC"/>
    <w:rsid w:val="159D3F6F"/>
    <w:rsid w:val="15A97B9D"/>
    <w:rsid w:val="15AA4A59"/>
    <w:rsid w:val="15B5EC2B"/>
    <w:rsid w:val="15B97B4E"/>
    <w:rsid w:val="15BFFC14"/>
    <w:rsid w:val="15C43517"/>
    <w:rsid w:val="15C85D0A"/>
    <w:rsid w:val="15C95E89"/>
    <w:rsid w:val="15CCEF6A"/>
    <w:rsid w:val="15D138F0"/>
    <w:rsid w:val="15D1EDBE"/>
    <w:rsid w:val="15D2CA8F"/>
    <w:rsid w:val="15DE081D"/>
    <w:rsid w:val="15E3114A"/>
    <w:rsid w:val="15E5B0DA"/>
    <w:rsid w:val="15E8E312"/>
    <w:rsid w:val="15EC9B94"/>
    <w:rsid w:val="15EE1EF8"/>
    <w:rsid w:val="15F0CD47"/>
    <w:rsid w:val="15FF6C2F"/>
    <w:rsid w:val="160DBD8E"/>
    <w:rsid w:val="16187119"/>
    <w:rsid w:val="161D96A4"/>
    <w:rsid w:val="161FDEF5"/>
    <w:rsid w:val="1620CE2C"/>
    <w:rsid w:val="16219759"/>
    <w:rsid w:val="1633E63B"/>
    <w:rsid w:val="163EA736"/>
    <w:rsid w:val="16436032"/>
    <w:rsid w:val="164508F9"/>
    <w:rsid w:val="1645FD68"/>
    <w:rsid w:val="1646B5E6"/>
    <w:rsid w:val="1648A3B2"/>
    <w:rsid w:val="164D3C38"/>
    <w:rsid w:val="1651A22D"/>
    <w:rsid w:val="165A7B10"/>
    <w:rsid w:val="166C0974"/>
    <w:rsid w:val="1670D40D"/>
    <w:rsid w:val="167AB9D1"/>
    <w:rsid w:val="167B51A5"/>
    <w:rsid w:val="1685FEAD"/>
    <w:rsid w:val="16879ECD"/>
    <w:rsid w:val="16901C28"/>
    <w:rsid w:val="169B73D9"/>
    <w:rsid w:val="16A72EEC"/>
    <w:rsid w:val="16AA07C7"/>
    <w:rsid w:val="16B08E4B"/>
    <w:rsid w:val="16B4973C"/>
    <w:rsid w:val="16C2FAFF"/>
    <w:rsid w:val="16C79BB6"/>
    <w:rsid w:val="16C9D28C"/>
    <w:rsid w:val="16CBBF19"/>
    <w:rsid w:val="16CF10A0"/>
    <w:rsid w:val="16D3F5A8"/>
    <w:rsid w:val="16D4CA61"/>
    <w:rsid w:val="16D4FD32"/>
    <w:rsid w:val="16DC4482"/>
    <w:rsid w:val="16DE804A"/>
    <w:rsid w:val="16EAF83A"/>
    <w:rsid w:val="16EBCA37"/>
    <w:rsid w:val="16ECC3CE"/>
    <w:rsid w:val="16EEE42C"/>
    <w:rsid w:val="1715A01F"/>
    <w:rsid w:val="1720B53F"/>
    <w:rsid w:val="1721CAE5"/>
    <w:rsid w:val="17278C9C"/>
    <w:rsid w:val="172D7ACA"/>
    <w:rsid w:val="172E999A"/>
    <w:rsid w:val="173C1A58"/>
    <w:rsid w:val="173C3EB0"/>
    <w:rsid w:val="173EDCAF"/>
    <w:rsid w:val="17402DE1"/>
    <w:rsid w:val="174CD542"/>
    <w:rsid w:val="1750A66B"/>
    <w:rsid w:val="1765AC2E"/>
    <w:rsid w:val="176DFFBE"/>
    <w:rsid w:val="1772F5AB"/>
    <w:rsid w:val="17730A80"/>
    <w:rsid w:val="177421F6"/>
    <w:rsid w:val="177497B0"/>
    <w:rsid w:val="17783C9D"/>
    <w:rsid w:val="177EF469"/>
    <w:rsid w:val="178681D5"/>
    <w:rsid w:val="17974F99"/>
    <w:rsid w:val="17A11F78"/>
    <w:rsid w:val="17AADDE6"/>
    <w:rsid w:val="17AB3712"/>
    <w:rsid w:val="17ACEB6C"/>
    <w:rsid w:val="17BAE45A"/>
    <w:rsid w:val="17C66F7B"/>
    <w:rsid w:val="17C839BD"/>
    <w:rsid w:val="17C93248"/>
    <w:rsid w:val="17DF741B"/>
    <w:rsid w:val="17DFC9E0"/>
    <w:rsid w:val="17E5B8BE"/>
    <w:rsid w:val="17EBF42D"/>
    <w:rsid w:val="17ED38A9"/>
    <w:rsid w:val="17EDAD83"/>
    <w:rsid w:val="17EE13F1"/>
    <w:rsid w:val="17EE626D"/>
    <w:rsid w:val="17F1C99E"/>
    <w:rsid w:val="17FBE734"/>
    <w:rsid w:val="18016F93"/>
    <w:rsid w:val="180183A3"/>
    <w:rsid w:val="1804206B"/>
    <w:rsid w:val="18128709"/>
    <w:rsid w:val="181985EC"/>
    <w:rsid w:val="182540F7"/>
    <w:rsid w:val="182635CE"/>
    <w:rsid w:val="183154CD"/>
    <w:rsid w:val="1832D326"/>
    <w:rsid w:val="1837E0CA"/>
    <w:rsid w:val="1845A41C"/>
    <w:rsid w:val="185C58F0"/>
    <w:rsid w:val="18611445"/>
    <w:rsid w:val="1869AA56"/>
    <w:rsid w:val="18751C3B"/>
    <w:rsid w:val="187FE769"/>
    <w:rsid w:val="18834516"/>
    <w:rsid w:val="1892A430"/>
    <w:rsid w:val="1892CC46"/>
    <w:rsid w:val="18A4670D"/>
    <w:rsid w:val="18AEA145"/>
    <w:rsid w:val="18AFAB0F"/>
    <w:rsid w:val="18B7C92D"/>
    <w:rsid w:val="18B95AEF"/>
    <w:rsid w:val="18B9BEA0"/>
    <w:rsid w:val="18BE87C3"/>
    <w:rsid w:val="18BFB97E"/>
    <w:rsid w:val="18C1182C"/>
    <w:rsid w:val="18CC3113"/>
    <w:rsid w:val="18CC8E0E"/>
    <w:rsid w:val="18DB2C45"/>
    <w:rsid w:val="18E41D18"/>
    <w:rsid w:val="18E7B57D"/>
    <w:rsid w:val="18EBB0C3"/>
    <w:rsid w:val="18ECF6E2"/>
    <w:rsid w:val="18F2A399"/>
    <w:rsid w:val="18F470D6"/>
    <w:rsid w:val="18F6BECF"/>
    <w:rsid w:val="18F86856"/>
    <w:rsid w:val="18FD8DA0"/>
    <w:rsid w:val="18FE4BCF"/>
    <w:rsid w:val="190879F1"/>
    <w:rsid w:val="19145985"/>
    <w:rsid w:val="19183276"/>
    <w:rsid w:val="191C4B1B"/>
    <w:rsid w:val="191DC14D"/>
    <w:rsid w:val="191DD32F"/>
    <w:rsid w:val="1933F3F6"/>
    <w:rsid w:val="194422F2"/>
    <w:rsid w:val="194818AE"/>
    <w:rsid w:val="1948BE41"/>
    <w:rsid w:val="194AD0B1"/>
    <w:rsid w:val="195D5EBE"/>
    <w:rsid w:val="195EAB71"/>
    <w:rsid w:val="1966D71A"/>
    <w:rsid w:val="1971267D"/>
    <w:rsid w:val="1978DA85"/>
    <w:rsid w:val="19794C9A"/>
    <w:rsid w:val="1987F045"/>
    <w:rsid w:val="198F68D5"/>
    <w:rsid w:val="19903D46"/>
    <w:rsid w:val="199231ED"/>
    <w:rsid w:val="199CDEF5"/>
    <w:rsid w:val="19A29250"/>
    <w:rsid w:val="19AB3C57"/>
    <w:rsid w:val="19ACC034"/>
    <w:rsid w:val="19AEBDE6"/>
    <w:rsid w:val="19B7EEB1"/>
    <w:rsid w:val="19B94AFF"/>
    <w:rsid w:val="19BDD174"/>
    <w:rsid w:val="19C83951"/>
    <w:rsid w:val="19CCAF66"/>
    <w:rsid w:val="19CCE734"/>
    <w:rsid w:val="19D0B5B4"/>
    <w:rsid w:val="19D0F551"/>
    <w:rsid w:val="19D503FE"/>
    <w:rsid w:val="19D7DE73"/>
    <w:rsid w:val="19E25C4C"/>
    <w:rsid w:val="19F02133"/>
    <w:rsid w:val="19FE3B74"/>
    <w:rsid w:val="1A081AA0"/>
    <w:rsid w:val="1A145A7E"/>
    <w:rsid w:val="1A2A8EAF"/>
    <w:rsid w:val="1A306DED"/>
    <w:rsid w:val="1A348D76"/>
    <w:rsid w:val="1A38DCC0"/>
    <w:rsid w:val="1A3D95AA"/>
    <w:rsid w:val="1A3EF5C4"/>
    <w:rsid w:val="1A4AB890"/>
    <w:rsid w:val="1A4C8AA7"/>
    <w:rsid w:val="1A4FD103"/>
    <w:rsid w:val="1A57BE89"/>
    <w:rsid w:val="1A5870CC"/>
    <w:rsid w:val="1A5B608B"/>
    <w:rsid w:val="1A5EACF6"/>
    <w:rsid w:val="1A6C44E8"/>
    <w:rsid w:val="1A6D39D9"/>
    <w:rsid w:val="1A77C299"/>
    <w:rsid w:val="1A7D920E"/>
    <w:rsid w:val="1A82F993"/>
    <w:rsid w:val="1A8325EC"/>
    <w:rsid w:val="1A89647E"/>
    <w:rsid w:val="1A896D87"/>
    <w:rsid w:val="1A92D42A"/>
    <w:rsid w:val="1A9EFDC7"/>
    <w:rsid w:val="1A9F69CB"/>
    <w:rsid w:val="1AA488F4"/>
    <w:rsid w:val="1AB44943"/>
    <w:rsid w:val="1ABAFA9A"/>
    <w:rsid w:val="1AC3CBCD"/>
    <w:rsid w:val="1AD05167"/>
    <w:rsid w:val="1AE146C5"/>
    <w:rsid w:val="1AE2CDEC"/>
    <w:rsid w:val="1B072205"/>
    <w:rsid w:val="1B08E02E"/>
    <w:rsid w:val="1B08E328"/>
    <w:rsid w:val="1B1887B3"/>
    <w:rsid w:val="1B200B32"/>
    <w:rsid w:val="1B235D66"/>
    <w:rsid w:val="1B3674EB"/>
    <w:rsid w:val="1B3BBEF2"/>
    <w:rsid w:val="1B4EE39C"/>
    <w:rsid w:val="1B55909D"/>
    <w:rsid w:val="1B5BBCB1"/>
    <w:rsid w:val="1B67EE47"/>
    <w:rsid w:val="1B716871"/>
    <w:rsid w:val="1B74F165"/>
    <w:rsid w:val="1B769370"/>
    <w:rsid w:val="1B805511"/>
    <w:rsid w:val="1B813DE2"/>
    <w:rsid w:val="1B84681B"/>
    <w:rsid w:val="1B8871D6"/>
    <w:rsid w:val="1B8E2E82"/>
    <w:rsid w:val="1B904F7F"/>
    <w:rsid w:val="1B974EC5"/>
    <w:rsid w:val="1B9804D6"/>
    <w:rsid w:val="1B9EE80C"/>
    <w:rsid w:val="1BA267FA"/>
    <w:rsid w:val="1BB09A1E"/>
    <w:rsid w:val="1BB79EE0"/>
    <w:rsid w:val="1BBADC51"/>
    <w:rsid w:val="1BC40290"/>
    <w:rsid w:val="1BCC383B"/>
    <w:rsid w:val="1BCD0A9E"/>
    <w:rsid w:val="1BCF0E94"/>
    <w:rsid w:val="1BD31402"/>
    <w:rsid w:val="1BDED414"/>
    <w:rsid w:val="1BE620E8"/>
    <w:rsid w:val="1BEF9EA7"/>
    <w:rsid w:val="1BFAEF7B"/>
    <w:rsid w:val="1BFB29DB"/>
    <w:rsid w:val="1C139E5E"/>
    <w:rsid w:val="1C1688F3"/>
    <w:rsid w:val="1C19E798"/>
    <w:rsid w:val="1C1EE60B"/>
    <w:rsid w:val="1C28D5B6"/>
    <w:rsid w:val="1C30B516"/>
    <w:rsid w:val="1C422528"/>
    <w:rsid w:val="1C4D3DEA"/>
    <w:rsid w:val="1C4F378A"/>
    <w:rsid w:val="1C50BDCC"/>
    <w:rsid w:val="1C5316D7"/>
    <w:rsid w:val="1C542ABA"/>
    <w:rsid w:val="1C544B0C"/>
    <w:rsid w:val="1C574822"/>
    <w:rsid w:val="1C703F1D"/>
    <w:rsid w:val="1C7CA154"/>
    <w:rsid w:val="1C7CAD86"/>
    <w:rsid w:val="1C8055FB"/>
    <w:rsid w:val="1C8EBC45"/>
    <w:rsid w:val="1C9354D7"/>
    <w:rsid w:val="1C951C90"/>
    <w:rsid w:val="1C9F6218"/>
    <w:rsid w:val="1CAC3DB5"/>
    <w:rsid w:val="1CAC499C"/>
    <w:rsid w:val="1CAD6237"/>
    <w:rsid w:val="1CB6D507"/>
    <w:rsid w:val="1CC9CA2A"/>
    <w:rsid w:val="1CCCA891"/>
    <w:rsid w:val="1CD30280"/>
    <w:rsid w:val="1CD82906"/>
    <w:rsid w:val="1CE26837"/>
    <w:rsid w:val="1CEAC91C"/>
    <w:rsid w:val="1CED5C7A"/>
    <w:rsid w:val="1CF7EAF8"/>
    <w:rsid w:val="1CFD5E9F"/>
    <w:rsid w:val="1D149ED4"/>
    <w:rsid w:val="1D19E11D"/>
    <w:rsid w:val="1D20092F"/>
    <w:rsid w:val="1D2AEF1B"/>
    <w:rsid w:val="1D2BC155"/>
    <w:rsid w:val="1D2D2B54"/>
    <w:rsid w:val="1D3175C1"/>
    <w:rsid w:val="1D32D10E"/>
    <w:rsid w:val="1D356C57"/>
    <w:rsid w:val="1D43EFDE"/>
    <w:rsid w:val="1D45FA2A"/>
    <w:rsid w:val="1D48C949"/>
    <w:rsid w:val="1D4985FF"/>
    <w:rsid w:val="1D49E441"/>
    <w:rsid w:val="1D4C7ED5"/>
    <w:rsid w:val="1D6943A3"/>
    <w:rsid w:val="1D6B2282"/>
    <w:rsid w:val="1D780A06"/>
    <w:rsid w:val="1D79C915"/>
    <w:rsid w:val="1D7A8A84"/>
    <w:rsid w:val="1D7C3EDE"/>
    <w:rsid w:val="1D8F463C"/>
    <w:rsid w:val="1D9406CE"/>
    <w:rsid w:val="1DA26C20"/>
    <w:rsid w:val="1DA78806"/>
    <w:rsid w:val="1DA91957"/>
    <w:rsid w:val="1DBA1354"/>
    <w:rsid w:val="1DC0E56A"/>
    <w:rsid w:val="1DC263C2"/>
    <w:rsid w:val="1DE9BC6E"/>
    <w:rsid w:val="1DEB154B"/>
    <w:rsid w:val="1DEBB26A"/>
    <w:rsid w:val="1DEC7EF5"/>
    <w:rsid w:val="1DEE2F75"/>
    <w:rsid w:val="1DEE334F"/>
    <w:rsid w:val="1DF634CC"/>
    <w:rsid w:val="1E093DBF"/>
    <w:rsid w:val="1E1CC53C"/>
    <w:rsid w:val="1E1F8E64"/>
    <w:rsid w:val="1E2983FB"/>
    <w:rsid w:val="1E2CABDB"/>
    <w:rsid w:val="1E39E793"/>
    <w:rsid w:val="1E3E8000"/>
    <w:rsid w:val="1E420735"/>
    <w:rsid w:val="1E54056D"/>
    <w:rsid w:val="1E64F8C2"/>
    <w:rsid w:val="1E6DB5FF"/>
    <w:rsid w:val="1E6F228D"/>
    <w:rsid w:val="1E71A71A"/>
    <w:rsid w:val="1E725E47"/>
    <w:rsid w:val="1E78A27A"/>
    <w:rsid w:val="1E7DF4B7"/>
    <w:rsid w:val="1E94DFF7"/>
    <w:rsid w:val="1E95AD11"/>
    <w:rsid w:val="1E975952"/>
    <w:rsid w:val="1E98C61E"/>
    <w:rsid w:val="1E98E331"/>
    <w:rsid w:val="1E9D44D1"/>
    <w:rsid w:val="1E9DEFCB"/>
    <w:rsid w:val="1EA3121B"/>
    <w:rsid w:val="1EA7065D"/>
    <w:rsid w:val="1EB05519"/>
    <w:rsid w:val="1EC39256"/>
    <w:rsid w:val="1EC5265D"/>
    <w:rsid w:val="1ED9DC70"/>
    <w:rsid w:val="1EDFBE91"/>
    <w:rsid w:val="1EE781B2"/>
    <w:rsid w:val="1EED5B31"/>
    <w:rsid w:val="1EF2F63E"/>
    <w:rsid w:val="1EF3BA38"/>
    <w:rsid w:val="1EF6463E"/>
    <w:rsid w:val="1F0098F4"/>
    <w:rsid w:val="1F224A3A"/>
    <w:rsid w:val="1F28E56F"/>
    <w:rsid w:val="1F2CFD29"/>
    <w:rsid w:val="1F3E681E"/>
    <w:rsid w:val="1F3FCC14"/>
    <w:rsid w:val="1F43BD9B"/>
    <w:rsid w:val="1F4BE702"/>
    <w:rsid w:val="1F4EBCFA"/>
    <w:rsid w:val="1F4F6054"/>
    <w:rsid w:val="1F642840"/>
    <w:rsid w:val="1F758465"/>
    <w:rsid w:val="1F82454C"/>
    <w:rsid w:val="1F852AB0"/>
    <w:rsid w:val="1F8DC4D1"/>
    <w:rsid w:val="1F90DDF1"/>
    <w:rsid w:val="1F931933"/>
    <w:rsid w:val="1F94161E"/>
    <w:rsid w:val="1F9DC57A"/>
    <w:rsid w:val="1FA27B36"/>
    <w:rsid w:val="1FC514DB"/>
    <w:rsid w:val="1FC86467"/>
    <w:rsid w:val="1FCA0D09"/>
    <w:rsid w:val="1FD1C7BE"/>
    <w:rsid w:val="1FD60024"/>
    <w:rsid w:val="1FE44BE0"/>
    <w:rsid w:val="1FE844B2"/>
    <w:rsid w:val="1FE9E7E6"/>
    <w:rsid w:val="1FEED6E6"/>
    <w:rsid w:val="1FF7DF8B"/>
    <w:rsid w:val="1FF9B6B7"/>
    <w:rsid w:val="1FFDF8E4"/>
    <w:rsid w:val="20083032"/>
    <w:rsid w:val="200F6426"/>
    <w:rsid w:val="2013B2AC"/>
    <w:rsid w:val="2015B84A"/>
    <w:rsid w:val="201C427A"/>
    <w:rsid w:val="201EF27F"/>
    <w:rsid w:val="20384CAB"/>
    <w:rsid w:val="20385D09"/>
    <w:rsid w:val="204464BA"/>
    <w:rsid w:val="204D40FE"/>
    <w:rsid w:val="205BB123"/>
    <w:rsid w:val="205F52CD"/>
    <w:rsid w:val="2064399F"/>
    <w:rsid w:val="206736F0"/>
    <w:rsid w:val="20684AF7"/>
    <w:rsid w:val="206D448A"/>
    <w:rsid w:val="2082489F"/>
    <w:rsid w:val="208D004A"/>
    <w:rsid w:val="208EF5E7"/>
    <w:rsid w:val="20939778"/>
    <w:rsid w:val="209D7984"/>
    <w:rsid w:val="20A1D289"/>
    <w:rsid w:val="20A5E3A3"/>
    <w:rsid w:val="20AD3B23"/>
    <w:rsid w:val="20B3C975"/>
    <w:rsid w:val="20BB96E4"/>
    <w:rsid w:val="20C4184E"/>
    <w:rsid w:val="20DC2868"/>
    <w:rsid w:val="20E06181"/>
    <w:rsid w:val="2101A0A2"/>
    <w:rsid w:val="2107D5C7"/>
    <w:rsid w:val="2107F0E0"/>
    <w:rsid w:val="2108D753"/>
    <w:rsid w:val="210A760D"/>
    <w:rsid w:val="211DB083"/>
    <w:rsid w:val="21206BA9"/>
    <w:rsid w:val="2120FF1E"/>
    <w:rsid w:val="212B1023"/>
    <w:rsid w:val="2134ADD5"/>
    <w:rsid w:val="2147F47E"/>
    <w:rsid w:val="214D494A"/>
    <w:rsid w:val="214E7B75"/>
    <w:rsid w:val="2166A7B3"/>
    <w:rsid w:val="218E8052"/>
    <w:rsid w:val="218FD5E9"/>
    <w:rsid w:val="219FD3CD"/>
    <w:rsid w:val="21A26774"/>
    <w:rsid w:val="21B1E16B"/>
    <w:rsid w:val="21BAC697"/>
    <w:rsid w:val="21BAF133"/>
    <w:rsid w:val="21C99843"/>
    <w:rsid w:val="21CACEFB"/>
    <w:rsid w:val="21CB5C1B"/>
    <w:rsid w:val="21DAC398"/>
    <w:rsid w:val="21DEA78F"/>
    <w:rsid w:val="21E1A7BF"/>
    <w:rsid w:val="21E93B0A"/>
    <w:rsid w:val="21F5B4FD"/>
    <w:rsid w:val="21F65B0A"/>
    <w:rsid w:val="21F900DB"/>
    <w:rsid w:val="21FCD73F"/>
    <w:rsid w:val="220DB8F6"/>
    <w:rsid w:val="22156F3E"/>
    <w:rsid w:val="224C326F"/>
    <w:rsid w:val="2252387D"/>
    <w:rsid w:val="2252E060"/>
    <w:rsid w:val="2258DF80"/>
    <w:rsid w:val="225B2F7B"/>
    <w:rsid w:val="225D7399"/>
    <w:rsid w:val="22624A8F"/>
    <w:rsid w:val="22626158"/>
    <w:rsid w:val="2263BE39"/>
    <w:rsid w:val="2269A631"/>
    <w:rsid w:val="226F95B3"/>
    <w:rsid w:val="22775068"/>
    <w:rsid w:val="2278786B"/>
    <w:rsid w:val="22797BBD"/>
    <w:rsid w:val="22802733"/>
    <w:rsid w:val="2280CD56"/>
    <w:rsid w:val="2285D41E"/>
    <w:rsid w:val="228C5CAD"/>
    <w:rsid w:val="228E1533"/>
    <w:rsid w:val="22AED3D0"/>
    <w:rsid w:val="22B18700"/>
    <w:rsid w:val="22B4934A"/>
    <w:rsid w:val="22B5A5AD"/>
    <w:rsid w:val="22BCC7AE"/>
    <w:rsid w:val="22BE5778"/>
    <w:rsid w:val="22C1FF85"/>
    <w:rsid w:val="22C7B928"/>
    <w:rsid w:val="22D67DDC"/>
    <w:rsid w:val="22D6E1D3"/>
    <w:rsid w:val="22E3B549"/>
    <w:rsid w:val="22F0FF8E"/>
    <w:rsid w:val="22F3A609"/>
    <w:rsid w:val="2305D0D2"/>
    <w:rsid w:val="23078BED"/>
    <w:rsid w:val="231058EC"/>
    <w:rsid w:val="2319C5B3"/>
    <w:rsid w:val="2319D7E6"/>
    <w:rsid w:val="232E6290"/>
    <w:rsid w:val="23341CD1"/>
    <w:rsid w:val="2336B9B6"/>
    <w:rsid w:val="2345D6F3"/>
    <w:rsid w:val="2346A6C6"/>
    <w:rsid w:val="23511D7D"/>
    <w:rsid w:val="236159BB"/>
    <w:rsid w:val="2364E4DD"/>
    <w:rsid w:val="236B5729"/>
    <w:rsid w:val="236B80A0"/>
    <w:rsid w:val="23755B09"/>
    <w:rsid w:val="237B65B0"/>
    <w:rsid w:val="238ACDE2"/>
    <w:rsid w:val="238BB84F"/>
    <w:rsid w:val="238C125E"/>
    <w:rsid w:val="238CFB60"/>
    <w:rsid w:val="239B15B3"/>
    <w:rsid w:val="23AD1538"/>
    <w:rsid w:val="23AF7C88"/>
    <w:rsid w:val="23B046FE"/>
    <w:rsid w:val="23B12DED"/>
    <w:rsid w:val="23D2D952"/>
    <w:rsid w:val="23DF3DB9"/>
    <w:rsid w:val="23EBA16D"/>
    <w:rsid w:val="23F9E822"/>
    <w:rsid w:val="23FE2319"/>
    <w:rsid w:val="24041766"/>
    <w:rsid w:val="2405BC6C"/>
    <w:rsid w:val="241B994F"/>
    <w:rsid w:val="241D227E"/>
    <w:rsid w:val="241D2FE6"/>
    <w:rsid w:val="241E8545"/>
    <w:rsid w:val="24206D3B"/>
    <w:rsid w:val="24261AB1"/>
    <w:rsid w:val="242F332D"/>
    <w:rsid w:val="2432582C"/>
    <w:rsid w:val="24351BEB"/>
    <w:rsid w:val="24356971"/>
    <w:rsid w:val="243934B7"/>
    <w:rsid w:val="243F5BA5"/>
    <w:rsid w:val="24414D81"/>
    <w:rsid w:val="2442A3AF"/>
    <w:rsid w:val="244B6798"/>
    <w:rsid w:val="244DD7E2"/>
    <w:rsid w:val="245A6920"/>
    <w:rsid w:val="2462196D"/>
    <w:rsid w:val="2469D118"/>
    <w:rsid w:val="246DCC8D"/>
    <w:rsid w:val="2471B93E"/>
    <w:rsid w:val="2477A5E9"/>
    <w:rsid w:val="2486B3AF"/>
    <w:rsid w:val="248B5DE4"/>
    <w:rsid w:val="248E6386"/>
    <w:rsid w:val="24952167"/>
    <w:rsid w:val="249C8270"/>
    <w:rsid w:val="24A616C5"/>
    <w:rsid w:val="24ABEC21"/>
    <w:rsid w:val="24B7C3AE"/>
    <w:rsid w:val="24BA5E3C"/>
    <w:rsid w:val="24BB8C91"/>
    <w:rsid w:val="24CA9044"/>
    <w:rsid w:val="24DFA7B6"/>
    <w:rsid w:val="24E7C758"/>
    <w:rsid w:val="24E8C604"/>
    <w:rsid w:val="24ECAE19"/>
    <w:rsid w:val="24F0AFBC"/>
    <w:rsid w:val="24F0CCA8"/>
    <w:rsid w:val="2500F795"/>
    <w:rsid w:val="25010175"/>
    <w:rsid w:val="25103FFD"/>
    <w:rsid w:val="25152AD0"/>
    <w:rsid w:val="25279A62"/>
    <w:rsid w:val="2536545A"/>
    <w:rsid w:val="25385EE0"/>
    <w:rsid w:val="253A2509"/>
    <w:rsid w:val="25482AD0"/>
    <w:rsid w:val="254F85F4"/>
    <w:rsid w:val="255EA26C"/>
    <w:rsid w:val="25619F57"/>
    <w:rsid w:val="25655C62"/>
    <w:rsid w:val="256737FA"/>
    <w:rsid w:val="25679670"/>
    <w:rsid w:val="256962C3"/>
    <w:rsid w:val="256C9151"/>
    <w:rsid w:val="257FA463"/>
    <w:rsid w:val="25835EE1"/>
    <w:rsid w:val="258D638B"/>
    <w:rsid w:val="258F2D2E"/>
    <w:rsid w:val="25A461C9"/>
    <w:rsid w:val="25A96C62"/>
    <w:rsid w:val="25AF0A60"/>
    <w:rsid w:val="25B29003"/>
    <w:rsid w:val="25B40971"/>
    <w:rsid w:val="25B6924A"/>
    <w:rsid w:val="25C09A4D"/>
    <w:rsid w:val="25C1EBBC"/>
    <w:rsid w:val="25C3897D"/>
    <w:rsid w:val="25C8304C"/>
    <w:rsid w:val="25D557C6"/>
    <w:rsid w:val="25E88954"/>
    <w:rsid w:val="25ED9A03"/>
    <w:rsid w:val="260AEBCC"/>
    <w:rsid w:val="260CA522"/>
    <w:rsid w:val="26129FFD"/>
    <w:rsid w:val="261E6AF5"/>
    <w:rsid w:val="2627C5BD"/>
    <w:rsid w:val="262CE853"/>
    <w:rsid w:val="2630287A"/>
    <w:rsid w:val="2637BD36"/>
    <w:rsid w:val="2637CA60"/>
    <w:rsid w:val="263DA4AB"/>
    <w:rsid w:val="2640EF02"/>
    <w:rsid w:val="2650883E"/>
    <w:rsid w:val="2657A458"/>
    <w:rsid w:val="26608A93"/>
    <w:rsid w:val="26609194"/>
    <w:rsid w:val="266E50B3"/>
    <w:rsid w:val="266EF84B"/>
    <w:rsid w:val="266FD5F2"/>
    <w:rsid w:val="26702D5A"/>
    <w:rsid w:val="2672378D"/>
    <w:rsid w:val="2687175C"/>
    <w:rsid w:val="26891309"/>
    <w:rsid w:val="2691F9DE"/>
    <w:rsid w:val="26A16601"/>
    <w:rsid w:val="26A26073"/>
    <w:rsid w:val="26A7038E"/>
    <w:rsid w:val="26B13FC1"/>
    <w:rsid w:val="26B83968"/>
    <w:rsid w:val="26BC2515"/>
    <w:rsid w:val="26C71861"/>
    <w:rsid w:val="26C84186"/>
    <w:rsid w:val="26CA8553"/>
    <w:rsid w:val="26CA86A0"/>
    <w:rsid w:val="26CD1DB6"/>
    <w:rsid w:val="26CE01BE"/>
    <w:rsid w:val="26D16E79"/>
    <w:rsid w:val="26D66F80"/>
    <w:rsid w:val="26DBE4A0"/>
    <w:rsid w:val="26F6B522"/>
    <w:rsid w:val="27036D02"/>
    <w:rsid w:val="270B8126"/>
    <w:rsid w:val="270D77BB"/>
    <w:rsid w:val="2710916E"/>
    <w:rsid w:val="27137FF6"/>
    <w:rsid w:val="2723753B"/>
    <w:rsid w:val="272718BA"/>
    <w:rsid w:val="2728755F"/>
    <w:rsid w:val="273C0CF2"/>
    <w:rsid w:val="274AFAC1"/>
    <w:rsid w:val="274C7CA6"/>
    <w:rsid w:val="27514B13"/>
    <w:rsid w:val="2763F090"/>
    <w:rsid w:val="2765C715"/>
    <w:rsid w:val="27666685"/>
    <w:rsid w:val="2769D268"/>
    <w:rsid w:val="278134DD"/>
    <w:rsid w:val="27840AB2"/>
    <w:rsid w:val="278D4CF1"/>
    <w:rsid w:val="278F7046"/>
    <w:rsid w:val="278FB6D7"/>
    <w:rsid w:val="2794F79D"/>
    <w:rsid w:val="27A15246"/>
    <w:rsid w:val="27A20730"/>
    <w:rsid w:val="27B71F55"/>
    <w:rsid w:val="27BA74D8"/>
    <w:rsid w:val="27C3D358"/>
    <w:rsid w:val="27C685DB"/>
    <w:rsid w:val="27C83A35"/>
    <w:rsid w:val="27E755E4"/>
    <w:rsid w:val="27E7BB86"/>
    <w:rsid w:val="27ED8F10"/>
    <w:rsid w:val="27F008D8"/>
    <w:rsid w:val="27F1A2A2"/>
    <w:rsid w:val="27FC1D45"/>
    <w:rsid w:val="28024D1F"/>
    <w:rsid w:val="280CEAFA"/>
    <w:rsid w:val="280D526A"/>
    <w:rsid w:val="2816D323"/>
    <w:rsid w:val="281B25DF"/>
    <w:rsid w:val="28223539"/>
    <w:rsid w:val="2823EBEE"/>
    <w:rsid w:val="282611F5"/>
    <w:rsid w:val="2826DF6E"/>
    <w:rsid w:val="282EEF04"/>
    <w:rsid w:val="283602F2"/>
    <w:rsid w:val="283E1B99"/>
    <w:rsid w:val="2854A89C"/>
    <w:rsid w:val="2854D374"/>
    <w:rsid w:val="28605767"/>
    <w:rsid w:val="28615313"/>
    <w:rsid w:val="2866FF37"/>
    <w:rsid w:val="2868AE34"/>
    <w:rsid w:val="286F682A"/>
    <w:rsid w:val="2873650A"/>
    <w:rsid w:val="287A5FC3"/>
    <w:rsid w:val="287A95FF"/>
    <w:rsid w:val="28847796"/>
    <w:rsid w:val="2884F91F"/>
    <w:rsid w:val="288B5108"/>
    <w:rsid w:val="288BA12E"/>
    <w:rsid w:val="289C4447"/>
    <w:rsid w:val="28A8E5B1"/>
    <w:rsid w:val="28AF3364"/>
    <w:rsid w:val="28B04664"/>
    <w:rsid w:val="28B80738"/>
    <w:rsid w:val="28B88360"/>
    <w:rsid w:val="28B88EA6"/>
    <w:rsid w:val="28B9E501"/>
    <w:rsid w:val="28C78020"/>
    <w:rsid w:val="28D6614A"/>
    <w:rsid w:val="28D8A79C"/>
    <w:rsid w:val="28D9968F"/>
    <w:rsid w:val="28DD43E6"/>
    <w:rsid w:val="28DEC152"/>
    <w:rsid w:val="28E95473"/>
    <w:rsid w:val="28F223B5"/>
    <w:rsid w:val="28F2A242"/>
    <w:rsid w:val="28F32D8D"/>
    <w:rsid w:val="28FCFE27"/>
    <w:rsid w:val="28FEB1B2"/>
    <w:rsid w:val="28FEB77D"/>
    <w:rsid w:val="290864A5"/>
    <w:rsid w:val="290F6772"/>
    <w:rsid w:val="2915A9CF"/>
    <w:rsid w:val="291A2B09"/>
    <w:rsid w:val="291C3816"/>
    <w:rsid w:val="29307319"/>
    <w:rsid w:val="29354233"/>
    <w:rsid w:val="2940B9E0"/>
    <w:rsid w:val="2941BC26"/>
    <w:rsid w:val="2944CA9B"/>
    <w:rsid w:val="294D09D8"/>
    <w:rsid w:val="294D85C7"/>
    <w:rsid w:val="295354F9"/>
    <w:rsid w:val="2960630E"/>
    <w:rsid w:val="296258B2"/>
    <w:rsid w:val="296D71B8"/>
    <w:rsid w:val="29712C18"/>
    <w:rsid w:val="297DB04D"/>
    <w:rsid w:val="2994DC5D"/>
    <w:rsid w:val="2995BB72"/>
    <w:rsid w:val="29A343B1"/>
    <w:rsid w:val="29BB5B29"/>
    <w:rsid w:val="29C0785B"/>
    <w:rsid w:val="29C12CC8"/>
    <w:rsid w:val="29E1D176"/>
    <w:rsid w:val="29F3B577"/>
    <w:rsid w:val="29FA413C"/>
    <w:rsid w:val="2A12918B"/>
    <w:rsid w:val="2A1BA68B"/>
    <w:rsid w:val="2A1BC603"/>
    <w:rsid w:val="2A1C1090"/>
    <w:rsid w:val="2A2C0C8D"/>
    <w:rsid w:val="2A344AB8"/>
    <w:rsid w:val="2A3CEA8D"/>
    <w:rsid w:val="2A41FDBC"/>
    <w:rsid w:val="2A4749B5"/>
    <w:rsid w:val="2A480679"/>
    <w:rsid w:val="2A53C5E7"/>
    <w:rsid w:val="2A59F79D"/>
    <w:rsid w:val="2A5B4D4F"/>
    <w:rsid w:val="2A604959"/>
    <w:rsid w:val="2A6FC1EB"/>
    <w:rsid w:val="2A73766F"/>
    <w:rsid w:val="2A78E622"/>
    <w:rsid w:val="2A7B0C3F"/>
    <w:rsid w:val="2A7DF0B7"/>
    <w:rsid w:val="2A7FFE6E"/>
    <w:rsid w:val="2A8004CD"/>
    <w:rsid w:val="2A988281"/>
    <w:rsid w:val="2A99B752"/>
    <w:rsid w:val="2AB785D3"/>
    <w:rsid w:val="2AC06223"/>
    <w:rsid w:val="2AC90003"/>
    <w:rsid w:val="2AC9EC93"/>
    <w:rsid w:val="2ACE0359"/>
    <w:rsid w:val="2AE64DF3"/>
    <w:rsid w:val="2AF90827"/>
    <w:rsid w:val="2AFCB9E6"/>
    <w:rsid w:val="2AFCC238"/>
    <w:rsid w:val="2B039FBC"/>
    <w:rsid w:val="2B0ABBDF"/>
    <w:rsid w:val="2B121CBD"/>
    <w:rsid w:val="2B266F33"/>
    <w:rsid w:val="2B2A3298"/>
    <w:rsid w:val="2B352DB1"/>
    <w:rsid w:val="2B3AE18A"/>
    <w:rsid w:val="2B43A680"/>
    <w:rsid w:val="2B45A916"/>
    <w:rsid w:val="2B509C45"/>
    <w:rsid w:val="2B56C5EB"/>
    <w:rsid w:val="2B5C7445"/>
    <w:rsid w:val="2B5F20F1"/>
    <w:rsid w:val="2B60F826"/>
    <w:rsid w:val="2B64D375"/>
    <w:rsid w:val="2B69F815"/>
    <w:rsid w:val="2B779FAB"/>
    <w:rsid w:val="2B7970FF"/>
    <w:rsid w:val="2B7BB33B"/>
    <w:rsid w:val="2B9783BE"/>
    <w:rsid w:val="2B983EAE"/>
    <w:rsid w:val="2B99F337"/>
    <w:rsid w:val="2B9C1B00"/>
    <w:rsid w:val="2B9D29A3"/>
    <w:rsid w:val="2BA0E846"/>
    <w:rsid w:val="2BA8518F"/>
    <w:rsid w:val="2BB35339"/>
    <w:rsid w:val="2BD63352"/>
    <w:rsid w:val="2BDD3814"/>
    <w:rsid w:val="2BE68803"/>
    <w:rsid w:val="2BE707AD"/>
    <w:rsid w:val="2BEDAE88"/>
    <w:rsid w:val="2BF954CE"/>
    <w:rsid w:val="2C05F186"/>
    <w:rsid w:val="2C07F45C"/>
    <w:rsid w:val="2C0CF81D"/>
    <w:rsid w:val="2C1B8328"/>
    <w:rsid w:val="2C26323D"/>
    <w:rsid w:val="2C3CDB44"/>
    <w:rsid w:val="2C432E3E"/>
    <w:rsid w:val="2C49B41E"/>
    <w:rsid w:val="2C4D1E1C"/>
    <w:rsid w:val="2C4F2C85"/>
    <w:rsid w:val="2C563CFC"/>
    <w:rsid w:val="2C56FA22"/>
    <w:rsid w:val="2C586657"/>
    <w:rsid w:val="2C5D027F"/>
    <w:rsid w:val="2C6EC5B2"/>
    <w:rsid w:val="2C732322"/>
    <w:rsid w:val="2C78FE60"/>
    <w:rsid w:val="2C7F9ABC"/>
    <w:rsid w:val="2C808644"/>
    <w:rsid w:val="2C929F50"/>
    <w:rsid w:val="2C9C448C"/>
    <w:rsid w:val="2C9F6406"/>
    <w:rsid w:val="2CB6B01F"/>
    <w:rsid w:val="2CC62460"/>
    <w:rsid w:val="2CDF3648"/>
    <w:rsid w:val="2CE2C513"/>
    <w:rsid w:val="2CE5C7D2"/>
    <w:rsid w:val="2CFBE534"/>
    <w:rsid w:val="2D10E8AD"/>
    <w:rsid w:val="2D12937E"/>
    <w:rsid w:val="2D209148"/>
    <w:rsid w:val="2D22710D"/>
    <w:rsid w:val="2D27724E"/>
    <w:rsid w:val="2D2CC39E"/>
    <w:rsid w:val="2D341D21"/>
    <w:rsid w:val="2D42F597"/>
    <w:rsid w:val="2D43172B"/>
    <w:rsid w:val="2D44A2DB"/>
    <w:rsid w:val="2D4537AA"/>
    <w:rsid w:val="2D49EBCB"/>
    <w:rsid w:val="2D4A76C8"/>
    <w:rsid w:val="2D643636"/>
    <w:rsid w:val="2D6BC330"/>
    <w:rsid w:val="2D6BE120"/>
    <w:rsid w:val="2D700403"/>
    <w:rsid w:val="2D7A3440"/>
    <w:rsid w:val="2D7A75BE"/>
    <w:rsid w:val="2D7C2FA3"/>
    <w:rsid w:val="2D8B3973"/>
    <w:rsid w:val="2DA68CB5"/>
    <w:rsid w:val="2DAA7FB9"/>
    <w:rsid w:val="2DB9502A"/>
    <w:rsid w:val="2DBC3483"/>
    <w:rsid w:val="2DC64A9E"/>
    <w:rsid w:val="2DC9B0B4"/>
    <w:rsid w:val="2DD1B3C6"/>
    <w:rsid w:val="2DD5527C"/>
    <w:rsid w:val="2DDE16EC"/>
    <w:rsid w:val="2DE93205"/>
    <w:rsid w:val="2DE987CA"/>
    <w:rsid w:val="2DEAAB74"/>
    <w:rsid w:val="2DEACCF9"/>
    <w:rsid w:val="2DEDEF41"/>
    <w:rsid w:val="2DFDEC38"/>
    <w:rsid w:val="2E0E0226"/>
    <w:rsid w:val="2E0F8C2D"/>
    <w:rsid w:val="2E14C19B"/>
    <w:rsid w:val="2E1B2196"/>
    <w:rsid w:val="2E1C49D9"/>
    <w:rsid w:val="2E248085"/>
    <w:rsid w:val="2E279052"/>
    <w:rsid w:val="2E298BA6"/>
    <w:rsid w:val="2E2AFB61"/>
    <w:rsid w:val="2E2E587A"/>
    <w:rsid w:val="2E42BE32"/>
    <w:rsid w:val="2E465B94"/>
    <w:rsid w:val="2E48D846"/>
    <w:rsid w:val="2E4B83AF"/>
    <w:rsid w:val="2E4D08DE"/>
    <w:rsid w:val="2E6E1603"/>
    <w:rsid w:val="2E6FC5E4"/>
    <w:rsid w:val="2E777A34"/>
    <w:rsid w:val="2E7E21EA"/>
    <w:rsid w:val="2E7EDA25"/>
    <w:rsid w:val="2E843E70"/>
    <w:rsid w:val="2E858663"/>
    <w:rsid w:val="2E881246"/>
    <w:rsid w:val="2E9C8A30"/>
    <w:rsid w:val="2E9F5417"/>
    <w:rsid w:val="2EA419FF"/>
    <w:rsid w:val="2EAA2FD6"/>
    <w:rsid w:val="2EAB3084"/>
    <w:rsid w:val="2EB837F1"/>
    <w:rsid w:val="2EB85F2F"/>
    <w:rsid w:val="2EBDB718"/>
    <w:rsid w:val="2EC318D9"/>
    <w:rsid w:val="2ECA5C5E"/>
    <w:rsid w:val="2ECD7929"/>
    <w:rsid w:val="2ED3031D"/>
    <w:rsid w:val="2ED694BA"/>
    <w:rsid w:val="2ED88AE1"/>
    <w:rsid w:val="2EDBCA51"/>
    <w:rsid w:val="2EE4E7DB"/>
    <w:rsid w:val="2EF94F1B"/>
    <w:rsid w:val="2EFAFEE5"/>
    <w:rsid w:val="2EFDEF92"/>
    <w:rsid w:val="2EFED387"/>
    <w:rsid w:val="2EFF0A78"/>
    <w:rsid w:val="2F0309E5"/>
    <w:rsid w:val="2F07ED2A"/>
    <w:rsid w:val="2F1D24F5"/>
    <w:rsid w:val="2F1EF333"/>
    <w:rsid w:val="2F209920"/>
    <w:rsid w:val="2F23C2AF"/>
    <w:rsid w:val="2F29A6DF"/>
    <w:rsid w:val="2F2BE5DA"/>
    <w:rsid w:val="2F348207"/>
    <w:rsid w:val="2F3CBBFC"/>
    <w:rsid w:val="2F3E717B"/>
    <w:rsid w:val="2F41BDFA"/>
    <w:rsid w:val="2F49B1C2"/>
    <w:rsid w:val="2F61072A"/>
    <w:rsid w:val="2F633802"/>
    <w:rsid w:val="2F65D6C4"/>
    <w:rsid w:val="2F6990F1"/>
    <w:rsid w:val="2F6CFDAE"/>
    <w:rsid w:val="2F71FE14"/>
    <w:rsid w:val="2F7209D3"/>
    <w:rsid w:val="2F7AE467"/>
    <w:rsid w:val="2F7EABB7"/>
    <w:rsid w:val="2F844DB2"/>
    <w:rsid w:val="2F87EC65"/>
    <w:rsid w:val="2F91AE2F"/>
    <w:rsid w:val="2F961CCF"/>
    <w:rsid w:val="2FADD877"/>
    <w:rsid w:val="2FB22E40"/>
    <w:rsid w:val="2FC50180"/>
    <w:rsid w:val="2FD1F73B"/>
    <w:rsid w:val="2FD86BDE"/>
    <w:rsid w:val="2FD8FD06"/>
    <w:rsid w:val="2FF15CF2"/>
    <w:rsid w:val="3008FF5E"/>
    <w:rsid w:val="300B88F3"/>
    <w:rsid w:val="301AD1F0"/>
    <w:rsid w:val="301DCAD7"/>
    <w:rsid w:val="301E266D"/>
    <w:rsid w:val="301F737F"/>
    <w:rsid w:val="302AFC46"/>
    <w:rsid w:val="3036716B"/>
    <w:rsid w:val="3039C9C9"/>
    <w:rsid w:val="303B5DC4"/>
    <w:rsid w:val="30429AAA"/>
    <w:rsid w:val="30699553"/>
    <w:rsid w:val="307342E0"/>
    <w:rsid w:val="307DC019"/>
    <w:rsid w:val="3082C04D"/>
    <w:rsid w:val="30853925"/>
    <w:rsid w:val="3087A792"/>
    <w:rsid w:val="308A4A1C"/>
    <w:rsid w:val="308FB595"/>
    <w:rsid w:val="3095530D"/>
    <w:rsid w:val="309C6886"/>
    <w:rsid w:val="30A34E4C"/>
    <w:rsid w:val="30A67D47"/>
    <w:rsid w:val="30A9DA64"/>
    <w:rsid w:val="30A9F4DF"/>
    <w:rsid w:val="30B2A175"/>
    <w:rsid w:val="30B85CF9"/>
    <w:rsid w:val="30BA6AB2"/>
    <w:rsid w:val="30D325FF"/>
    <w:rsid w:val="30D82045"/>
    <w:rsid w:val="30DA0F51"/>
    <w:rsid w:val="30E1226E"/>
    <w:rsid w:val="30EB04AF"/>
    <w:rsid w:val="30EF6751"/>
    <w:rsid w:val="30FBE4C4"/>
    <w:rsid w:val="31021648"/>
    <w:rsid w:val="31038748"/>
    <w:rsid w:val="310D3B6A"/>
    <w:rsid w:val="31157DEB"/>
    <w:rsid w:val="31166ED0"/>
    <w:rsid w:val="311BD938"/>
    <w:rsid w:val="311F0640"/>
    <w:rsid w:val="311FC27F"/>
    <w:rsid w:val="3127D48E"/>
    <w:rsid w:val="3134D458"/>
    <w:rsid w:val="31367B16"/>
    <w:rsid w:val="313A6444"/>
    <w:rsid w:val="313CFFE1"/>
    <w:rsid w:val="31493868"/>
    <w:rsid w:val="314E3EC3"/>
    <w:rsid w:val="3150D993"/>
    <w:rsid w:val="31741E1F"/>
    <w:rsid w:val="318D2D53"/>
    <w:rsid w:val="319B3560"/>
    <w:rsid w:val="31A36B92"/>
    <w:rsid w:val="31A6301B"/>
    <w:rsid w:val="31A7F2E7"/>
    <w:rsid w:val="31C1F4A7"/>
    <w:rsid w:val="31CFD013"/>
    <w:rsid w:val="31D02AFB"/>
    <w:rsid w:val="31D4CD05"/>
    <w:rsid w:val="31D6BBA3"/>
    <w:rsid w:val="31D7B5EA"/>
    <w:rsid w:val="31DB3849"/>
    <w:rsid w:val="31DB69B5"/>
    <w:rsid w:val="31DCD1EC"/>
    <w:rsid w:val="31DD7984"/>
    <w:rsid w:val="31E0A2B4"/>
    <w:rsid w:val="31E5FC78"/>
    <w:rsid w:val="31EA20C0"/>
    <w:rsid w:val="31ED46C5"/>
    <w:rsid w:val="32049F5F"/>
    <w:rsid w:val="320A78E8"/>
    <w:rsid w:val="3215D50A"/>
    <w:rsid w:val="3217A042"/>
    <w:rsid w:val="321BB93A"/>
    <w:rsid w:val="32353C22"/>
    <w:rsid w:val="323555D4"/>
    <w:rsid w:val="323DA3CC"/>
    <w:rsid w:val="323E3D51"/>
    <w:rsid w:val="323F163E"/>
    <w:rsid w:val="3243D802"/>
    <w:rsid w:val="3249A60A"/>
    <w:rsid w:val="325203F6"/>
    <w:rsid w:val="32564DC2"/>
    <w:rsid w:val="32586244"/>
    <w:rsid w:val="3260E5C2"/>
    <w:rsid w:val="3264A0A8"/>
    <w:rsid w:val="3264D69D"/>
    <w:rsid w:val="3266BFCA"/>
    <w:rsid w:val="3268DBDF"/>
    <w:rsid w:val="3280B6FD"/>
    <w:rsid w:val="3280DE3B"/>
    <w:rsid w:val="329751B4"/>
    <w:rsid w:val="329B0B67"/>
    <w:rsid w:val="329B4530"/>
    <w:rsid w:val="32A27C11"/>
    <w:rsid w:val="32A46DF1"/>
    <w:rsid w:val="32ADDBBD"/>
    <w:rsid w:val="32B69D29"/>
    <w:rsid w:val="32BAC463"/>
    <w:rsid w:val="32BBA709"/>
    <w:rsid w:val="32C6BEF5"/>
    <w:rsid w:val="32CA0F1D"/>
    <w:rsid w:val="32E1E6F0"/>
    <w:rsid w:val="32E3869D"/>
    <w:rsid w:val="32E93E1F"/>
    <w:rsid w:val="32EDDF28"/>
    <w:rsid w:val="32EEF71A"/>
    <w:rsid w:val="32F04EAC"/>
    <w:rsid w:val="32F444D8"/>
    <w:rsid w:val="32F48706"/>
    <w:rsid w:val="32FE6E19"/>
    <w:rsid w:val="32FE82FF"/>
    <w:rsid w:val="32FF0E0B"/>
    <w:rsid w:val="33068C26"/>
    <w:rsid w:val="330BE288"/>
    <w:rsid w:val="330CD3AB"/>
    <w:rsid w:val="330FD37F"/>
    <w:rsid w:val="331595F6"/>
    <w:rsid w:val="331623F6"/>
    <w:rsid w:val="331D0DA7"/>
    <w:rsid w:val="33214342"/>
    <w:rsid w:val="333C8EF8"/>
    <w:rsid w:val="333F517F"/>
    <w:rsid w:val="33437A38"/>
    <w:rsid w:val="334633E3"/>
    <w:rsid w:val="334B1C61"/>
    <w:rsid w:val="334D55B8"/>
    <w:rsid w:val="334EB319"/>
    <w:rsid w:val="3353C83F"/>
    <w:rsid w:val="3356B4D6"/>
    <w:rsid w:val="335A8CE5"/>
    <w:rsid w:val="335ADF81"/>
    <w:rsid w:val="3368736F"/>
    <w:rsid w:val="3384486E"/>
    <w:rsid w:val="338825CE"/>
    <w:rsid w:val="3389A718"/>
    <w:rsid w:val="339412CA"/>
    <w:rsid w:val="339AC78A"/>
    <w:rsid w:val="33A5E40F"/>
    <w:rsid w:val="33A8E9DB"/>
    <w:rsid w:val="33B4C49F"/>
    <w:rsid w:val="33B54A35"/>
    <w:rsid w:val="33C9E481"/>
    <w:rsid w:val="33D334C9"/>
    <w:rsid w:val="33D39B5E"/>
    <w:rsid w:val="33D48142"/>
    <w:rsid w:val="33D74C51"/>
    <w:rsid w:val="33DBF691"/>
    <w:rsid w:val="33E53761"/>
    <w:rsid w:val="33E8109F"/>
    <w:rsid w:val="33F8D723"/>
    <w:rsid w:val="33FCB5C7"/>
    <w:rsid w:val="3408DEA1"/>
    <w:rsid w:val="340CC573"/>
    <w:rsid w:val="342077DA"/>
    <w:rsid w:val="3423A5C3"/>
    <w:rsid w:val="342BAE84"/>
    <w:rsid w:val="342ED018"/>
    <w:rsid w:val="34366E15"/>
    <w:rsid w:val="3438626E"/>
    <w:rsid w:val="343F0D3F"/>
    <w:rsid w:val="3444ABCD"/>
    <w:rsid w:val="345BC1FD"/>
    <w:rsid w:val="345DC595"/>
    <w:rsid w:val="3474C83D"/>
    <w:rsid w:val="3480DD04"/>
    <w:rsid w:val="3487B2A1"/>
    <w:rsid w:val="34953417"/>
    <w:rsid w:val="34957DED"/>
    <w:rsid w:val="349DC3A9"/>
    <w:rsid w:val="34A94F75"/>
    <w:rsid w:val="34B02734"/>
    <w:rsid w:val="34B03D5F"/>
    <w:rsid w:val="34B88F46"/>
    <w:rsid w:val="34B8EFD0"/>
    <w:rsid w:val="34BC77B2"/>
    <w:rsid w:val="34C06FEA"/>
    <w:rsid w:val="34C8CDFE"/>
    <w:rsid w:val="34CE4617"/>
    <w:rsid w:val="34DEBB04"/>
    <w:rsid w:val="34E0813D"/>
    <w:rsid w:val="34E17AD4"/>
    <w:rsid w:val="34E7186B"/>
    <w:rsid w:val="34E8470E"/>
    <w:rsid w:val="34F6531E"/>
    <w:rsid w:val="35032CA5"/>
    <w:rsid w:val="350D8404"/>
    <w:rsid w:val="350E4855"/>
    <w:rsid w:val="3525D3E0"/>
    <w:rsid w:val="352D3784"/>
    <w:rsid w:val="352EA152"/>
    <w:rsid w:val="353013A3"/>
    <w:rsid w:val="3536BB13"/>
    <w:rsid w:val="3537BCCD"/>
    <w:rsid w:val="35512264"/>
    <w:rsid w:val="3555A4EC"/>
    <w:rsid w:val="355B29FA"/>
    <w:rsid w:val="357229F3"/>
    <w:rsid w:val="3579D2FA"/>
    <w:rsid w:val="357C7A20"/>
    <w:rsid w:val="357CB70F"/>
    <w:rsid w:val="357D421B"/>
    <w:rsid w:val="35882C9C"/>
    <w:rsid w:val="35888E2C"/>
    <w:rsid w:val="35898C2F"/>
    <w:rsid w:val="35968EB9"/>
    <w:rsid w:val="35A5F890"/>
    <w:rsid w:val="35B9B832"/>
    <w:rsid w:val="35C1A268"/>
    <w:rsid w:val="35C3F8C3"/>
    <w:rsid w:val="35D0F8E8"/>
    <w:rsid w:val="35E71AAE"/>
    <w:rsid w:val="35ED1301"/>
    <w:rsid w:val="35FAFD20"/>
    <w:rsid w:val="36014881"/>
    <w:rsid w:val="3605DA13"/>
    <w:rsid w:val="3607C3E8"/>
    <w:rsid w:val="362418E5"/>
    <w:rsid w:val="3624F974"/>
    <w:rsid w:val="364460CF"/>
    <w:rsid w:val="36470F9A"/>
    <w:rsid w:val="364DEEFE"/>
    <w:rsid w:val="3654CF2C"/>
    <w:rsid w:val="3658BF04"/>
    <w:rsid w:val="3672ACD5"/>
    <w:rsid w:val="367D1338"/>
    <w:rsid w:val="367D9A50"/>
    <w:rsid w:val="368735B7"/>
    <w:rsid w:val="368C586F"/>
    <w:rsid w:val="368DAF49"/>
    <w:rsid w:val="3698B3D1"/>
    <w:rsid w:val="36A20414"/>
    <w:rsid w:val="36A83BC1"/>
    <w:rsid w:val="36A8BB2B"/>
    <w:rsid w:val="36A962C3"/>
    <w:rsid w:val="36BBBE78"/>
    <w:rsid w:val="36C74D5F"/>
    <w:rsid w:val="36CB7AE4"/>
    <w:rsid w:val="36CEAFF8"/>
    <w:rsid w:val="36D50AC5"/>
    <w:rsid w:val="36DABB03"/>
    <w:rsid w:val="36DECF5B"/>
    <w:rsid w:val="36EFF881"/>
    <w:rsid w:val="36F01FD4"/>
    <w:rsid w:val="36FE5012"/>
    <w:rsid w:val="36FF080F"/>
    <w:rsid w:val="371D2A9E"/>
    <w:rsid w:val="371D7291"/>
    <w:rsid w:val="37221C89"/>
    <w:rsid w:val="372B6EAE"/>
    <w:rsid w:val="372DC494"/>
    <w:rsid w:val="3733AE33"/>
    <w:rsid w:val="37393B30"/>
    <w:rsid w:val="373A1BE3"/>
    <w:rsid w:val="374BB94D"/>
    <w:rsid w:val="374F71FB"/>
    <w:rsid w:val="37551201"/>
    <w:rsid w:val="37572F2D"/>
    <w:rsid w:val="37593538"/>
    <w:rsid w:val="375B6E48"/>
    <w:rsid w:val="376BD878"/>
    <w:rsid w:val="3779E9B7"/>
    <w:rsid w:val="37849CEE"/>
    <w:rsid w:val="378DFFC3"/>
    <w:rsid w:val="3791C8CA"/>
    <w:rsid w:val="379993D3"/>
    <w:rsid w:val="37A2AE00"/>
    <w:rsid w:val="37A3D4CA"/>
    <w:rsid w:val="37A40631"/>
    <w:rsid w:val="37A8F585"/>
    <w:rsid w:val="37B7DB9C"/>
    <w:rsid w:val="37D2584F"/>
    <w:rsid w:val="37D2587C"/>
    <w:rsid w:val="37E23E58"/>
    <w:rsid w:val="37E3562D"/>
    <w:rsid w:val="37E4D839"/>
    <w:rsid w:val="37E5E881"/>
    <w:rsid w:val="37E6F3B4"/>
    <w:rsid w:val="37E71994"/>
    <w:rsid w:val="37F22BA5"/>
    <w:rsid w:val="37F87DF4"/>
    <w:rsid w:val="37FE55A9"/>
    <w:rsid w:val="38005AB0"/>
    <w:rsid w:val="3805D521"/>
    <w:rsid w:val="380B3ABE"/>
    <w:rsid w:val="3815219B"/>
    <w:rsid w:val="38154033"/>
    <w:rsid w:val="38179551"/>
    <w:rsid w:val="381A0C8C"/>
    <w:rsid w:val="381E2B3E"/>
    <w:rsid w:val="381FF057"/>
    <w:rsid w:val="381FF676"/>
    <w:rsid w:val="3825A1B3"/>
    <w:rsid w:val="3829CF28"/>
    <w:rsid w:val="382C7CEC"/>
    <w:rsid w:val="384D1F6D"/>
    <w:rsid w:val="384DB12F"/>
    <w:rsid w:val="384E6619"/>
    <w:rsid w:val="3864ED65"/>
    <w:rsid w:val="386844EA"/>
    <w:rsid w:val="3877ABCB"/>
    <w:rsid w:val="387EE389"/>
    <w:rsid w:val="388086F9"/>
    <w:rsid w:val="38846EB6"/>
    <w:rsid w:val="388544A3"/>
    <w:rsid w:val="3888A114"/>
    <w:rsid w:val="38A3341C"/>
    <w:rsid w:val="38A63B3A"/>
    <w:rsid w:val="38C60BA6"/>
    <w:rsid w:val="38C7C1E7"/>
    <w:rsid w:val="38CD2BB6"/>
    <w:rsid w:val="38DFA6D3"/>
    <w:rsid w:val="38DFDBDB"/>
    <w:rsid w:val="38E7E217"/>
    <w:rsid w:val="38EFDB95"/>
    <w:rsid w:val="39006D5C"/>
    <w:rsid w:val="390539CF"/>
    <w:rsid w:val="390A4AFF"/>
    <w:rsid w:val="3912FDCA"/>
    <w:rsid w:val="391A16D6"/>
    <w:rsid w:val="391B12F5"/>
    <w:rsid w:val="39259693"/>
    <w:rsid w:val="392E3DC7"/>
    <w:rsid w:val="393A7025"/>
    <w:rsid w:val="393F8196"/>
    <w:rsid w:val="395073B7"/>
    <w:rsid w:val="3951F79F"/>
    <w:rsid w:val="3955503A"/>
    <w:rsid w:val="395ADB67"/>
    <w:rsid w:val="395E65BD"/>
    <w:rsid w:val="395E9AE7"/>
    <w:rsid w:val="3966FC01"/>
    <w:rsid w:val="3977505A"/>
    <w:rsid w:val="397DC24E"/>
    <w:rsid w:val="3984B9A6"/>
    <w:rsid w:val="3989A2CF"/>
    <w:rsid w:val="39957639"/>
    <w:rsid w:val="39971F00"/>
    <w:rsid w:val="399C0EDE"/>
    <w:rsid w:val="39A100A7"/>
    <w:rsid w:val="39A329DB"/>
    <w:rsid w:val="39A3D875"/>
    <w:rsid w:val="39A65E1B"/>
    <w:rsid w:val="39BBFE21"/>
    <w:rsid w:val="39BF13C4"/>
    <w:rsid w:val="39C11D8D"/>
    <w:rsid w:val="39C1D1AB"/>
    <w:rsid w:val="39C23C5D"/>
    <w:rsid w:val="39C71F8D"/>
    <w:rsid w:val="39CCD9B7"/>
    <w:rsid w:val="39CFEAF7"/>
    <w:rsid w:val="39D9B4D4"/>
    <w:rsid w:val="39E93A5B"/>
    <w:rsid w:val="39FD3624"/>
    <w:rsid w:val="3A07E103"/>
    <w:rsid w:val="3A0B8597"/>
    <w:rsid w:val="3A0DD550"/>
    <w:rsid w:val="3A131060"/>
    <w:rsid w:val="3A1576AD"/>
    <w:rsid w:val="3A1D8109"/>
    <w:rsid w:val="3A241DE1"/>
    <w:rsid w:val="3A271339"/>
    <w:rsid w:val="3A2E1FEF"/>
    <w:rsid w:val="3A36C6E6"/>
    <w:rsid w:val="3A3B3114"/>
    <w:rsid w:val="3A3FA8F9"/>
    <w:rsid w:val="3A40FA33"/>
    <w:rsid w:val="3A43EDDA"/>
    <w:rsid w:val="3A53E95B"/>
    <w:rsid w:val="3A650B9B"/>
    <w:rsid w:val="3A66BC8B"/>
    <w:rsid w:val="3A782768"/>
    <w:rsid w:val="3A814043"/>
    <w:rsid w:val="3A89FEA2"/>
    <w:rsid w:val="3A8E305F"/>
    <w:rsid w:val="3A9021F2"/>
    <w:rsid w:val="3A907199"/>
    <w:rsid w:val="3A95BEEA"/>
    <w:rsid w:val="3A982818"/>
    <w:rsid w:val="3A99423B"/>
    <w:rsid w:val="3A9CB3FC"/>
    <w:rsid w:val="3A9E0A08"/>
    <w:rsid w:val="3AA69B55"/>
    <w:rsid w:val="3AAC8E53"/>
    <w:rsid w:val="3AB670A7"/>
    <w:rsid w:val="3AC53980"/>
    <w:rsid w:val="3ACB2403"/>
    <w:rsid w:val="3ACB621F"/>
    <w:rsid w:val="3ACDD029"/>
    <w:rsid w:val="3ACF504B"/>
    <w:rsid w:val="3AD56888"/>
    <w:rsid w:val="3ADFE1E4"/>
    <w:rsid w:val="3AE48765"/>
    <w:rsid w:val="3AE8FA94"/>
    <w:rsid w:val="3AEAB081"/>
    <w:rsid w:val="3B0B0579"/>
    <w:rsid w:val="3B1E4EE4"/>
    <w:rsid w:val="3B211820"/>
    <w:rsid w:val="3B2BB3C2"/>
    <w:rsid w:val="3B318A22"/>
    <w:rsid w:val="3B31DFE7"/>
    <w:rsid w:val="3B33EEC3"/>
    <w:rsid w:val="3B37CEC5"/>
    <w:rsid w:val="3B390658"/>
    <w:rsid w:val="3B3F4EB0"/>
    <w:rsid w:val="3B3FC38A"/>
    <w:rsid w:val="3B407874"/>
    <w:rsid w:val="3B45E539"/>
    <w:rsid w:val="3B4E448C"/>
    <w:rsid w:val="3B5D034A"/>
    <w:rsid w:val="3B6C4151"/>
    <w:rsid w:val="3B71634F"/>
    <w:rsid w:val="3B7555E7"/>
    <w:rsid w:val="3B768111"/>
    <w:rsid w:val="3B98527D"/>
    <w:rsid w:val="3BB32A4C"/>
    <w:rsid w:val="3BB4C2FF"/>
    <w:rsid w:val="3BB66E20"/>
    <w:rsid w:val="3BB81E01"/>
    <w:rsid w:val="3BB85C41"/>
    <w:rsid w:val="3BBFD251"/>
    <w:rsid w:val="3BC73242"/>
    <w:rsid w:val="3BCC968D"/>
    <w:rsid w:val="3BDE4B1E"/>
    <w:rsid w:val="3BEEFC32"/>
    <w:rsid w:val="3BFDF4C5"/>
    <w:rsid w:val="3C0326EA"/>
    <w:rsid w:val="3C049CD4"/>
    <w:rsid w:val="3C04DA7A"/>
    <w:rsid w:val="3C06D482"/>
    <w:rsid w:val="3C109DCA"/>
    <w:rsid w:val="3C17A28C"/>
    <w:rsid w:val="3C1B48A6"/>
    <w:rsid w:val="3C22F073"/>
    <w:rsid w:val="3C34C27F"/>
    <w:rsid w:val="3C398077"/>
    <w:rsid w:val="3C3EB9B9"/>
    <w:rsid w:val="3C434C7D"/>
    <w:rsid w:val="3C44DC2C"/>
    <w:rsid w:val="3C471B6E"/>
    <w:rsid w:val="3C4A45CA"/>
    <w:rsid w:val="3C4ABACE"/>
    <w:rsid w:val="3C4FA3A7"/>
    <w:rsid w:val="3C5623E1"/>
    <w:rsid w:val="3C63C8D5"/>
    <w:rsid w:val="3C6FE936"/>
    <w:rsid w:val="3C704929"/>
    <w:rsid w:val="3C7B21D9"/>
    <w:rsid w:val="3C7BE3FD"/>
    <w:rsid w:val="3C821AAC"/>
    <w:rsid w:val="3C851419"/>
    <w:rsid w:val="3C9D6028"/>
    <w:rsid w:val="3CA50739"/>
    <w:rsid w:val="3CAACF03"/>
    <w:rsid w:val="3CAE107C"/>
    <w:rsid w:val="3CB111BB"/>
    <w:rsid w:val="3CB2DCF3"/>
    <w:rsid w:val="3CBA10D0"/>
    <w:rsid w:val="3CBAF0BC"/>
    <w:rsid w:val="3CCBC72F"/>
    <w:rsid w:val="3CD46176"/>
    <w:rsid w:val="3CDEAD88"/>
    <w:rsid w:val="3CE4D204"/>
    <w:rsid w:val="3CED193E"/>
    <w:rsid w:val="3CF437FE"/>
    <w:rsid w:val="3CFC0054"/>
    <w:rsid w:val="3D032B3C"/>
    <w:rsid w:val="3D1F2A14"/>
    <w:rsid w:val="3D2C7D6A"/>
    <w:rsid w:val="3D2FC6EB"/>
    <w:rsid w:val="3D2FF299"/>
    <w:rsid w:val="3D3142D7"/>
    <w:rsid w:val="3D33DD66"/>
    <w:rsid w:val="3D34D8AC"/>
    <w:rsid w:val="3D3F83B9"/>
    <w:rsid w:val="3D42373A"/>
    <w:rsid w:val="3D42B9B9"/>
    <w:rsid w:val="3D42F0A3"/>
    <w:rsid w:val="3D4B2196"/>
    <w:rsid w:val="3D5F917E"/>
    <w:rsid w:val="3D60397E"/>
    <w:rsid w:val="3D624779"/>
    <w:rsid w:val="3D72D443"/>
    <w:rsid w:val="3D7850F7"/>
    <w:rsid w:val="3D7EE1FE"/>
    <w:rsid w:val="3D845643"/>
    <w:rsid w:val="3D8AF2C7"/>
    <w:rsid w:val="3D8BE517"/>
    <w:rsid w:val="3D8D0DB3"/>
    <w:rsid w:val="3D90E918"/>
    <w:rsid w:val="3D9FCCFA"/>
    <w:rsid w:val="3DB7B8EB"/>
    <w:rsid w:val="3DB9EEE1"/>
    <w:rsid w:val="3DCB08F6"/>
    <w:rsid w:val="3DD7CBA9"/>
    <w:rsid w:val="3DD80DB2"/>
    <w:rsid w:val="3DDD0C72"/>
    <w:rsid w:val="3DE1502B"/>
    <w:rsid w:val="3DEF4C0C"/>
    <w:rsid w:val="3DEF5F74"/>
    <w:rsid w:val="3DEF69C9"/>
    <w:rsid w:val="3E10A7FC"/>
    <w:rsid w:val="3E150231"/>
    <w:rsid w:val="3E2279DD"/>
    <w:rsid w:val="3E251C13"/>
    <w:rsid w:val="3E288EEC"/>
    <w:rsid w:val="3E29E120"/>
    <w:rsid w:val="3E2CD53A"/>
    <w:rsid w:val="3E31EA11"/>
    <w:rsid w:val="3E328ACF"/>
    <w:rsid w:val="3E35835B"/>
    <w:rsid w:val="3E363A6E"/>
    <w:rsid w:val="3E3D736B"/>
    <w:rsid w:val="3E41DE27"/>
    <w:rsid w:val="3E4C8FF7"/>
    <w:rsid w:val="3E5CDF11"/>
    <w:rsid w:val="3E5E915E"/>
    <w:rsid w:val="3E6FAAB0"/>
    <w:rsid w:val="3E8A48AF"/>
    <w:rsid w:val="3E8EB709"/>
    <w:rsid w:val="3E8EF6F6"/>
    <w:rsid w:val="3E98B917"/>
    <w:rsid w:val="3EA3E1EC"/>
    <w:rsid w:val="3EAF0F7B"/>
    <w:rsid w:val="3EBC6CC6"/>
    <w:rsid w:val="3EC29DC8"/>
    <w:rsid w:val="3EC37E78"/>
    <w:rsid w:val="3ECFA7AE"/>
    <w:rsid w:val="3ED0A19E"/>
    <w:rsid w:val="3ED13E0A"/>
    <w:rsid w:val="3ED2337E"/>
    <w:rsid w:val="3ED9F160"/>
    <w:rsid w:val="3EDA3942"/>
    <w:rsid w:val="3EE2F3D2"/>
    <w:rsid w:val="3EEF6086"/>
    <w:rsid w:val="3EF00720"/>
    <w:rsid w:val="3EF0FE13"/>
    <w:rsid w:val="3EFCC921"/>
    <w:rsid w:val="3EFF7CF5"/>
    <w:rsid w:val="3F03E1E0"/>
    <w:rsid w:val="3F0951B6"/>
    <w:rsid w:val="3F12F2A3"/>
    <w:rsid w:val="3F14B066"/>
    <w:rsid w:val="3F1502CE"/>
    <w:rsid w:val="3F157CBE"/>
    <w:rsid w:val="3F198351"/>
    <w:rsid w:val="3F1FC729"/>
    <w:rsid w:val="3F2D23C7"/>
    <w:rsid w:val="3F30A5BF"/>
    <w:rsid w:val="3F385ED0"/>
    <w:rsid w:val="3F38F373"/>
    <w:rsid w:val="3F487000"/>
    <w:rsid w:val="3F5C2B78"/>
    <w:rsid w:val="3F6844DA"/>
    <w:rsid w:val="3F6E16DC"/>
    <w:rsid w:val="3F770663"/>
    <w:rsid w:val="3F7BCEED"/>
    <w:rsid w:val="3F81D734"/>
    <w:rsid w:val="3F837A47"/>
    <w:rsid w:val="3F855C4B"/>
    <w:rsid w:val="3F8C4110"/>
    <w:rsid w:val="3F8EF913"/>
    <w:rsid w:val="3F913477"/>
    <w:rsid w:val="3F96BBCE"/>
    <w:rsid w:val="3F991137"/>
    <w:rsid w:val="3F9ACE4C"/>
    <w:rsid w:val="3FA04F99"/>
    <w:rsid w:val="3FA7E0EA"/>
    <w:rsid w:val="3FB6A484"/>
    <w:rsid w:val="3FB75A21"/>
    <w:rsid w:val="3FB95235"/>
    <w:rsid w:val="3FCAEAB2"/>
    <w:rsid w:val="3FCAF2D8"/>
    <w:rsid w:val="3FD29890"/>
    <w:rsid w:val="3FD2F97E"/>
    <w:rsid w:val="3FEE51E9"/>
    <w:rsid w:val="3FF48FFC"/>
    <w:rsid w:val="3FF84684"/>
    <w:rsid w:val="4003FF26"/>
    <w:rsid w:val="40060575"/>
    <w:rsid w:val="40131534"/>
    <w:rsid w:val="4013B25C"/>
    <w:rsid w:val="401450C5"/>
    <w:rsid w:val="401D671E"/>
    <w:rsid w:val="401D7CE5"/>
    <w:rsid w:val="401EBE98"/>
    <w:rsid w:val="40234367"/>
    <w:rsid w:val="4027107F"/>
    <w:rsid w:val="4032012D"/>
    <w:rsid w:val="40344995"/>
    <w:rsid w:val="403A1C9C"/>
    <w:rsid w:val="403E393E"/>
    <w:rsid w:val="4043EC35"/>
    <w:rsid w:val="4047A96E"/>
    <w:rsid w:val="404AB454"/>
    <w:rsid w:val="404EE443"/>
    <w:rsid w:val="404F6590"/>
    <w:rsid w:val="40516630"/>
    <w:rsid w:val="4051F9FA"/>
    <w:rsid w:val="405E91A2"/>
    <w:rsid w:val="40625CC0"/>
    <w:rsid w:val="407D3459"/>
    <w:rsid w:val="4082575F"/>
    <w:rsid w:val="40850905"/>
    <w:rsid w:val="408932C5"/>
    <w:rsid w:val="4089CD05"/>
    <w:rsid w:val="40987FCC"/>
    <w:rsid w:val="409B9C06"/>
    <w:rsid w:val="40A63E06"/>
    <w:rsid w:val="40AB14EE"/>
    <w:rsid w:val="40B956EF"/>
    <w:rsid w:val="40CB75B5"/>
    <w:rsid w:val="40CE54E5"/>
    <w:rsid w:val="40D3D33E"/>
    <w:rsid w:val="40DD6658"/>
    <w:rsid w:val="40DE82A9"/>
    <w:rsid w:val="40E08844"/>
    <w:rsid w:val="40E809F9"/>
    <w:rsid w:val="40F64832"/>
    <w:rsid w:val="40F99E0D"/>
    <w:rsid w:val="40FCBBC0"/>
    <w:rsid w:val="40FEBAC1"/>
    <w:rsid w:val="4101B381"/>
    <w:rsid w:val="41134BD4"/>
    <w:rsid w:val="4113FEE3"/>
    <w:rsid w:val="41144313"/>
    <w:rsid w:val="411479C9"/>
    <w:rsid w:val="4116049D"/>
    <w:rsid w:val="41193746"/>
    <w:rsid w:val="41265332"/>
    <w:rsid w:val="41287FB2"/>
    <w:rsid w:val="412C09BD"/>
    <w:rsid w:val="41304956"/>
    <w:rsid w:val="413A6BF1"/>
    <w:rsid w:val="41404956"/>
    <w:rsid w:val="414ECCF3"/>
    <w:rsid w:val="4150A104"/>
    <w:rsid w:val="41536640"/>
    <w:rsid w:val="415371D3"/>
    <w:rsid w:val="415F01AD"/>
    <w:rsid w:val="41712E91"/>
    <w:rsid w:val="4173A26A"/>
    <w:rsid w:val="417C83E6"/>
    <w:rsid w:val="4195EE0C"/>
    <w:rsid w:val="419A123E"/>
    <w:rsid w:val="41A141A8"/>
    <w:rsid w:val="41A2B326"/>
    <w:rsid w:val="41B42575"/>
    <w:rsid w:val="41B79623"/>
    <w:rsid w:val="41BA407D"/>
    <w:rsid w:val="41C5C053"/>
    <w:rsid w:val="41C7A9E7"/>
    <w:rsid w:val="41DB06C4"/>
    <w:rsid w:val="41DCF9D5"/>
    <w:rsid w:val="41DDD60A"/>
    <w:rsid w:val="41E50452"/>
    <w:rsid w:val="41EAF938"/>
    <w:rsid w:val="41EEBC9A"/>
    <w:rsid w:val="41F9D3B0"/>
    <w:rsid w:val="41FEA993"/>
    <w:rsid w:val="4206204B"/>
    <w:rsid w:val="420A3179"/>
    <w:rsid w:val="420B36F0"/>
    <w:rsid w:val="420B95AC"/>
    <w:rsid w:val="42173C64"/>
    <w:rsid w:val="42181A65"/>
    <w:rsid w:val="4235649B"/>
    <w:rsid w:val="423E28F9"/>
    <w:rsid w:val="42450FBF"/>
    <w:rsid w:val="4256C04D"/>
    <w:rsid w:val="4258EA6F"/>
    <w:rsid w:val="425C2E43"/>
    <w:rsid w:val="425E8820"/>
    <w:rsid w:val="425FAE9B"/>
    <w:rsid w:val="426CED4B"/>
    <w:rsid w:val="428769FD"/>
    <w:rsid w:val="428D118D"/>
    <w:rsid w:val="429159F9"/>
    <w:rsid w:val="4291B332"/>
    <w:rsid w:val="4292E08D"/>
    <w:rsid w:val="42A3F6F1"/>
    <w:rsid w:val="42A6229D"/>
    <w:rsid w:val="42A76FCC"/>
    <w:rsid w:val="42B6AD13"/>
    <w:rsid w:val="42BB8C94"/>
    <w:rsid w:val="42BDF334"/>
    <w:rsid w:val="42C3DE25"/>
    <w:rsid w:val="42D8DA00"/>
    <w:rsid w:val="42DEE6D6"/>
    <w:rsid w:val="42E12AAE"/>
    <w:rsid w:val="42E22545"/>
    <w:rsid w:val="42E28185"/>
    <w:rsid w:val="42E7348A"/>
    <w:rsid w:val="42E8EA42"/>
    <w:rsid w:val="42EFDB81"/>
    <w:rsid w:val="42FC18D9"/>
    <w:rsid w:val="4303819B"/>
    <w:rsid w:val="430779B9"/>
    <w:rsid w:val="430D6399"/>
    <w:rsid w:val="4327F56B"/>
    <w:rsid w:val="43280155"/>
    <w:rsid w:val="432A208E"/>
    <w:rsid w:val="433381DD"/>
    <w:rsid w:val="43341754"/>
    <w:rsid w:val="4335E29F"/>
    <w:rsid w:val="433EB739"/>
    <w:rsid w:val="43452105"/>
    <w:rsid w:val="435506BA"/>
    <w:rsid w:val="435B5A26"/>
    <w:rsid w:val="436DCDB5"/>
    <w:rsid w:val="436E2D10"/>
    <w:rsid w:val="4373465D"/>
    <w:rsid w:val="43823939"/>
    <w:rsid w:val="43881FAC"/>
    <w:rsid w:val="438C3CAB"/>
    <w:rsid w:val="438DAE61"/>
    <w:rsid w:val="43961AF9"/>
    <w:rsid w:val="43967AC1"/>
    <w:rsid w:val="439D2749"/>
    <w:rsid w:val="439D4EC3"/>
    <w:rsid w:val="43BF6DBF"/>
    <w:rsid w:val="43C756B1"/>
    <w:rsid w:val="43D60BD2"/>
    <w:rsid w:val="43E10BEE"/>
    <w:rsid w:val="43F1BAE0"/>
    <w:rsid w:val="43F2EFEF"/>
    <w:rsid w:val="43F8CDFD"/>
    <w:rsid w:val="43FF8B7B"/>
    <w:rsid w:val="43FFB93E"/>
    <w:rsid w:val="440816F8"/>
    <w:rsid w:val="4411BADA"/>
    <w:rsid w:val="44279C0F"/>
    <w:rsid w:val="442BB500"/>
    <w:rsid w:val="442D917F"/>
    <w:rsid w:val="442DE4D0"/>
    <w:rsid w:val="4432FEC2"/>
    <w:rsid w:val="44444F04"/>
    <w:rsid w:val="4444F77A"/>
    <w:rsid w:val="4454273F"/>
    <w:rsid w:val="4461EF75"/>
    <w:rsid w:val="44655F8E"/>
    <w:rsid w:val="446E8BDB"/>
    <w:rsid w:val="446F0D55"/>
    <w:rsid w:val="4474184E"/>
    <w:rsid w:val="4475E578"/>
    <w:rsid w:val="4477D3ED"/>
    <w:rsid w:val="44866DB5"/>
    <w:rsid w:val="448AF176"/>
    <w:rsid w:val="448DEA06"/>
    <w:rsid w:val="448EAFD6"/>
    <w:rsid w:val="44A0917C"/>
    <w:rsid w:val="44A0F312"/>
    <w:rsid w:val="44B8170E"/>
    <w:rsid w:val="44B8BDBA"/>
    <w:rsid w:val="44BC67AE"/>
    <w:rsid w:val="44BFD18A"/>
    <w:rsid w:val="44C292F7"/>
    <w:rsid w:val="44CA4CA8"/>
    <w:rsid w:val="44CE5098"/>
    <w:rsid w:val="44CE9C5C"/>
    <w:rsid w:val="44DE11A8"/>
    <w:rsid w:val="44E50DB3"/>
    <w:rsid w:val="44F90AC7"/>
    <w:rsid w:val="45008DE4"/>
    <w:rsid w:val="4503F772"/>
    <w:rsid w:val="450605DB"/>
    <w:rsid w:val="4507A487"/>
    <w:rsid w:val="4520F8A4"/>
    <w:rsid w:val="4527D256"/>
    <w:rsid w:val="452BAE4A"/>
    <w:rsid w:val="452DCD85"/>
    <w:rsid w:val="4530BD96"/>
    <w:rsid w:val="453C4119"/>
    <w:rsid w:val="4541667D"/>
    <w:rsid w:val="45426433"/>
    <w:rsid w:val="4547CB04"/>
    <w:rsid w:val="454E5C39"/>
    <w:rsid w:val="454FF07F"/>
    <w:rsid w:val="455FD329"/>
    <w:rsid w:val="4565DA7B"/>
    <w:rsid w:val="4565DBDC"/>
    <w:rsid w:val="456A7E1B"/>
    <w:rsid w:val="4576FE62"/>
    <w:rsid w:val="457FF816"/>
    <w:rsid w:val="45804800"/>
    <w:rsid w:val="45818FC1"/>
    <w:rsid w:val="4586D112"/>
    <w:rsid w:val="4588DAE4"/>
    <w:rsid w:val="459D258B"/>
    <w:rsid w:val="459E027E"/>
    <w:rsid w:val="45A11488"/>
    <w:rsid w:val="45A4D993"/>
    <w:rsid w:val="45AF7B6C"/>
    <w:rsid w:val="45C53EEF"/>
    <w:rsid w:val="45C5F3D2"/>
    <w:rsid w:val="45C9666F"/>
    <w:rsid w:val="45D99833"/>
    <w:rsid w:val="45DB2D8A"/>
    <w:rsid w:val="45DFF458"/>
    <w:rsid w:val="45E14C7F"/>
    <w:rsid w:val="45EF30DA"/>
    <w:rsid w:val="45EFEF32"/>
    <w:rsid w:val="45F49D89"/>
    <w:rsid w:val="45FA2767"/>
    <w:rsid w:val="4606A951"/>
    <w:rsid w:val="460AAB44"/>
    <w:rsid w:val="461CD4A2"/>
    <w:rsid w:val="462445DF"/>
    <w:rsid w:val="462CE2F7"/>
    <w:rsid w:val="464589DE"/>
    <w:rsid w:val="46471915"/>
    <w:rsid w:val="4657E6D9"/>
    <w:rsid w:val="465A0347"/>
    <w:rsid w:val="465CED7E"/>
    <w:rsid w:val="465DA009"/>
    <w:rsid w:val="465EFEB5"/>
    <w:rsid w:val="4669D782"/>
    <w:rsid w:val="466BA714"/>
    <w:rsid w:val="46703BFD"/>
    <w:rsid w:val="4676CBE5"/>
    <w:rsid w:val="4678400D"/>
    <w:rsid w:val="468725AB"/>
    <w:rsid w:val="46888D1C"/>
    <w:rsid w:val="469747ED"/>
    <w:rsid w:val="469768FD"/>
    <w:rsid w:val="4698CBD4"/>
    <w:rsid w:val="469FD985"/>
    <w:rsid w:val="46A0216F"/>
    <w:rsid w:val="46A86201"/>
    <w:rsid w:val="46BF5F4F"/>
    <w:rsid w:val="46C07512"/>
    <w:rsid w:val="46C290CF"/>
    <w:rsid w:val="46CC00A7"/>
    <w:rsid w:val="46E3EDD1"/>
    <w:rsid w:val="470343F4"/>
    <w:rsid w:val="47071A2C"/>
    <w:rsid w:val="47127EE7"/>
    <w:rsid w:val="47128D52"/>
    <w:rsid w:val="47220649"/>
    <w:rsid w:val="4728C42A"/>
    <w:rsid w:val="4736F479"/>
    <w:rsid w:val="47406F6F"/>
    <w:rsid w:val="4753891C"/>
    <w:rsid w:val="475C4713"/>
    <w:rsid w:val="477158E3"/>
    <w:rsid w:val="477802B8"/>
    <w:rsid w:val="477F496B"/>
    <w:rsid w:val="478F3399"/>
    <w:rsid w:val="47946889"/>
    <w:rsid w:val="4794B9B6"/>
    <w:rsid w:val="4795300F"/>
    <w:rsid w:val="47A343B8"/>
    <w:rsid w:val="47A6A1AB"/>
    <w:rsid w:val="47B5E3CE"/>
    <w:rsid w:val="47B68F29"/>
    <w:rsid w:val="47BC488D"/>
    <w:rsid w:val="47C1FAC0"/>
    <w:rsid w:val="47C64567"/>
    <w:rsid w:val="47CB2F4A"/>
    <w:rsid w:val="47D8C9B6"/>
    <w:rsid w:val="47DC509F"/>
    <w:rsid w:val="47E4D700"/>
    <w:rsid w:val="47E68FD6"/>
    <w:rsid w:val="47F46005"/>
    <w:rsid w:val="47F65D22"/>
    <w:rsid w:val="47F82CCC"/>
    <w:rsid w:val="47FD3857"/>
    <w:rsid w:val="47FF4A77"/>
    <w:rsid w:val="48073D70"/>
    <w:rsid w:val="48220254"/>
    <w:rsid w:val="48464CE1"/>
    <w:rsid w:val="484B3AE7"/>
    <w:rsid w:val="484DA6DD"/>
    <w:rsid w:val="48558FBC"/>
    <w:rsid w:val="48592650"/>
    <w:rsid w:val="485F7711"/>
    <w:rsid w:val="4865D198"/>
    <w:rsid w:val="487338AA"/>
    <w:rsid w:val="48734A63"/>
    <w:rsid w:val="487384E5"/>
    <w:rsid w:val="4874986E"/>
    <w:rsid w:val="487A3E53"/>
    <w:rsid w:val="487AD0AB"/>
    <w:rsid w:val="487B1238"/>
    <w:rsid w:val="487F3C46"/>
    <w:rsid w:val="48831441"/>
    <w:rsid w:val="4885F162"/>
    <w:rsid w:val="489158E2"/>
    <w:rsid w:val="48A6C97F"/>
    <w:rsid w:val="48ACF52D"/>
    <w:rsid w:val="48AF766E"/>
    <w:rsid w:val="48B687FC"/>
    <w:rsid w:val="48B799A7"/>
    <w:rsid w:val="48BB78CA"/>
    <w:rsid w:val="48C94C10"/>
    <w:rsid w:val="48DCE4ED"/>
    <w:rsid w:val="48DD14B3"/>
    <w:rsid w:val="48DEA04E"/>
    <w:rsid w:val="490658A5"/>
    <w:rsid w:val="490C9361"/>
    <w:rsid w:val="490DAA0B"/>
    <w:rsid w:val="490E6FC2"/>
    <w:rsid w:val="490EF2E2"/>
    <w:rsid w:val="49104A10"/>
    <w:rsid w:val="4910CB5D"/>
    <w:rsid w:val="4914D21A"/>
    <w:rsid w:val="4917AE12"/>
    <w:rsid w:val="49186926"/>
    <w:rsid w:val="4918D432"/>
    <w:rsid w:val="49199169"/>
    <w:rsid w:val="491C6316"/>
    <w:rsid w:val="492FBA5F"/>
    <w:rsid w:val="493527F0"/>
    <w:rsid w:val="49362A74"/>
    <w:rsid w:val="493F975C"/>
    <w:rsid w:val="4940E51C"/>
    <w:rsid w:val="49441A28"/>
    <w:rsid w:val="4952C46A"/>
    <w:rsid w:val="49557D6D"/>
    <w:rsid w:val="4959E599"/>
    <w:rsid w:val="4965076D"/>
    <w:rsid w:val="4968DE40"/>
    <w:rsid w:val="496BB48A"/>
    <w:rsid w:val="496C7ABB"/>
    <w:rsid w:val="4970C0EC"/>
    <w:rsid w:val="49736AF7"/>
    <w:rsid w:val="4973BA11"/>
    <w:rsid w:val="4975E782"/>
    <w:rsid w:val="497D1A9C"/>
    <w:rsid w:val="49823E81"/>
    <w:rsid w:val="498452D7"/>
    <w:rsid w:val="498999E2"/>
    <w:rsid w:val="4994238E"/>
    <w:rsid w:val="499662B7"/>
    <w:rsid w:val="49986259"/>
    <w:rsid w:val="49A3652C"/>
    <w:rsid w:val="49A4F7FA"/>
    <w:rsid w:val="49A8AA46"/>
    <w:rsid w:val="49AE43D1"/>
    <w:rsid w:val="49B2A09A"/>
    <w:rsid w:val="49B3AA9D"/>
    <w:rsid w:val="49B57A26"/>
    <w:rsid w:val="49C10E52"/>
    <w:rsid w:val="49C40D47"/>
    <w:rsid w:val="49D5ABA2"/>
    <w:rsid w:val="49D5E9A1"/>
    <w:rsid w:val="49DACB76"/>
    <w:rsid w:val="49E1B48F"/>
    <w:rsid w:val="49E40FE5"/>
    <w:rsid w:val="49E6B01C"/>
    <w:rsid w:val="49EEFC1F"/>
    <w:rsid w:val="49FF4E08"/>
    <w:rsid w:val="4A0F5E25"/>
    <w:rsid w:val="4A1CF5A9"/>
    <w:rsid w:val="4A207367"/>
    <w:rsid w:val="4A277C4D"/>
    <w:rsid w:val="4A288587"/>
    <w:rsid w:val="4A3B741E"/>
    <w:rsid w:val="4A4525C6"/>
    <w:rsid w:val="4A48C845"/>
    <w:rsid w:val="4A4E9DDF"/>
    <w:rsid w:val="4A5929C5"/>
    <w:rsid w:val="4A5AA1A0"/>
    <w:rsid w:val="4A662763"/>
    <w:rsid w:val="4A66E976"/>
    <w:rsid w:val="4A676816"/>
    <w:rsid w:val="4A792EC1"/>
    <w:rsid w:val="4A7BEECE"/>
    <w:rsid w:val="4A7ED9FE"/>
    <w:rsid w:val="4A8173DC"/>
    <w:rsid w:val="4A838407"/>
    <w:rsid w:val="4A885C78"/>
    <w:rsid w:val="4A8E0AFC"/>
    <w:rsid w:val="4A9549CD"/>
    <w:rsid w:val="4AA4055A"/>
    <w:rsid w:val="4AA7F629"/>
    <w:rsid w:val="4AAD7231"/>
    <w:rsid w:val="4AAE715E"/>
    <w:rsid w:val="4AC29972"/>
    <w:rsid w:val="4AD54A98"/>
    <w:rsid w:val="4ADB8EA2"/>
    <w:rsid w:val="4ADCCB11"/>
    <w:rsid w:val="4AF3231B"/>
    <w:rsid w:val="4AF4C096"/>
    <w:rsid w:val="4AFAEB91"/>
    <w:rsid w:val="4AFD4919"/>
    <w:rsid w:val="4B00A275"/>
    <w:rsid w:val="4B17D95E"/>
    <w:rsid w:val="4B22E5F1"/>
    <w:rsid w:val="4B2BEFBA"/>
    <w:rsid w:val="4B34F0FB"/>
    <w:rsid w:val="4B385F3C"/>
    <w:rsid w:val="4B3FA517"/>
    <w:rsid w:val="4B4EA2D1"/>
    <w:rsid w:val="4B54EB9D"/>
    <w:rsid w:val="4B5A9D5C"/>
    <w:rsid w:val="4B5F01A5"/>
    <w:rsid w:val="4B64B513"/>
    <w:rsid w:val="4B651AB5"/>
    <w:rsid w:val="4B66E3E4"/>
    <w:rsid w:val="4B6B8380"/>
    <w:rsid w:val="4B6D3BE6"/>
    <w:rsid w:val="4B72393D"/>
    <w:rsid w:val="4B78302E"/>
    <w:rsid w:val="4B972CAF"/>
    <w:rsid w:val="4B9DFF98"/>
    <w:rsid w:val="4BA89A57"/>
    <w:rsid w:val="4BA963A5"/>
    <w:rsid w:val="4BAB605C"/>
    <w:rsid w:val="4BB3F6AF"/>
    <w:rsid w:val="4BBDE6C9"/>
    <w:rsid w:val="4BBE7A1D"/>
    <w:rsid w:val="4BC64BB4"/>
    <w:rsid w:val="4BCE57DC"/>
    <w:rsid w:val="4BD24CED"/>
    <w:rsid w:val="4BD61EED"/>
    <w:rsid w:val="4BE5B38A"/>
    <w:rsid w:val="4BECD7C4"/>
    <w:rsid w:val="4BF4AD69"/>
    <w:rsid w:val="4BFD9A02"/>
    <w:rsid w:val="4BFF685D"/>
    <w:rsid w:val="4C02A846"/>
    <w:rsid w:val="4C04BC1E"/>
    <w:rsid w:val="4C0A7B81"/>
    <w:rsid w:val="4C199627"/>
    <w:rsid w:val="4C202334"/>
    <w:rsid w:val="4C2424A2"/>
    <w:rsid w:val="4C2484EC"/>
    <w:rsid w:val="4C270C6D"/>
    <w:rsid w:val="4C28F566"/>
    <w:rsid w:val="4C29F4A2"/>
    <w:rsid w:val="4C2BB9C2"/>
    <w:rsid w:val="4C47535A"/>
    <w:rsid w:val="4C4FE77A"/>
    <w:rsid w:val="4C50CD84"/>
    <w:rsid w:val="4C55A46C"/>
    <w:rsid w:val="4C55C05E"/>
    <w:rsid w:val="4C5E8D16"/>
    <w:rsid w:val="4C7BA0DC"/>
    <w:rsid w:val="4C7E4D1F"/>
    <w:rsid w:val="4C823911"/>
    <w:rsid w:val="4C88FF72"/>
    <w:rsid w:val="4C8BF4CF"/>
    <w:rsid w:val="4C93D22D"/>
    <w:rsid w:val="4C9A65FC"/>
    <w:rsid w:val="4CAB2F3B"/>
    <w:rsid w:val="4CAC0337"/>
    <w:rsid w:val="4CADD124"/>
    <w:rsid w:val="4CB18D3B"/>
    <w:rsid w:val="4CB82803"/>
    <w:rsid w:val="4CB8B439"/>
    <w:rsid w:val="4CB9A249"/>
    <w:rsid w:val="4CCC3BB8"/>
    <w:rsid w:val="4CD190E2"/>
    <w:rsid w:val="4CDB62AF"/>
    <w:rsid w:val="4CE6D132"/>
    <w:rsid w:val="4CE89E12"/>
    <w:rsid w:val="4CF16063"/>
    <w:rsid w:val="4CFA0351"/>
    <w:rsid w:val="4D2580DF"/>
    <w:rsid w:val="4D33C247"/>
    <w:rsid w:val="4D3EBEC8"/>
    <w:rsid w:val="4D40AC88"/>
    <w:rsid w:val="4D49FDDC"/>
    <w:rsid w:val="4D638002"/>
    <w:rsid w:val="4D63A95B"/>
    <w:rsid w:val="4D70EC59"/>
    <w:rsid w:val="4D759662"/>
    <w:rsid w:val="4D8C37DC"/>
    <w:rsid w:val="4D8C900C"/>
    <w:rsid w:val="4D9EE44C"/>
    <w:rsid w:val="4DA06406"/>
    <w:rsid w:val="4DA5DBEE"/>
    <w:rsid w:val="4DB881A0"/>
    <w:rsid w:val="4DBC07F0"/>
    <w:rsid w:val="4DC76BA8"/>
    <w:rsid w:val="4DC7ECC5"/>
    <w:rsid w:val="4DC83A38"/>
    <w:rsid w:val="4DC86099"/>
    <w:rsid w:val="4DC8F84E"/>
    <w:rsid w:val="4DCFBADD"/>
    <w:rsid w:val="4DE3A213"/>
    <w:rsid w:val="4DF1CF06"/>
    <w:rsid w:val="4DF2B4D0"/>
    <w:rsid w:val="4E088D5A"/>
    <w:rsid w:val="4E11A9BD"/>
    <w:rsid w:val="4E14279E"/>
    <w:rsid w:val="4E194DAE"/>
    <w:rsid w:val="4E19556B"/>
    <w:rsid w:val="4E27B9D4"/>
    <w:rsid w:val="4E4A25B9"/>
    <w:rsid w:val="4E4FA52C"/>
    <w:rsid w:val="4E516F74"/>
    <w:rsid w:val="4E5A12E2"/>
    <w:rsid w:val="4E5B1642"/>
    <w:rsid w:val="4E612F1E"/>
    <w:rsid w:val="4E61FEC4"/>
    <w:rsid w:val="4E6B9EA9"/>
    <w:rsid w:val="4E79B996"/>
    <w:rsid w:val="4E8849F8"/>
    <w:rsid w:val="4E9EACCB"/>
    <w:rsid w:val="4EA8DBF2"/>
    <w:rsid w:val="4EAFF924"/>
    <w:rsid w:val="4EB12814"/>
    <w:rsid w:val="4EBE4A62"/>
    <w:rsid w:val="4EC22AEE"/>
    <w:rsid w:val="4EC92181"/>
    <w:rsid w:val="4EC99727"/>
    <w:rsid w:val="4ECBBD24"/>
    <w:rsid w:val="4ED8EFE6"/>
    <w:rsid w:val="4EDBB80B"/>
    <w:rsid w:val="4EEC093E"/>
    <w:rsid w:val="4EF4E097"/>
    <w:rsid w:val="4EFC626B"/>
    <w:rsid w:val="4F07CC9C"/>
    <w:rsid w:val="4F13109E"/>
    <w:rsid w:val="4F1441B5"/>
    <w:rsid w:val="4F194CA6"/>
    <w:rsid w:val="4F1C02E1"/>
    <w:rsid w:val="4F1CCFFE"/>
    <w:rsid w:val="4F27441B"/>
    <w:rsid w:val="4F2D341F"/>
    <w:rsid w:val="4F2EE879"/>
    <w:rsid w:val="4F54AECF"/>
    <w:rsid w:val="4F560394"/>
    <w:rsid w:val="4F5A0A63"/>
    <w:rsid w:val="4F5F0E24"/>
    <w:rsid w:val="4F62BD5A"/>
    <w:rsid w:val="4F6FCCAA"/>
    <w:rsid w:val="4F777595"/>
    <w:rsid w:val="4F784844"/>
    <w:rsid w:val="4F82AE40"/>
    <w:rsid w:val="4F83C90F"/>
    <w:rsid w:val="4F8D48A7"/>
    <w:rsid w:val="4F916860"/>
    <w:rsid w:val="4F92C8FB"/>
    <w:rsid w:val="4F9CBFA8"/>
    <w:rsid w:val="4F9E7C12"/>
    <w:rsid w:val="4FA1428C"/>
    <w:rsid w:val="4FA91029"/>
    <w:rsid w:val="4FB0C6EE"/>
    <w:rsid w:val="4FB49247"/>
    <w:rsid w:val="4FBA2FE7"/>
    <w:rsid w:val="4FBBE75A"/>
    <w:rsid w:val="4FCF83E8"/>
    <w:rsid w:val="4FD43E33"/>
    <w:rsid w:val="4FE65526"/>
    <w:rsid w:val="4FE80B25"/>
    <w:rsid w:val="4FF53705"/>
    <w:rsid w:val="4FFD4D92"/>
    <w:rsid w:val="50032DB6"/>
    <w:rsid w:val="50064B51"/>
    <w:rsid w:val="500DE08A"/>
    <w:rsid w:val="501551EC"/>
    <w:rsid w:val="5016EA36"/>
    <w:rsid w:val="502131A0"/>
    <w:rsid w:val="50236FA7"/>
    <w:rsid w:val="5026C98D"/>
    <w:rsid w:val="5027CC3C"/>
    <w:rsid w:val="50316E8F"/>
    <w:rsid w:val="5037DDD9"/>
    <w:rsid w:val="503CFC90"/>
    <w:rsid w:val="504AF763"/>
    <w:rsid w:val="50558C82"/>
    <w:rsid w:val="5059652D"/>
    <w:rsid w:val="5059E2C9"/>
    <w:rsid w:val="505E57FC"/>
    <w:rsid w:val="50617AF7"/>
    <w:rsid w:val="5062FEB4"/>
    <w:rsid w:val="50749BAA"/>
    <w:rsid w:val="5075D922"/>
    <w:rsid w:val="5086AD7A"/>
    <w:rsid w:val="50894EBB"/>
    <w:rsid w:val="509E46F9"/>
    <w:rsid w:val="50A2B933"/>
    <w:rsid w:val="50B12B52"/>
    <w:rsid w:val="50B64C3D"/>
    <w:rsid w:val="50B68496"/>
    <w:rsid w:val="50D8FF54"/>
    <w:rsid w:val="50E50735"/>
    <w:rsid w:val="510194D8"/>
    <w:rsid w:val="5107F8FB"/>
    <w:rsid w:val="51092B61"/>
    <w:rsid w:val="510D71C0"/>
    <w:rsid w:val="51146E76"/>
    <w:rsid w:val="511FF2D6"/>
    <w:rsid w:val="512E4B69"/>
    <w:rsid w:val="5137E7A8"/>
    <w:rsid w:val="513B1636"/>
    <w:rsid w:val="513B480C"/>
    <w:rsid w:val="513C7847"/>
    <w:rsid w:val="5140EA78"/>
    <w:rsid w:val="5143168B"/>
    <w:rsid w:val="51506F15"/>
    <w:rsid w:val="51556A2A"/>
    <w:rsid w:val="515DB213"/>
    <w:rsid w:val="517598D9"/>
    <w:rsid w:val="51794C2C"/>
    <w:rsid w:val="51849AE1"/>
    <w:rsid w:val="5188BDB9"/>
    <w:rsid w:val="518A629A"/>
    <w:rsid w:val="518B98E2"/>
    <w:rsid w:val="51A2654B"/>
    <w:rsid w:val="51A81477"/>
    <w:rsid w:val="51ABA1B8"/>
    <w:rsid w:val="51AF534C"/>
    <w:rsid w:val="51BB8D7B"/>
    <w:rsid w:val="51BCE836"/>
    <w:rsid w:val="51C3BCAA"/>
    <w:rsid w:val="51C9903B"/>
    <w:rsid w:val="51C9D072"/>
    <w:rsid w:val="51D21727"/>
    <w:rsid w:val="51E5B248"/>
    <w:rsid w:val="51E670CC"/>
    <w:rsid w:val="51EEA037"/>
    <w:rsid w:val="51EFD07D"/>
    <w:rsid w:val="51F0A3DD"/>
    <w:rsid w:val="51FD4DC4"/>
    <w:rsid w:val="5201B150"/>
    <w:rsid w:val="52066E33"/>
    <w:rsid w:val="5207B2AF"/>
    <w:rsid w:val="5209C1DE"/>
    <w:rsid w:val="52110258"/>
    <w:rsid w:val="521DA9AC"/>
    <w:rsid w:val="52251924"/>
    <w:rsid w:val="52339726"/>
    <w:rsid w:val="523A81E0"/>
    <w:rsid w:val="5247D7C7"/>
    <w:rsid w:val="524E45B3"/>
    <w:rsid w:val="5250E906"/>
    <w:rsid w:val="527EA0B6"/>
    <w:rsid w:val="52812B27"/>
    <w:rsid w:val="52908782"/>
    <w:rsid w:val="529EAA53"/>
    <w:rsid w:val="52A6A4A2"/>
    <w:rsid w:val="52B814A0"/>
    <w:rsid w:val="52C907D8"/>
    <w:rsid w:val="52D49348"/>
    <w:rsid w:val="52DA00B3"/>
    <w:rsid w:val="52DD5543"/>
    <w:rsid w:val="52E04E5C"/>
    <w:rsid w:val="52E2FE4F"/>
    <w:rsid w:val="52F2A718"/>
    <w:rsid w:val="52F41918"/>
    <w:rsid w:val="52F7CD27"/>
    <w:rsid w:val="52FFF2E5"/>
    <w:rsid w:val="53093B23"/>
    <w:rsid w:val="530D67BE"/>
    <w:rsid w:val="530DDF69"/>
    <w:rsid w:val="530ED3E2"/>
    <w:rsid w:val="53158202"/>
    <w:rsid w:val="531B7A06"/>
    <w:rsid w:val="531BAAB5"/>
    <w:rsid w:val="5324DF3F"/>
    <w:rsid w:val="5339B083"/>
    <w:rsid w:val="535083CE"/>
    <w:rsid w:val="5368FCE4"/>
    <w:rsid w:val="5369D62E"/>
    <w:rsid w:val="53717F3F"/>
    <w:rsid w:val="53770628"/>
    <w:rsid w:val="537CDE82"/>
    <w:rsid w:val="537D1153"/>
    <w:rsid w:val="53977BAA"/>
    <w:rsid w:val="539D695A"/>
    <w:rsid w:val="53A44CF6"/>
    <w:rsid w:val="53AAA9E3"/>
    <w:rsid w:val="53AADE14"/>
    <w:rsid w:val="53B333AC"/>
    <w:rsid w:val="53BEBE76"/>
    <w:rsid w:val="53C20842"/>
    <w:rsid w:val="53C818D9"/>
    <w:rsid w:val="53D6D04E"/>
    <w:rsid w:val="53D9A7A0"/>
    <w:rsid w:val="53DA01AF"/>
    <w:rsid w:val="53E73133"/>
    <w:rsid w:val="53E831A2"/>
    <w:rsid w:val="53F51869"/>
    <w:rsid w:val="53F86031"/>
    <w:rsid w:val="53FB3DBC"/>
    <w:rsid w:val="5405B6F4"/>
    <w:rsid w:val="540B3A60"/>
    <w:rsid w:val="540C446B"/>
    <w:rsid w:val="54135C5D"/>
    <w:rsid w:val="54197E69"/>
    <w:rsid w:val="5429FA03"/>
    <w:rsid w:val="54344362"/>
    <w:rsid w:val="5438A596"/>
    <w:rsid w:val="543D1AB6"/>
    <w:rsid w:val="54774040"/>
    <w:rsid w:val="5486EA5F"/>
    <w:rsid w:val="548AE754"/>
    <w:rsid w:val="549D622D"/>
    <w:rsid w:val="549DDB18"/>
    <w:rsid w:val="54BF756D"/>
    <w:rsid w:val="54CB830C"/>
    <w:rsid w:val="54CDE991"/>
    <w:rsid w:val="54CE013E"/>
    <w:rsid w:val="54CFBCE0"/>
    <w:rsid w:val="54D4FBDF"/>
    <w:rsid w:val="54D5BB38"/>
    <w:rsid w:val="54DAFBF4"/>
    <w:rsid w:val="54DBF6B0"/>
    <w:rsid w:val="54DF3869"/>
    <w:rsid w:val="54E1575C"/>
    <w:rsid w:val="54E445C7"/>
    <w:rsid w:val="54E62971"/>
    <w:rsid w:val="54F32832"/>
    <w:rsid w:val="54FBE525"/>
    <w:rsid w:val="54FE3BEB"/>
    <w:rsid w:val="550D9FCA"/>
    <w:rsid w:val="550EA719"/>
    <w:rsid w:val="552121D3"/>
    <w:rsid w:val="552EE7F3"/>
    <w:rsid w:val="552F8F8B"/>
    <w:rsid w:val="5536DFA1"/>
    <w:rsid w:val="5538C2F8"/>
    <w:rsid w:val="5555218F"/>
    <w:rsid w:val="555A3F1A"/>
    <w:rsid w:val="555DD5E9"/>
    <w:rsid w:val="5561D66E"/>
    <w:rsid w:val="556346B0"/>
    <w:rsid w:val="5563D788"/>
    <w:rsid w:val="5567E447"/>
    <w:rsid w:val="556DCF41"/>
    <w:rsid w:val="557ED86C"/>
    <w:rsid w:val="5582357C"/>
    <w:rsid w:val="558299DD"/>
    <w:rsid w:val="55831BC0"/>
    <w:rsid w:val="558C3A8E"/>
    <w:rsid w:val="55944466"/>
    <w:rsid w:val="55A8269D"/>
    <w:rsid w:val="55A86DED"/>
    <w:rsid w:val="55B6375F"/>
    <w:rsid w:val="55C0C407"/>
    <w:rsid w:val="55C20886"/>
    <w:rsid w:val="55CBC166"/>
    <w:rsid w:val="55D2DEB6"/>
    <w:rsid w:val="55D2F442"/>
    <w:rsid w:val="55D59EC3"/>
    <w:rsid w:val="55DAF5E9"/>
    <w:rsid w:val="55E6E6AC"/>
    <w:rsid w:val="55F08047"/>
    <w:rsid w:val="55F515EC"/>
    <w:rsid w:val="55F82183"/>
    <w:rsid w:val="55F91090"/>
    <w:rsid w:val="55F976A2"/>
    <w:rsid w:val="55FFF1C4"/>
    <w:rsid w:val="560AFA30"/>
    <w:rsid w:val="560E4064"/>
    <w:rsid w:val="5612A8F8"/>
    <w:rsid w:val="56230E55"/>
    <w:rsid w:val="562487D0"/>
    <w:rsid w:val="5624C5C4"/>
    <w:rsid w:val="562D2803"/>
    <w:rsid w:val="5633FCF7"/>
    <w:rsid w:val="5643DA86"/>
    <w:rsid w:val="564EFB94"/>
    <w:rsid w:val="56520648"/>
    <w:rsid w:val="5658A22D"/>
    <w:rsid w:val="5659DAC2"/>
    <w:rsid w:val="566240CA"/>
    <w:rsid w:val="5662807B"/>
    <w:rsid w:val="56666EB1"/>
    <w:rsid w:val="56682777"/>
    <w:rsid w:val="567200B7"/>
    <w:rsid w:val="56753EC6"/>
    <w:rsid w:val="5677B05B"/>
    <w:rsid w:val="56A852C6"/>
    <w:rsid w:val="56AB6BD3"/>
    <w:rsid w:val="56B10C38"/>
    <w:rsid w:val="56C67A7C"/>
    <w:rsid w:val="56CB7EA4"/>
    <w:rsid w:val="56D3691D"/>
    <w:rsid w:val="56D812CF"/>
    <w:rsid w:val="56E0BA76"/>
    <w:rsid w:val="56E51ABF"/>
    <w:rsid w:val="56E776AE"/>
    <w:rsid w:val="56EA5259"/>
    <w:rsid w:val="56F0E73C"/>
    <w:rsid w:val="56F100B5"/>
    <w:rsid w:val="56F5D2F0"/>
    <w:rsid w:val="56FAFFE2"/>
    <w:rsid w:val="57171B90"/>
    <w:rsid w:val="572C6802"/>
    <w:rsid w:val="5730B438"/>
    <w:rsid w:val="57324706"/>
    <w:rsid w:val="5734AEB8"/>
    <w:rsid w:val="573F71FF"/>
    <w:rsid w:val="5740F092"/>
    <w:rsid w:val="5742BE47"/>
    <w:rsid w:val="574494A7"/>
    <w:rsid w:val="5745905F"/>
    <w:rsid w:val="5757347C"/>
    <w:rsid w:val="57584687"/>
    <w:rsid w:val="5759AF99"/>
    <w:rsid w:val="57666673"/>
    <w:rsid w:val="5766EC39"/>
    <w:rsid w:val="5768BF97"/>
    <w:rsid w:val="577929D9"/>
    <w:rsid w:val="577B70C2"/>
    <w:rsid w:val="57858DC5"/>
    <w:rsid w:val="57981942"/>
    <w:rsid w:val="57997565"/>
    <w:rsid w:val="57A9EBB3"/>
    <w:rsid w:val="57B38395"/>
    <w:rsid w:val="57B63695"/>
    <w:rsid w:val="57BA792D"/>
    <w:rsid w:val="57BE8A6E"/>
    <w:rsid w:val="57BF32A8"/>
    <w:rsid w:val="57C4D6B9"/>
    <w:rsid w:val="57EDC27D"/>
    <w:rsid w:val="57F4B722"/>
    <w:rsid w:val="57FDB67A"/>
    <w:rsid w:val="5802DA4E"/>
    <w:rsid w:val="5817EF1F"/>
    <w:rsid w:val="581F70DF"/>
    <w:rsid w:val="5820FA4E"/>
    <w:rsid w:val="58321B3E"/>
    <w:rsid w:val="5835F100"/>
    <w:rsid w:val="583C8907"/>
    <w:rsid w:val="583E1033"/>
    <w:rsid w:val="5848FA92"/>
    <w:rsid w:val="586E4D7F"/>
    <w:rsid w:val="5871A9D9"/>
    <w:rsid w:val="587447D7"/>
    <w:rsid w:val="587F9CCC"/>
    <w:rsid w:val="588055A1"/>
    <w:rsid w:val="588229AA"/>
    <w:rsid w:val="5882638A"/>
    <w:rsid w:val="58874F35"/>
    <w:rsid w:val="5888D11A"/>
    <w:rsid w:val="588C14EE"/>
    <w:rsid w:val="58951AED"/>
    <w:rsid w:val="58A159F3"/>
    <w:rsid w:val="58A718A5"/>
    <w:rsid w:val="58AA8DAD"/>
    <w:rsid w:val="58AECCD7"/>
    <w:rsid w:val="58B15B34"/>
    <w:rsid w:val="58C5069D"/>
    <w:rsid w:val="58D893ED"/>
    <w:rsid w:val="58DFB053"/>
    <w:rsid w:val="58E7745C"/>
    <w:rsid w:val="58F5B439"/>
    <w:rsid w:val="58F83B6B"/>
    <w:rsid w:val="59092E30"/>
    <w:rsid w:val="590940DD"/>
    <w:rsid w:val="590C60FE"/>
    <w:rsid w:val="59126C70"/>
    <w:rsid w:val="592D6792"/>
    <w:rsid w:val="593B9E94"/>
    <w:rsid w:val="59497D98"/>
    <w:rsid w:val="594A4BD1"/>
    <w:rsid w:val="594CDA6B"/>
    <w:rsid w:val="5952AA93"/>
    <w:rsid w:val="595B9550"/>
    <w:rsid w:val="59640423"/>
    <w:rsid w:val="59657615"/>
    <w:rsid w:val="596CDD09"/>
    <w:rsid w:val="596CF546"/>
    <w:rsid w:val="597666B5"/>
    <w:rsid w:val="59797534"/>
    <w:rsid w:val="597A1A82"/>
    <w:rsid w:val="598352A3"/>
    <w:rsid w:val="598379E1"/>
    <w:rsid w:val="599021D0"/>
    <w:rsid w:val="59979F1C"/>
    <w:rsid w:val="599B5DC2"/>
    <w:rsid w:val="59A7ED1C"/>
    <w:rsid w:val="59B42E32"/>
    <w:rsid w:val="59B80CAF"/>
    <w:rsid w:val="59C2828E"/>
    <w:rsid w:val="59CCC2EE"/>
    <w:rsid w:val="59EAC9D8"/>
    <w:rsid w:val="59F04DB4"/>
    <w:rsid w:val="59F0F7CA"/>
    <w:rsid w:val="5A0B4DAF"/>
    <w:rsid w:val="5A0BE45B"/>
    <w:rsid w:val="5A105B71"/>
    <w:rsid w:val="5A1926D3"/>
    <w:rsid w:val="5A202703"/>
    <w:rsid w:val="5A32747B"/>
    <w:rsid w:val="5A4F6956"/>
    <w:rsid w:val="5A4FCEF8"/>
    <w:rsid w:val="5A57240B"/>
    <w:rsid w:val="5A5888D7"/>
    <w:rsid w:val="5A62037F"/>
    <w:rsid w:val="5A6DA7D3"/>
    <w:rsid w:val="5A74D51C"/>
    <w:rsid w:val="5A7C3F9A"/>
    <w:rsid w:val="5A8191D7"/>
    <w:rsid w:val="5A892B39"/>
    <w:rsid w:val="5A8B90D1"/>
    <w:rsid w:val="5A8E239B"/>
    <w:rsid w:val="5A9C0338"/>
    <w:rsid w:val="5A9D7DC1"/>
    <w:rsid w:val="5AA0CDF2"/>
    <w:rsid w:val="5AA61D08"/>
    <w:rsid w:val="5AA90C93"/>
    <w:rsid w:val="5AC69F08"/>
    <w:rsid w:val="5AD38648"/>
    <w:rsid w:val="5AE2DAD9"/>
    <w:rsid w:val="5AEB3D20"/>
    <w:rsid w:val="5AED2442"/>
    <w:rsid w:val="5AF465C1"/>
    <w:rsid w:val="5AF49419"/>
    <w:rsid w:val="5AFBFE68"/>
    <w:rsid w:val="5B0B40E1"/>
    <w:rsid w:val="5B0EE39A"/>
    <w:rsid w:val="5B1F4A87"/>
    <w:rsid w:val="5B2222F4"/>
    <w:rsid w:val="5B2D3882"/>
    <w:rsid w:val="5B356C34"/>
    <w:rsid w:val="5B362BD8"/>
    <w:rsid w:val="5B58AB30"/>
    <w:rsid w:val="5B5BBE69"/>
    <w:rsid w:val="5B5D50C5"/>
    <w:rsid w:val="5B5F1B04"/>
    <w:rsid w:val="5B7BE52F"/>
    <w:rsid w:val="5B8A84AF"/>
    <w:rsid w:val="5B8D3BF9"/>
    <w:rsid w:val="5B95C02C"/>
    <w:rsid w:val="5B9A3BBB"/>
    <w:rsid w:val="5BA07C20"/>
    <w:rsid w:val="5BA165AB"/>
    <w:rsid w:val="5BA2D544"/>
    <w:rsid w:val="5BA40766"/>
    <w:rsid w:val="5BA586AA"/>
    <w:rsid w:val="5BA7D5B1"/>
    <w:rsid w:val="5BA90023"/>
    <w:rsid w:val="5BB6C490"/>
    <w:rsid w:val="5BB6D09B"/>
    <w:rsid w:val="5BB93956"/>
    <w:rsid w:val="5BBA5AF1"/>
    <w:rsid w:val="5BBDB895"/>
    <w:rsid w:val="5BCCB769"/>
    <w:rsid w:val="5BD0F990"/>
    <w:rsid w:val="5BD54FAE"/>
    <w:rsid w:val="5BD6CBD2"/>
    <w:rsid w:val="5BD80FAD"/>
    <w:rsid w:val="5BF2D616"/>
    <w:rsid w:val="5BF89445"/>
    <w:rsid w:val="5BF8BED7"/>
    <w:rsid w:val="5BF9F5D7"/>
    <w:rsid w:val="5C01AA25"/>
    <w:rsid w:val="5C0ABCDD"/>
    <w:rsid w:val="5C0C1174"/>
    <w:rsid w:val="5C0C25BD"/>
    <w:rsid w:val="5C0EB591"/>
    <w:rsid w:val="5C10BCA7"/>
    <w:rsid w:val="5C141CF1"/>
    <w:rsid w:val="5C168E16"/>
    <w:rsid w:val="5C191A21"/>
    <w:rsid w:val="5C1A8DCA"/>
    <w:rsid w:val="5C26A2F6"/>
    <w:rsid w:val="5C28F29F"/>
    <w:rsid w:val="5C290D69"/>
    <w:rsid w:val="5C2EFD3A"/>
    <w:rsid w:val="5C4F031B"/>
    <w:rsid w:val="5C548D07"/>
    <w:rsid w:val="5C5B59B1"/>
    <w:rsid w:val="5C60BAF8"/>
    <w:rsid w:val="5C782271"/>
    <w:rsid w:val="5C79192D"/>
    <w:rsid w:val="5C84264A"/>
    <w:rsid w:val="5C88AB2F"/>
    <w:rsid w:val="5C9E5FF0"/>
    <w:rsid w:val="5CA89436"/>
    <w:rsid w:val="5CA9976F"/>
    <w:rsid w:val="5CB00DE8"/>
    <w:rsid w:val="5CB03563"/>
    <w:rsid w:val="5CB956FE"/>
    <w:rsid w:val="5CCF17A5"/>
    <w:rsid w:val="5CDBB8D6"/>
    <w:rsid w:val="5CE93507"/>
    <w:rsid w:val="5D00A980"/>
    <w:rsid w:val="5D059750"/>
    <w:rsid w:val="5D1810E5"/>
    <w:rsid w:val="5D206402"/>
    <w:rsid w:val="5D2A2ABB"/>
    <w:rsid w:val="5D3216DA"/>
    <w:rsid w:val="5D39D22A"/>
    <w:rsid w:val="5D41E153"/>
    <w:rsid w:val="5D51C7D1"/>
    <w:rsid w:val="5D5DDA90"/>
    <w:rsid w:val="5D5DFCE6"/>
    <w:rsid w:val="5D607BF8"/>
    <w:rsid w:val="5D78CF31"/>
    <w:rsid w:val="5D792940"/>
    <w:rsid w:val="5D81B80F"/>
    <w:rsid w:val="5D90DA50"/>
    <w:rsid w:val="5D934D60"/>
    <w:rsid w:val="5D9EB41D"/>
    <w:rsid w:val="5DA86D8E"/>
    <w:rsid w:val="5DB6E766"/>
    <w:rsid w:val="5DB7C9F6"/>
    <w:rsid w:val="5DBD9D11"/>
    <w:rsid w:val="5DBFA1B8"/>
    <w:rsid w:val="5DC04D13"/>
    <w:rsid w:val="5DC48BD8"/>
    <w:rsid w:val="5DC4E14D"/>
    <w:rsid w:val="5DCD76E9"/>
    <w:rsid w:val="5DDDBC35"/>
    <w:rsid w:val="5DE731D5"/>
    <w:rsid w:val="5DEA3E1F"/>
    <w:rsid w:val="5DEFC4EC"/>
    <w:rsid w:val="5DEFE55B"/>
    <w:rsid w:val="5DF7E530"/>
    <w:rsid w:val="5E0F4577"/>
    <w:rsid w:val="5E2AC937"/>
    <w:rsid w:val="5E314DDA"/>
    <w:rsid w:val="5E34AB77"/>
    <w:rsid w:val="5E448836"/>
    <w:rsid w:val="5E60B8C2"/>
    <w:rsid w:val="5E619C8F"/>
    <w:rsid w:val="5E64100C"/>
    <w:rsid w:val="5E64E465"/>
    <w:rsid w:val="5E6590F9"/>
    <w:rsid w:val="5E6AF8E0"/>
    <w:rsid w:val="5E75E580"/>
    <w:rsid w:val="5E7BE77A"/>
    <w:rsid w:val="5E7C60A2"/>
    <w:rsid w:val="5E8198EF"/>
    <w:rsid w:val="5E8BF6CF"/>
    <w:rsid w:val="5E8FB909"/>
    <w:rsid w:val="5E9164B7"/>
    <w:rsid w:val="5EA94CCC"/>
    <w:rsid w:val="5EA9DE20"/>
    <w:rsid w:val="5EADA221"/>
    <w:rsid w:val="5EAF4C18"/>
    <w:rsid w:val="5EB5AB37"/>
    <w:rsid w:val="5EB6B317"/>
    <w:rsid w:val="5EC13053"/>
    <w:rsid w:val="5EC30BEB"/>
    <w:rsid w:val="5EC5AC64"/>
    <w:rsid w:val="5EC9BCD3"/>
    <w:rsid w:val="5ECA48F0"/>
    <w:rsid w:val="5ECFA00E"/>
    <w:rsid w:val="5ED2D345"/>
    <w:rsid w:val="5ED6AD03"/>
    <w:rsid w:val="5EDDD330"/>
    <w:rsid w:val="5EEAF3F6"/>
    <w:rsid w:val="5EEDE995"/>
    <w:rsid w:val="5EF01944"/>
    <w:rsid w:val="5EF8106C"/>
    <w:rsid w:val="5F0ECA2C"/>
    <w:rsid w:val="5F18900E"/>
    <w:rsid w:val="5F1A8947"/>
    <w:rsid w:val="5F343DF3"/>
    <w:rsid w:val="5F3E7D00"/>
    <w:rsid w:val="5F44B47E"/>
    <w:rsid w:val="5F4828D9"/>
    <w:rsid w:val="5F4A2EDA"/>
    <w:rsid w:val="5F5101BF"/>
    <w:rsid w:val="5F5B34E2"/>
    <w:rsid w:val="5F646BC8"/>
    <w:rsid w:val="5F69B893"/>
    <w:rsid w:val="5F73C483"/>
    <w:rsid w:val="5F786BE0"/>
    <w:rsid w:val="5F7FA56C"/>
    <w:rsid w:val="5F90AB9D"/>
    <w:rsid w:val="5F93BD3F"/>
    <w:rsid w:val="5F9501BB"/>
    <w:rsid w:val="5F9800FB"/>
    <w:rsid w:val="5F9C3165"/>
    <w:rsid w:val="5F9D7F70"/>
    <w:rsid w:val="5FA53379"/>
    <w:rsid w:val="5FAA7B76"/>
    <w:rsid w:val="5FAE890D"/>
    <w:rsid w:val="5FB0B07C"/>
    <w:rsid w:val="5FC02205"/>
    <w:rsid w:val="5FCAB343"/>
    <w:rsid w:val="5FCECEAD"/>
    <w:rsid w:val="5FD99E9B"/>
    <w:rsid w:val="5FDBC19A"/>
    <w:rsid w:val="5FDE2864"/>
    <w:rsid w:val="5FE1D7F3"/>
    <w:rsid w:val="5FE3D2E2"/>
    <w:rsid w:val="5FE57907"/>
    <w:rsid w:val="5FF09EEC"/>
    <w:rsid w:val="5FF8EF30"/>
    <w:rsid w:val="5FFD3E1C"/>
    <w:rsid w:val="60071276"/>
    <w:rsid w:val="600ADFC8"/>
    <w:rsid w:val="60164945"/>
    <w:rsid w:val="60179E63"/>
    <w:rsid w:val="6017F906"/>
    <w:rsid w:val="601863D4"/>
    <w:rsid w:val="6018CBB2"/>
    <w:rsid w:val="601A3CE5"/>
    <w:rsid w:val="601B8041"/>
    <w:rsid w:val="601DDD36"/>
    <w:rsid w:val="602C492C"/>
    <w:rsid w:val="602DBC03"/>
    <w:rsid w:val="603863D7"/>
    <w:rsid w:val="6051FDB2"/>
    <w:rsid w:val="605505E6"/>
    <w:rsid w:val="60597AC3"/>
    <w:rsid w:val="606324EB"/>
    <w:rsid w:val="6067955C"/>
    <w:rsid w:val="6068EEBA"/>
    <w:rsid w:val="606C655F"/>
    <w:rsid w:val="606CA83B"/>
    <w:rsid w:val="606FDFDA"/>
    <w:rsid w:val="606FE54D"/>
    <w:rsid w:val="607123D1"/>
    <w:rsid w:val="607813DC"/>
    <w:rsid w:val="6085ACB8"/>
    <w:rsid w:val="60922ED1"/>
    <w:rsid w:val="60944D41"/>
    <w:rsid w:val="6094B353"/>
    <w:rsid w:val="60C19B06"/>
    <w:rsid w:val="60CA54E2"/>
    <w:rsid w:val="60CDA5B4"/>
    <w:rsid w:val="60DAEAAA"/>
    <w:rsid w:val="60DD08CE"/>
    <w:rsid w:val="60EF549D"/>
    <w:rsid w:val="6116263C"/>
    <w:rsid w:val="6116FCBB"/>
    <w:rsid w:val="611FA749"/>
    <w:rsid w:val="6125214B"/>
    <w:rsid w:val="6125CD9B"/>
    <w:rsid w:val="61260DA9"/>
    <w:rsid w:val="6131A06E"/>
    <w:rsid w:val="614329D5"/>
    <w:rsid w:val="6157CBA1"/>
    <w:rsid w:val="6158544B"/>
    <w:rsid w:val="6161B72D"/>
    <w:rsid w:val="6162B15F"/>
    <w:rsid w:val="6166F6AC"/>
    <w:rsid w:val="6184A0D6"/>
    <w:rsid w:val="618C06A8"/>
    <w:rsid w:val="6192CAAA"/>
    <w:rsid w:val="6193F42E"/>
    <w:rsid w:val="6194DF8E"/>
    <w:rsid w:val="619C7454"/>
    <w:rsid w:val="61AAAEED"/>
    <w:rsid w:val="61CFC6ED"/>
    <w:rsid w:val="61D063C8"/>
    <w:rsid w:val="61D0AEA2"/>
    <w:rsid w:val="61D6BD30"/>
    <w:rsid w:val="61D88227"/>
    <w:rsid w:val="61DBD8A3"/>
    <w:rsid w:val="61FA9682"/>
    <w:rsid w:val="62011288"/>
    <w:rsid w:val="622011BB"/>
    <w:rsid w:val="6221CD01"/>
    <w:rsid w:val="622569F0"/>
    <w:rsid w:val="622E42D6"/>
    <w:rsid w:val="6234C7DA"/>
    <w:rsid w:val="6235059D"/>
    <w:rsid w:val="62403628"/>
    <w:rsid w:val="6255F7E7"/>
    <w:rsid w:val="62562AB8"/>
    <w:rsid w:val="62564387"/>
    <w:rsid w:val="625B8221"/>
    <w:rsid w:val="6261B99D"/>
    <w:rsid w:val="626323ED"/>
    <w:rsid w:val="626508AA"/>
    <w:rsid w:val="62660BFE"/>
    <w:rsid w:val="626979F0"/>
    <w:rsid w:val="628C8870"/>
    <w:rsid w:val="628E43C0"/>
    <w:rsid w:val="62ACCD95"/>
    <w:rsid w:val="62BE28F7"/>
    <w:rsid w:val="62BF7B99"/>
    <w:rsid w:val="62C76DF2"/>
    <w:rsid w:val="62C91190"/>
    <w:rsid w:val="62E1F5F9"/>
    <w:rsid w:val="62E37005"/>
    <w:rsid w:val="62EF257A"/>
    <w:rsid w:val="62F4E9DA"/>
    <w:rsid w:val="62F6AD77"/>
    <w:rsid w:val="62F70555"/>
    <w:rsid w:val="62F9204F"/>
    <w:rsid w:val="62F97E2D"/>
    <w:rsid w:val="62FDF5C1"/>
    <w:rsid w:val="63009B80"/>
    <w:rsid w:val="6303FA9D"/>
    <w:rsid w:val="630F8488"/>
    <w:rsid w:val="631B4C5F"/>
    <w:rsid w:val="63260609"/>
    <w:rsid w:val="632EC0FE"/>
    <w:rsid w:val="632F53B0"/>
    <w:rsid w:val="63369E60"/>
    <w:rsid w:val="633B9CD2"/>
    <w:rsid w:val="633D45C3"/>
    <w:rsid w:val="6342646D"/>
    <w:rsid w:val="6347918E"/>
    <w:rsid w:val="634DC749"/>
    <w:rsid w:val="63525AD0"/>
    <w:rsid w:val="635F426C"/>
    <w:rsid w:val="63624A11"/>
    <w:rsid w:val="637204A6"/>
    <w:rsid w:val="63792686"/>
    <w:rsid w:val="637B03AB"/>
    <w:rsid w:val="63828082"/>
    <w:rsid w:val="6396023C"/>
    <w:rsid w:val="639F951E"/>
    <w:rsid w:val="63A0FA4A"/>
    <w:rsid w:val="63A5FCCA"/>
    <w:rsid w:val="63B0A7A9"/>
    <w:rsid w:val="63B57899"/>
    <w:rsid w:val="63BAE88F"/>
    <w:rsid w:val="63BF13E2"/>
    <w:rsid w:val="63C17DD9"/>
    <w:rsid w:val="63C63D17"/>
    <w:rsid w:val="63D80F20"/>
    <w:rsid w:val="63DB8CF2"/>
    <w:rsid w:val="63DBB8A9"/>
    <w:rsid w:val="63E67862"/>
    <w:rsid w:val="63E9D094"/>
    <w:rsid w:val="63EDB20D"/>
    <w:rsid w:val="63EF3892"/>
    <w:rsid w:val="63F93368"/>
    <w:rsid w:val="63FE901F"/>
    <w:rsid w:val="6401A5C2"/>
    <w:rsid w:val="6409C9FD"/>
    <w:rsid w:val="640AC369"/>
    <w:rsid w:val="64108390"/>
    <w:rsid w:val="64113F7B"/>
    <w:rsid w:val="641B1436"/>
    <w:rsid w:val="64207A34"/>
    <w:rsid w:val="64310A51"/>
    <w:rsid w:val="6434E46B"/>
    <w:rsid w:val="6434F954"/>
    <w:rsid w:val="6435048C"/>
    <w:rsid w:val="64391D87"/>
    <w:rsid w:val="643987B6"/>
    <w:rsid w:val="644169A9"/>
    <w:rsid w:val="64477A40"/>
    <w:rsid w:val="645F73AD"/>
    <w:rsid w:val="64668FD0"/>
    <w:rsid w:val="647857AF"/>
    <w:rsid w:val="647B7C21"/>
    <w:rsid w:val="648C712F"/>
    <w:rsid w:val="64925F5D"/>
    <w:rsid w:val="64A46437"/>
    <w:rsid w:val="64B1C6A6"/>
    <w:rsid w:val="64B299DC"/>
    <w:rsid w:val="64BAE5FE"/>
    <w:rsid w:val="64CE24D0"/>
    <w:rsid w:val="64D83B71"/>
    <w:rsid w:val="64DAA1A7"/>
    <w:rsid w:val="64F1D3DC"/>
    <w:rsid w:val="6500D43E"/>
    <w:rsid w:val="6509EAFB"/>
    <w:rsid w:val="651C419B"/>
    <w:rsid w:val="651CF3E4"/>
    <w:rsid w:val="651F5E3E"/>
    <w:rsid w:val="652220C5"/>
    <w:rsid w:val="652638BF"/>
    <w:rsid w:val="65274E4C"/>
    <w:rsid w:val="652D92AA"/>
    <w:rsid w:val="65373ABF"/>
    <w:rsid w:val="6537F2B7"/>
    <w:rsid w:val="6539209B"/>
    <w:rsid w:val="653A3259"/>
    <w:rsid w:val="654FFD5F"/>
    <w:rsid w:val="6556E399"/>
    <w:rsid w:val="6557DBD6"/>
    <w:rsid w:val="655A531E"/>
    <w:rsid w:val="6563EF8B"/>
    <w:rsid w:val="6568CC0E"/>
    <w:rsid w:val="656FD920"/>
    <w:rsid w:val="6578D1FD"/>
    <w:rsid w:val="6583287F"/>
    <w:rsid w:val="6584993D"/>
    <w:rsid w:val="659439F1"/>
    <w:rsid w:val="65A8F20D"/>
    <w:rsid w:val="65AB0076"/>
    <w:rsid w:val="65B1A153"/>
    <w:rsid w:val="65B680B4"/>
    <w:rsid w:val="65BDD43D"/>
    <w:rsid w:val="65C87533"/>
    <w:rsid w:val="65D6E6E7"/>
    <w:rsid w:val="65DC5A35"/>
    <w:rsid w:val="65DDB97B"/>
    <w:rsid w:val="65DFB216"/>
    <w:rsid w:val="65EB9088"/>
    <w:rsid w:val="65F01310"/>
    <w:rsid w:val="65F19554"/>
    <w:rsid w:val="65FD9402"/>
    <w:rsid w:val="660196E3"/>
    <w:rsid w:val="6618515A"/>
    <w:rsid w:val="661A91A8"/>
    <w:rsid w:val="661D3965"/>
    <w:rsid w:val="6625429B"/>
    <w:rsid w:val="662F7D10"/>
    <w:rsid w:val="6632DA88"/>
    <w:rsid w:val="663E47D3"/>
    <w:rsid w:val="665A2B13"/>
    <w:rsid w:val="665FAA8D"/>
    <w:rsid w:val="666B04D2"/>
    <w:rsid w:val="667E4180"/>
    <w:rsid w:val="66835113"/>
    <w:rsid w:val="66855DA3"/>
    <w:rsid w:val="6694BCE2"/>
    <w:rsid w:val="66953288"/>
    <w:rsid w:val="6697370C"/>
    <w:rsid w:val="66A71CC1"/>
    <w:rsid w:val="66A78AF4"/>
    <w:rsid w:val="66AA03CC"/>
    <w:rsid w:val="66AE732A"/>
    <w:rsid w:val="66B1B039"/>
    <w:rsid w:val="66B39034"/>
    <w:rsid w:val="66BCD38C"/>
    <w:rsid w:val="66C00A27"/>
    <w:rsid w:val="66CCCA41"/>
    <w:rsid w:val="66D9AF51"/>
    <w:rsid w:val="66DFC468"/>
    <w:rsid w:val="66E25851"/>
    <w:rsid w:val="66E582D0"/>
    <w:rsid w:val="6702B018"/>
    <w:rsid w:val="670653AA"/>
    <w:rsid w:val="6710A1AF"/>
    <w:rsid w:val="6710C8ED"/>
    <w:rsid w:val="6713D815"/>
    <w:rsid w:val="67174E07"/>
    <w:rsid w:val="671A5CCC"/>
    <w:rsid w:val="671D70DC"/>
    <w:rsid w:val="671DFDBD"/>
    <w:rsid w:val="67209675"/>
    <w:rsid w:val="6724EE28"/>
    <w:rsid w:val="6728319D"/>
    <w:rsid w:val="673321F5"/>
    <w:rsid w:val="673A0D64"/>
    <w:rsid w:val="673D9F31"/>
    <w:rsid w:val="6741A592"/>
    <w:rsid w:val="674505F6"/>
    <w:rsid w:val="675615F8"/>
    <w:rsid w:val="67598BA2"/>
    <w:rsid w:val="675BA935"/>
    <w:rsid w:val="675D002E"/>
    <w:rsid w:val="67692640"/>
    <w:rsid w:val="676F5FDE"/>
    <w:rsid w:val="6778D0EF"/>
    <w:rsid w:val="6780707D"/>
    <w:rsid w:val="678E45F5"/>
    <w:rsid w:val="679195A3"/>
    <w:rsid w:val="6794C9C2"/>
    <w:rsid w:val="67AC01D5"/>
    <w:rsid w:val="67AD9B64"/>
    <w:rsid w:val="67C1235C"/>
    <w:rsid w:val="67C497B7"/>
    <w:rsid w:val="67C9E9F4"/>
    <w:rsid w:val="67CD709D"/>
    <w:rsid w:val="67D14ECD"/>
    <w:rsid w:val="67D7B245"/>
    <w:rsid w:val="67D818D2"/>
    <w:rsid w:val="67E8A214"/>
    <w:rsid w:val="67EFF70A"/>
    <w:rsid w:val="67F3BB0D"/>
    <w:rsid w:val="6801B57A"/>
    <w:rsid w:val="681818A8"/>
    <w:rsid w:val="681A95C7"/>
    <w:rsid w:val="68236729"/>
    <w:rsid w:val="683BC744"/>
    <w:rsid w:val="6849013C"/>
    <w:rsid w:val="684BFB64"/>
    <w:rsid w:val="684EE753"/>
    <w:rsid w:val="685AAD3F"/>
    <w:rsid w:val="685F0EAC"/>
    <w:rsid w:val="686031EB"/>
    <w:rsid w:val="686BA430"/>
    <w:rsid w:val="686F641D"/>
    <w:rsid w:val="687B3022"/>
    <w:rsid w:val="687E28B2"/>
    <w:rsid w:val="68877CCC"/>
    <w:rsid w:val="688C2A1A"/>
    <w:rsid w:val="68937C84"/>
    <w:rsid w:val="6894B4FD"/>
    <w:rsid w:val="68A2E65B"/>
    <w:rsid w:val="68A78779"/>
    <w:rsid w:val="68B2CDC1"/>
    <w:rsid w:val="68B754CD"/>
    <w:rsid w:val="68BBF5FF"/>
    <w:rsid w:val="68BC9422"/>
    <w:rsid w:val="68BF8287"/>
    <w:rsid w:val="68C055D3"/>
    <w:rsid w:val="68CD2381"/>
    <w:rsid w:val="68D6B858"/>
    <w:rsid w:val="68EC542B"/>
    <w:rsid w:val="68F3C207"/>
    <w:rsid w:val="68F90DCF"/>
    <w:rsid w:val="68FBB80A"/>
    <w:rsid w:val="68FCCBD3"/>
    <w:rsid w:val="690477BA"/>
    <w:rsid w:val="69073B7A"/>
    <w:rsid w:val="690C68FD"/>
    <w:rsid w:val="690CF8D9"/>
    <w:rsid w:val="690D79C0"/>
    <w:rsid w:val="690E314F"/>
    <w:rsid w:val="69112E01"/>
    <w:rsid w:val="69324141"/>
    <w:rsid w:val="6934F6E3"/>
    <w:rsid w:val="693E09E4"/>
    <w:rsid w:val="6940EC62"/>
    <w:rsid w:val="6950D12E"/>
    <w:rsid w:val="6951852E"/>
    <w:rsid w:val="6951EFC8"/>
    <w:rsid w:val="69544EEA"/>
    <w:rsid w:val="6957C8C6"/>
    <w:rsid w:val="6959047A"/>
    <w:rsid w:val="69617B01"/>
    <w:rsid w:val="6964A9B6"/>
    <w:rsid w:val="697053DB"/>
    <w:rsid w:val="6970BEEF"/>
    <w:rsid w:val="69779CD7"/>
    <w:rsid w:val="697BF719"/>
    <w:rsid w:val="69889CCD"/>
    <w:rsid w:val="698CDFD4"/>
    <w:rsid w:val="69A14504"/>
    <w:rsid w:val="69A3C294"/>
    <w:rsid w:val="69A5EFA8"/>
    <w:rsid w:val="69A91315"/>
    <w:rsid w:val="69A9A0A5"/>
    <w:rsid w:val="69B114BC"/>
    <w:rsid w:val="69B54ACA"/>
    <w:rsid w:val="69BB0EE8"/>
    <w:rsid w:val="69BB5FF0"/>
    <w:rsid w:val="69C37A0A"/>
    <w:rsid w:val="69C50B19"/>
    <w:rsid w:val="69C6C47B"/>
    <w:rsid w:val="69C710EC"/>
    <w:rsid w:val="69C8E1EC"/>
    <w:rsid w:val="69C8E70C"/>
    <w:rsid w:val="69C9CDEE"/>
    <w:rsid w:val="69CFD8C3"/>
    <w:rsid w:val="69EAF7D6"/>
    <w:rsid w:val="69EFD28B"/>
    <w:rsid w:val="69F71371"/>
    <w:rsid w:val="6A0368D8"/>
    <w:rsid w:val="6A0F8E2B"/>
    <w:rsid w:val="6A183B3A"/>
    <w:rsid w:val="6A1E16AE"/>
    <w:rsid w:val="6A2FD8CA"/>
    <w:rsid w:val="6A318D24"/>
    <w:rsid w:val="6A36D8B6"/>
    <w:rsid w:val="6A4A3AAF"/>
    <w:rsid w:val="6A4FD704"/>
    <w:rsid w:val="6A5021ED"/>
    <w:rsid w:val="6A6907E2"/>
    <w:rsid w:val="6A7428D2"/>
    <w:rsid w:val="6A76C694"/>
    <w:rsid w:val="6A78D8D4"/>
    <w:rsid w:val="6A8D2DCD"/>
    <w:rsid w:val="6A8E840C"/>
    <w:rsid w:val="6A930C72"/>
    <w:rsid w:val="6A9E1430"/>
    <w:rsid w:val="6AA24F27"/>
    <w:rsid w:val="6AA89A9F"/>
    <w:rsid w:val="6AB335B7"/>
    <w:rsid w:val="6AB84344"/>
    <w:rsid w:val="6ABF82F8"/>
    <w:rsid w:val="6AC390C2"/>
    <w:rsid w:val="6AC75904"/>
    <w:rsid w:val="6ACD8022"/>
    <w:rsid w:val="6AD01716"/>
    <w:rsid w:val="6AD4475F"/>
    <w:rsid w:val="6AD65351"/>
    <w:rsid w:val="6AD839CC"/>
    <w:rsid w:val="6ADBF27A"/>
    <w:rsid w:val="6AE387B3"/>
    <w:rsid w:val="6AE6CFBD"/>
    <w:rsid w:val="6AEAC6B1"/>
    <w:rsid w:val="6AEE26A5"/>
    <w:rsid w:val="6AF559BF"/>
    <w:rsid w:val="6AFCE61C"/>
    <w:rsid w:val="6AFD3A33"/>
    <w:rsid w:val="6AFF3F83"/>
    <w:rsid w:val="6B045507"/>
    <w:rsid w:val="6B07F9D5"/>
    <w:rsid w:val="6B0EDBB3"/>
    <w:rsid w:val="6B156D77"/>
    <w:rsid w:val="6B19FEF5"/>
    <w:rsid w:val="6B1D30BB"/>
    <w:rsid w:val="6B1DDE89"/>
    <w:rsid w:val="6B205F46"/>
    <w:rsid w:val="6B20B6C8"/>
    <w:rsid w:val="6B220C53"/>
    <w:rsid w:val="6B271EAF"/>
    <w:rsid w:val="6B328F94"/>
    <w:rsid w:val="6B35E01B"/>
    <w:rsid w:val="6B394D75"/>
    <w:rsid w:val="6B56637B"/>
    <w:rsid w:val="6B648542"/>
    <w:rsid w:val="6B6F773C"/>
    <w:rsid w:val="6B807643"/>
    <w:rsid w:val="6B8A3F9B"/>
    <w:rsid w:val="6B93C299"/>
    <w:rsid w:val="6B962E61"/>
    <w:rsid w:val="6B9DA99C"/>
    <w:rsid w:val="6BBAE3FA"/>
    <w:rsid w:val="6BBEB96F"/>
    <w:rsid w:val="6BDC55EC"/>
    <w:rsid w:val="6BDD1855"/>
    <w:rsid w:val="6BDEE4CE"/>
    <w:rsid w:val="6BEC4FD6"/>
    <w:rsid w:val="6BF71921"/>
    <w:rsid w:val="6C0D8ED1"/>
    <w:rsid w:val="6C0DE56D"/>
    <w:rsid w:val="6C2FD15F"/>
    <w:rsid w:val="6C30178F"/>
    <w:rsid w:val="6C310183"/>
    <w:rsid w:val="6C32675A"/>
    <w:rsid w:val="6C44787C"/>
    <w:rsid w:val="6C49B180"/>
    <w:rsid w:val="6C4D9870"/>
    <w:rsid w:val="6C560618"/>
    <w:rsid w:val="6C71FE8A"/>
    <w:rsid w:val="6C7961A9"/>
    <w:rsid w:val="6C82E3A6"/>
    <w:rsid w:val="6C83C81F"/>
    <w:rsid w:val="6C851175"/>
    <w:rsid w:val="6C873DF7"/>
    <w:rsid w:val="6C8A0B5C"/>
    <w:rsid w:val="6CA9F97A"/>
    <w:rsid w:val="6CB210B0"/>
    <w:rsid w:val="6CC0AF28"/>
    <w:rsid w:val="6CDC7533"/>
    <w:rsid w:val="6CE1D0B9"/>
    <w:rsid w:val="6CE48982"/>
    <w:rsid w:val="6CEA4EC4"/>
    <w:rsid w:val="6CEC8A63"/>
    <w:rsid w:val="6CEDD881"/>
    <w:rsid w:val="6CF002DD"/>
    <w:rsid w:val="6CFB5617"/>
    <w:rsid w:val="6CFBDC52"/>
    <w:rsid w:val="6D04B6A1"/>
    <w:rsid w:val="6D131E87"/>
    <w:rsid w:val="6D13B9D3"/>
    <w:rsid w:val="6D16DB1B"/>
    <w:rsid w:val="6D2470F6"/>
    <w:rsid w:val="6D3900A6"/>
    <w:rsid w:val="6D46D4DE"/>
    <w:rsid w:val="6D476C56"/>
    <w:rsid w:val="6D4DC411"/>
    <w:rsid w:val="6D4DD6FC"/>
    <w:rsid w:val="6D50434C"/>
    <w:rsid w:val="6D66EDA7"/>
    <w:rsid w:val="6D6A0201"/>
    <w:rsid w:val="6D6DF1DA"/>
    <w:rsid w:val="6D711F33"/>
    <w:rsid w:val="6D75BADA"/>
    <w:rsid w:val="6D84FF9E"/>
    <w:rsid w:val="6D946182"/>
    <w:rsid w:val="6D9AE877"/>
    <w:rsid w:val="6DA96029"/>
    <w:rsid w:val="6DAA0188"/>
    <w:rsid w:val="6DC8D159"/>
    <w:rsid w:val="6DCBA2F4"/>
    <w:rsid w:val="6DD0F005"/>
    <w:rsid w:val="6DD389E3"/>
    <w:rsid w:val="6DDC83BC"/>
    <w:rsid w:val="6DEB17BC"/>
    <w:rsid w:val="6DEC47FE"/>
    <w:rsid w:val="6DFDB5A6"/>
    <w:rsid w:val="6E09F323"/>
    <w:rsid w:val="6E0CA882"/>
    <w:rsid w:val="6E13A5D3"/>
    <w:rsid w:val="6E1BB781"/>
    <w:rsid w:val="6E23C56E"/>
    <w:rsid w:val="6E2CDC46"/>
    <w:rsid w:val="6E2EADE5"/>
    <w:rsid w:val="6E37EB2F"/>
    <w:rsid w:val="6E52B87C"/>
    <w:rsid w:val="6E58C913"/>
    <w:rsid w:val="6E5CBD5B"/>
    <w:rsid w:val="6E6C6643"/>
    <w:rsid w:val="6E6E1B20"/>
    <w:rsid w:val="6E715CA9"/>
    <w:rsid w:val="6E751FB5"/>
    <w:rsid w:val="6E8B8A18"/>
    <w:rsid w:val="6E8E7E39"/>
    <w:rsid w:val="6EB6C68F"/>
    <w:rsid w:val="6EB6CB1A"/>
    <w:rsid w:val="6EC0ABB2"/>
    <w:rsid w:val="6EC132CA"/>
    <w:rsid w:val="6ECA8367"/>
    <w:rsid w:val="6ECC61E3"/>
    <w:rsid w:val="6ED45A38"/>
    <w:rsid w:val="6ED7D0BB"/>
    <w:rsid w:val="6EEE1255"/>
    <w:rsid w:val="6EEF6D8F"/>
    <w:rsid w:val="6EF2B6C1"/>
    <w:rsid w:val="6EF5EFF0"/>
    <w:rsid w:val="6EF8FF82"/>
    <w:rsid w:val="6EFAB05E"/>
    <w:rsid w:val="6F0CC484"/>
    <w:rsid w:val="6F150468"/>
    <w:rsid w:val="6F1E537D"/>
    <w:rsid w:val="6F21433A"/>
    <w:rsid w:val="6F232EC0"/>
    <w:rsid w:val="6F286CD5"/>
    <w:rsid w:val="6F3B6C56"/>
    <w:rsid w:val="6F504283"/>
    <w:rsid w:val="6F5B4AFD"/>
    <w:rsid w:val="6F5FAA07"/>
    <w:rsid w:val="6F65F0EF"/>
    <w:rsid w:val="6F769AF3"/>
    <w:rsid w:val="6F8132FD"/>
    <w:rsid w:val="6F816FF4"/>
    <w:rsid w:val="6F83D86C"/>
    <w:rsid w:val="6F846654"/>
    <w:rsid w:val="6FBAA65C"/>
    <w:rsid w:val="6FC6EEF6"/>
    <w:rsid w:val="6FC78A40"/>
    <w:rsid w:val="6FD69BDD"/>
    <w:rsid w:val="6FDBCB79"/>
    <w:rsid w:val="6FDC7264"/>
    <w:rsid w:val="6FE2E199"/>
    <w:rsid w:val="6FED71C9"/>
    <w:rsid w:val="6FF487C2"/>
    <w:rsid w:val="6FF6C8FC"/>
    <w:rsid w:val="7001501B"/>
    <w:rsid w:val="7010F016"/>
    <w:rsid w:val="70146322"/>
    <w:rsid w:val="70168770"/>
    <w:rsid w:val="7018D182"/>
    <w:rsid w:val="701A4187"/>
    <w:rsid w:val="702520A9"/>
    <w:rsid w:val="702AD53F"/>
    <w:rsid w:val="7036B3D7"/>
    <w:rsid w:val="703FE8BD"/>
    <w:rsid w:val="7043766A"/>
    <w:rsid w:val="7047F204"/>
    <w:rsid w:val="7047FC9C"/>
    <w:rsid w:val="705603F8"/>
    <w:rsid w:val="70569336"/>
    <w:rsid w:val="706C65E8"/>
    <w:rsid w:val="706C77F9"/>
    <w:rsid w:val="706DBC48"/>
    <w:rsid w:val="7083CEF4"/>
    <w:rsid w:val="708CFAD2"/>
    <w:rsid w:val="70938BE9"/>
    <w:rsid w:val="70950F21"/>
    <w:rsid w:val="70956CA8"/>
    <w:rsid w:val="709588D3"/>
    <w:rsid w:val="7097E185"/>
    <w:rsid w:val="709D040C"/>
    <w:rsid w:val="70A02ACB"/>
    <w:rsid w:val="70A35932"/>
    <w:rsid w:val="70B43BA8"/>
    <w:rsid w:val="70BE0686"/>
    <w:rsid w:val="70C59C3E"/>
    <w:rsid w:val="70C7AC69"/>
    <w:rsid w:val="70CC2CEC"/>
    <w:rsid w:val="70CF5FED"/>
    <w:rsid w:val="70D3186F"/>
    <w:rsid w:val="70D31A95"/>
    <w:rsid w:val="70D48B5F"/>
    <w:rsid w:val="70D934CA"/>
    <w:rsid w:val="70D97E75"/>
    <w:rsid w:val="70E2D685"/>
    <w:rsid w:val="70E6E06F"/>
    <w:rsid w:val="71078DCE"/>
    <w:rsid w:val="710F5432"/>
    <w:rsid w:val="711981AF"/>
    <w:rsid w:val="712E4910"/>
    <w:rsid w:val="713A5EB3"/>
    <w:rsid w:val="713CAF4F"/>
    <w:rsid w:val="713F2A1E"/>
    <w:rsid w:val="714933C0"/>
    <w:rsid w:val="714D8B4E"/>
    <w:rsid w:val="715EDBD2"/>
    <w:rsid w:val="71670EAF"/>
    <w:rsid w:val="7167B737"/>
    <w:rsid w:val="716BDF26"/>
    <w:rsid w:val="716DC71E"/>
    <w:rsid w:val="71848B54"/>
    <w:rsid w:val="71886977"/>
    <w:rsid w:val="7189C1C6"/>
    <w:rsid w:val="71AA3A0A"/>
    <w:rsid w:val="71AEB01F"/>
    <w:rsid w:val="71B2BE0D"/>
    <w:rsid w:val="71B39C07"/>
    <w:rsid w:val="71D204DE"/>
    <w:rsid w:val="71D5278E"/>
    <w:rsid w:val="71D90320"/>
    <w:rsid w:val="71DAFFFD"/>
    <w:rsid w:val="71DC7C2F"/>
    <w:rsid w:val="71DCE243"/>
    <w:rsid w:val="71DEE2EA"/>
    <w:rsid w:val="71F33234"/>
    <w:rsid w:val="71F4C853"/>
    <w:rsid w:val="71F70D67"/>
    <w:rsid w:val="72018DDE"/>
    <w:rsid w:val="7201AF48"/>
    <w:rsid w:val="72020F2B"/>
    <w:rsid w:val="72035337"/>
    <w:rsid w:val="7203B3C1"/>
    <w:rsid w:val="721CEBE2"/>
    <w:rsid w:val="7221DF97"/>
    <w:rsid w:val="7233DC8E"/>
    <w:rsid w:val="723BAFCC"/>
    <w:rsid w:val="72423E5A"/>
    <w:rsid w:val="7242EAF3"/>
    <w:rsid w:val="724AB749"/>
    <w:rsid w:val="724B2967"/>
    <w:rsid w:val="724CC73F"/>
    <w:rsid w:val="724F2DDF"/>
    <w:rsid w:val="724FF2B2"/>
    <w:rsid w:val="7255C510"/>
    <w:rsid w:val="725CAC7C"/>
    <w:rsid w:val="725F818D"/>
    <w:rsid w:val="7261B000"/>
    <w:rsid w:val="7267B65B"/>
    <w:rsid w:val="7280D53D"/>
    <w:rsid w:val="72816422"/>
    <w:rsid w:val="728F985E"/>
    <w:rsid w:val="7296FB36"/>
    <w:rsid w:val="72ABEFA0"/>
    <w:rsid w:val="72AE93F7"/>
    <w:rsid w:val="72AED1C2"/>
    <w:rsid w:val="72B25220"/>
    <w:rsid w:val="72C32F6A"/>
    <w:rsid w:val="72D3576E"/>
    <w:rsid w:val="72DA0D15"/>
    <w:rsid w:val="72E18158"/>
    <w:rsid w:val="72E1D033"/>
    <w:rsid w:val="72E2A398"/>
    <w:rsid w:val="72E60E0F"/>
    <w:rsid w:val="72EAFABF"/>
    <w:rsid w:val="72F2F2F1"/>
    <w:rsid w:val="72F4DF32"/>
    <w:rsid w:val="73007EF7"/>
    <w:rsid w:val="7303C605"/>
    <w:rsid w:val="73069BED"/>
    <w:rsid w:val="7306A84E"/>
    <w:rsid w:val="730B5C52"/>
    <w:rsid w:val="730DA0DD"/>
    <w:rsid w:val="730DFD61"/>
    <w:rsid w:val="7313418C"/>
    <w:rsid w:val="73157D67"/>
    <w:rsid w:val="7315817E"/>
    <w:rsid w:val="73192F0A"/>
    <w:rsid w:val="731E51FE"/>
    <w:rsid w:val="732A2BA0"/>
    <w:rsid w:val="73328804"/>
    <w:rsid w:val="733C3FFE"/>
    <w:rsid w:val="7342DF6D"/>
    <w:rsid w:val="734682BF"/>
    <w:rsid w:val="7349EF00"/>
    <w:rsid w:val="734F3CB4"/>
    <w:rsid w:val="735F79FD"/>
    <w:rsid w:val="736E09F7"/>
    <w:rsid w:val="737AC653"/>
    <w:rsid w:val="737EAD56"/>
    <w:rsid w:val="7386C64D"/>
    <w:rsid w:val="738A882A"/>
    <w:rsid w:val="73929AD7"/>
    <w:rsid w:val="739A6569"/>
    <w:rsid w:val="739C714C"/>
    <w:rsid w:val="739D85CF"/>
    <w:rsid w:val="73A7F094"/>
    <w:rsid w:val="73AEFE72"/>
    <w:rsid w:val="73BB501B"/>
    <w:rsid w:val="73D02D73"/>
    <w:rsid w:val="73D23693"/>
    <w:rsid w:val="73D86614"/>
    <w:rsid w:val="73DB06C0"/>
    <w:rsid w:val="73DB64C2"/>
    <w:rsid w:val="73DCEA11"/>
    <w:rsid w:val="73DFA4B5"/>
    <w:rsid w:val="73E0304A"/>
    <w:rsid w:val="73E5D45A"/>
    <w:rsid w:val="73F25BE9"/>
    <w:rsid w:val="73F6C2C6"/>
    <w:rsid w:val="73FCD859"/>
    <w:rsid w:val="740342D8"/>
    <w:rsid w:val="740F19A7"/>
    <w:rsid w:val="7419BFCC"/>
    <w:rsid w:val="7420EA8C"/>
    <w:rsid w:val="7425DBA4"/>
    <w:rsid w:val="742B155B"/>
    <w:rsid w:val="7434DA00"/>
    <w:rsid w:val="743EEB90"/>
    <w:rsid w:val="7448354E"/>
    <w:rsid w:val="744F0970"/>
    <w:rsid w:val="745533B4"/>
    <w:rsid w:val="745B4168"/>
    <w:rsid w:val="746BD8DD"/>
    <w:rsid w:val="746F4713"/>
    <w:rsid w:val="747C9062"/>
    <w:rsid w:val="74A72CB3"/>
    <w:rsid w:val="74AB5586"/>
    <w:rsid w:val="74BF4DA4"/>
    <w:rsid w:val="74C3C2E3"/>
    <w:rsid w:val="74C7269D"/>
    <w:rsid w:val="74C83FA3"/>
    <w:rsid w:val="74C99217"/>
    <w:rsid w:val="74CD5DE0"/>
    <w:rsid w:val="74D8D4B0"/>
    <w:rsid w:val="74DFF252"/>
    <w:rsid w:val="74E1F5DD"/>
    <w:rsid w:val="74E5CAF4"/>
    <w:rsid w:val="74E71CF0"/>
    <w:rsid w:val="74EAF9B4"/>
    <w:rsid w:val="74F459F2"/>
    <w:rsid w:val="74F55076"/>
    <w:rsid w:val="7507B055"/>
    <w:rsid w:val="750C509D"/>
    <w:rsid w:val="750D49E3"/>
    <w:rsid w:val="7515ECD6"/>
    <w:rsid w:val="751BA642"/>
    <w:rsid w:val="75224DF8"/>
    <w:rsid w:val="7523D963"/>
    <w:rsid w:val="752C3E54"/>
    <w:rsid w:val="7531BC90"/>
    <w:rsid w:val="7539D5F2"/>
    <w:rsid w:val="753A4765"/>
    <w:rsid w:val="7540B63E"/>
    <w:rsid w:val="7544031E"/>
    <w:rsid w:val="754E7268"/>
    <w:rsid w:val="754F1D91"/>
    <w:rsid w:val="755240D2"/>
    <w:rsid w:val="7552F5F2"/>
    <w:rsid w:val="75532BDE"/>
    <w:rsid w:val="755A0ABF"/>
    <w:rsid w:val="755A95B1"/>
    <w:rsid w:val="7569B305"/>
    <w:rsid w:val="756A5689"/>
    <w:rsid w:val="756C71BB"/>
    <w:rsid w:val="756DD07C"/>
    <w:rsid w:val="757478A7"/>
    <w:rsid w:val="7575997A"/>
    <w:rsid w:val="75802AA8"/>
    <w:rsid w:val="758087D3"/>
    <w:rsid w:val="758688CC"/>
    <w:rsid w:val="758C97E7"/>
    <w:rsid w:val="75A2EF5F"/>
    <w:rsid w:val="75A2FEE2"/>
    <w:rsid w:val="75AE8C18"/>
    <w:rsid w:val="75CBBD27"/>
    <w:rsid w:val="75D0F1B4"/>
    <w:rsid w:val="75D48A26"/>
    <w:rsid w:val="75DA4ADF"/>
    <w:rsid w:val="75DE98FD"/>
    <w:rsid w:val="75E12845"/>
    <w:rsid w:val="75E35C85"/>
    <w:rsid w:val="75EB218C"/>
    <w:rsid w:val="75F3020E"/>
    <w:rsid w:val="75FDE15E"/>
    <w:rsid w:val="75FF2982"/>
    <w:rsid w:val="760130EA"/>
    <w:rsid w:val="76027FA7"/>
    <w:rsid w:val="76059A8D"/>
    <w:rsid w:val="761353E0"/>
    <w:rsid w:val="76172F99"/>
    <w:rsid w:val="761C8A9A"/>
    <w:rsid w:val="761F1075"/>
    <w:rsid w:val="7621B6F0"/>
    <w:rsid w:val="7630187B"/>
    <w:rsid w:val="76303567"/>
    <w:rsid w:val="763720A7"/>
    <w:rsid w:val="7638E303"/>
    <w:rsid w:val="763B80B9"/>
    <w:rsid w:val="76466922"/>
    <w:rsid w:val="7649652B"/>
    <w:rsid w:val="7649E32E"/>
    <w:rsid w:val="764B9540"/>
    <w:rsid w:val="764D070A"/>
    <w:rsid w:val="76588F28"/>
    <w:rsid w:val="765B2F56"/>
    <w:rsid w:val="765C5701"/>
    <w:rsid w:val="766734F7"/>
    <w:rsid w:val="76679809"/>
    <w:rsid w:val="766DC0BC"/>
    <w:rsid w:val="767A995E"/>
    <w:rsid w:val="768555A3"/>
    <w:rsid w:val="76881D2D"/>
    <w:rsid w:val="768BC68A"/>
    <w:rsid w:val="7690D215"/>
    <w:rsid w:val="7698DDE4"/>
    <w:rsid w:val="769AFF8E"/>
    <w:rsid w:val="76A6A0B9"/>
    <w:rsid w:val="76B7524B"/>
    <w:rsid w:val="76B8BDA7"/>
    <w:rsid w:val="76BDCF97"/>
    <w:rsid w:val="76BE55E6"/>
    <w:rsid w:val="76C5A738"/>
    <w:rsid w:val="76D57F77"/>
    <w:rsid w:val="76D6CE18"/>
    <w:rsid w:val="76E8D521"/>
    <w:rsid w:val="76F48AEA"/>
    <w:rsid w:val="7700C7A7"/>
    <w:rsid w:val="77038456"/>
    <w:rsid w:val="77045BB2"/>
    <w:rsid w:val="77117B88"/>
    <w:rsid w:val="772B40E5"/>
    <w:rsid w:val="77385BF6"/>
    <w:rsid w:val="773AF42A"/>
    <w:rsid w:val="77411BCB"/>
    <w:rsid w:val="774B3365"/>
    <w:rsid w:val="774CE7BF"/>
    <w:rsid w:val="77570970"/>
    <w:rsid w:val="775C4B9E"/>
    <w:rsid w:val="775D0003"/>
    <w:rsid w:val="776A1F13"/>
    <w:rsid w:val="777862E9"/>
    <w:rsid w:val="7778AE39"/>
    <w:rsid w:val="77897E39"/>
    <w:rsid w:val="778BD1DA"/>
    <w:rsid w:val="77906376"/>
    <w:rsid w:val="779C2E62"/>
    <w:rsid w:val="779DB218"/>
    <w:rsid w:val="779F02FA"/>
    <w:rsid w:val="77B35311"/>
    <w:rsid w:val="77D2918D"/>
    <w:rsid w:val="77D5805A"/>
    <w:rsid w:val="77DED94E"/>
    <w:rsid w:val="77EA571A"/>
    <w:rsid w:val="77ED13CF"/>
    <w:rsid w:val="77F669A4"/>
    <w:rsid w:val="77FB51BA"/>
    <w:rsid w:val="78073063"/>
    <w:rsid w:val="7809A6A9"/>
    <w:rsid w:val="7809EF5F"/>
    <w:rsid w:val="78105C56"/>
    <w:rsid w:val="781977B0"/>
    <w:rsid w:val="7821D2E7"/>
    <w:rsid w:val="78247D68"/>
    <w:rsid w:val="782BF5C4"/>
    <w:rsid w:val="7835C551"/>
    <w:rsid w:val="78365BCE"/>
    <w:rsid w:val="78410BDB"/>
    <w:rsid w:val="78453E39"/>
    <w:rsid w:val="784AF66C"/>
    <w:rsid w:val="7854D4E9"/>
    <w:rsid w:val="78561BC0"/>
    <w:rsid w:val="785D238F"/>
    <w:rsid w:val="785E8416"/>
    <w:rsid w:val="78629002"/>
    <w:rsid w:val="78664465"/>
    <w:rsid w:val="78677086"/>
    <w:rsid w:val="7868B138"/>
    <w:rsid w:val="787AE7B1"/>
    <w:rsid w:val="789487A5"/>
    <w:rsid w:val="78C01DFB"/>
    <w:rsid w:val="78CCBAB1"/>
    <w:rsid w:val="78D39DB0"/>
    <w:rsid w:val="78F0BD74"/>
    <w:rsid w:val="78F82618"/>
    <w:rsid w:val="790781D2"/>
    <w:rsid w:val="790F8D0B"/>
    <w:rsid w:val="791C88CE"/>
    <w:rsid w:val="7924E30B"/>
    <w:rsid w:val="7924F4BD"/>
    <w:rsid w:val="79250A49"/>
    <w:rsid w:val="7926BEA3"/>
    <w:rsid w:val="792E13B6"/>
    <w:rsid w:val="7932FC07"/>
    <w:rsid w:val="79347F0E"/>
    <w:rsid w:val="79394A72"/>
    <w:rsid w:val="79395AF5"/>
    <w:rsid w:val="7945529E"/>
    <w:rsid w:val="794ADD5B"/>
    <w:rsid w:val="794CB614"/>
    <w:rsid w:val="794D3A49"/>
    <w:rsid w:val="79594752"/>
    <w:rsid w:val="7959FB53"/>
    <w:rsid w:val="795FD317"/>
    <w:rsid w:val="79643ACE"/>
    <w:rsid w:val="7970FA89"/>
    <w:rsid w:val="798612FE"/>
    <w:rsid w:val="798FBAB7"/>
    <w:rsid w:val="79912188"/>
    <w:rsid w:val="79939B45"/>
    <w:rsid w:val="799CFB19"/>
    <w:rsid w:val="799F5108"/>
    <w:rsid w:val="79A29A27"/>
    <w:rsid w:val="79A68845"/>
    <w:rsid w:val="79AAB834"/>
    <w:rsid w:val="79B456D1"/>
    <w:rsid w:val="79C0678E"/>
    <w:rsid w:val="79C139B5"/>
    <w:rsid w:val="79C2B8A7"/>
    <w:rsid w:val="79C3B3DF"/>
    <w:rsid w:val="79D15860"/>
    <w:rsid w:val="79D2B4D5"/>
    <w:rsid w:val="79D9A518"/>
    <w:rsid w:val="79DD632D"/>
    <w:rsid w:val="79DFBE8B"/>
    <w:rsid w:val="79F31417"/>
    <w:rsid w:val="79F76FF7"/>
    <w:rsid w:val="79FA0B51"/>
    <w:rsid w:val="79FBEFAA"/>
    <w:rsid w:val="7A0211F7"/>
    <w:rsid w:val="7A0891C2"/>
    <w:rsid w:val="7A08FDFD"/>
    <w:rsid w:val="7A0ABB80"/>
    <w:rsid w:val="7A158859"/>
    <w:rsid w:val="7A1CD99C"/>
    <w:rsid w:val="7A1D1106"/>
    <w:rsid w:val="7A205A06"/>
    <w:rsid w:val="7A2FB403"/>
    <w:rsid w:val="7A36898A"/>
    <w:rsid w:val="7A3D1E82"/>
    <w:rsid w:val="7A3F5FBC"/>
    <w:rsid w:val="7A45F927"/>
    <w:rsid w:val="7A4F0E91"/>
    <w:rsid w:val="7A596F09"/>
    <w:rsid w:val="7A6788CA"/>
    <w:rsid w:val="7A704DBA"/>
    <w:rsid w:val="7A70FE84"/>
    <w:rsid w:val="7A7E7E09"/>
    <w:rsid w:val="7AA990C7"/>
    <w:rsid w:val="7AB511C4"/>
    <w:rsid w:val="7ABAD59E"/>
    <w:rsid w:val="7ACB12C1"/>
    <w:rsid w:val="7ACE94B7"/>
    <w:rsid w:val="7ACEDF29"/>
    <w:rsid w:val="7ADD7AEB"/>
    <w:rsid w:val="7AE18A8F"/>
    <w:rsid w:val="7AE7D18B"/>
    <w:rsid w:val="7AEE255B"/>
    <w:rsid w:val="7AF259A5"/>
    <w:rsid w:val="7AFBB904"/>
    <w:rsid w:val="7B094C87"/>
    <w:rsid w:val="7B0FF966"/>
    <w:rsid w:val="7B2A88FC"/>
    <w:rsid w:val="7B2B8B18"/>
    <w:rsid w:val="7B2BDEAF"/>
    <w:rsid w:val="7B2C1A27"/>
    <w:rsid w:val="7B2FC437"/>
    <w:rsid w:val="7B366588"/>
    <w:rsid w:val="7B36E95F"/>
    <w:rsid w:val="7B39A9FB"/>
    <w:rsid w:val="7B3B63EB"/>
    <w:rsid w:val="7B41AD59"/>
    <w:rsid w:val="7B442EA2"/>
    <w:rsid w:val="7B492AC6"/>
    <w:rsid w:val="7B4DDE44"/>
    <w:rsid w:val="7B509671"/>
    <w:rsid w:val="7B5E249D"/>
    <w:rsid w:val="7B7BBC89"/>
    <w:rsid w:val="7B81EDD7"/>
    <w:rsid w:val="7B82CE54"/>
    <w:rsid w:val="7B84AD4B"/>
    <w:rsid w:val="7B8852CB"/>
    <w:rsid w:val="7B8CE669"/>
    <w:rsid w:val="7B9B1099"/>
    <w:rsid w:val="7BA5EA51"/>
    <w:rsid w:val="7BB2AFF7"/>
    <w:rsid w:val="7BB32E8A"/>
    <w:rsid w:val="7BB67DD5"/>
    <w:rsid w:val="7BCB13ED"/>
    <w:rsid w:val="7BCDBCB7"/>
    <w:rsid w:val="7BD225B5"/>
    <w:rsid w:val="7BD43FB1"/>
    <w:rsid w:val="7BE0281B"/>
    <w:rsid w:val="7BE6A36F"/>
    <w:rsid w:val="7BF9D0FA"/>
    <w:rsid w:val="7BFBAD47"/>
    <w:rsid w:val="7C0903CF"/>
    <w:rsid w:val="7C0B1596"/>
    <w:rsid w:val="7C1BE4BB"/>
    <w:rsid w:val="7C1C8685"/>
    <w:rsid w:val="7C318399"/>
    <w:rsid w:val="7C351402"/>
    <w:rsid w:val="7C3789F0"/>
    <w:rsid w:val="7C37CC89"/>
    <w:rsid w:val="7C38C15E"/>
    <w:rsid w:val="7C3ABAC7"/>
    <w:rsid w:val="7C421A1B"/>
    <w:rsid w:val="7C43087B"/>
    <w:rsid w:val="7C48098B"/>
    <w:rsid w:val="7C4A249E"/>
    <w:rsid w:val="7C53C41D"/>
    <w:rsid w:val="7C5A3793"/>
    <w:rsid w:val="7C6008A1"/>
    <w:rsid w:val="7C716AD5"/>
    <w:rsid w:val="7C72FED3"/>
    <w:rsid w:val="7C85F47F"/>
    <w:rsid w:val="7C868DB5"/>
    <w:rsid w:val="7C8802E8"/>
    <w:rsid w:val="7C8DA3CD"/>
    <w:rsid w:val="7C991F6B"/>
    <w:rsid w:val="7CA0E344"/>
    <w:rsid w:val="7CB9EDBA"/>
    <w:rsid w:val="7CBB1BD6"/>
    <w:rsid w:val="7CC519F5"/>
    <w:rsid w:val="7CCC3089"/>
    <w:rsid w:val="7CCCF9D7"/>
    <w:rsid w:val="7CEB3BA8"/>
    <w:rsid w:val="7CEC7B28"/>
    <w:rsid w:val="7CF2A441"/>
    <w:rsid w:val="7D0B39A6"/>
    <w:rsid w:val="7D13E40E"/>
    <w:rsid w:val="7D2637C2"/>
    <w:rsid w:val="7D2E21D8"/>
    <w:rsid w:val="7D3191A1"/>
    <w:rsid w:val="7D4905E6"/>
    <w:rsid w:val="7D4CD988"/>
    <w:rsid w:val="7D560F3F"/>
    <w:rsid w:val="7D5D63B6"/>
    <w:rsid w:val="7D62398C"/>
    <w:rsid w:val="7D633F72"/>
    <w:rsid w:val="7D6F6A9D"/>
    <w:rsid w:val="7D70C8D0"/>
    <w:rsid w:val="7D79E4BB"/>
    <w:rsid w:val="7D94DBBA"/>
    <w:rsid w:val="7D981520"/>
    <w:rsid w:val="7DAF3186"/>
    <w:rsid w:val="7DB1DE57"/>
    <w:rsid w:val="7DB3D570"/>
    <w:rsid w:val="7DC41052"/>
    <w:rsid w:val="7DC75C43"/>
    <w:rsid w:val="7DCED463"/>
    <w:rsid w:val="7DD8FBAB"/>
    <w:rsid w:val="7DD91697"/>
    <w:rsid w:val="7DF44F8E"/>
    <w:rsid w:val="7DF71631"/>
    <w:rsid w:val="7DFE3984"/>
    <w:rsid w:val="7DFF6D14"/>
    <w:rsid w:val="7E1FDD3B"/>
    <w:rsid w:val="7E2224B7"/>
    <w:rsid w:val="7E2671DB"/>
    <w:rsid w:val="7E2C1AF8"/>
    <w:rsid w:val="7E3144E2"/>
    <w:rsid w:val="7E31C7BB"/>
    <w:rsid w:val="7E380AD5"/>
    <w:rsid w:val="7E3C7719"/>
    <w:rsid w:val="7E3FF71D"/>
    <w:rsid w:val="7E467BC8"/>
    <w:rsid w:val="7E47F277"/>
    <w:rsid w:val="7E4C1AAE"/>
    <w:rsid w:val="7E510172"/>
    <w:rsid w:val="7E64575D"/>
    <w:rsid w:val="7E6C0C03"/>
    <w:rsid w:val="7E77C4D0"/>
    <w:rsid w:val="7E89548A"/>
    <w:rsid w:val="7E99C30E"/>
    <w:rsid w:val="7E9FB6DF"/>
    <w:rsid w:val="7EA14A74"/>
    <w:rsid w:val="7EC35936"/>
    <w:rsid w:val="7EC594A5"/>
    <w:rsid w:val="7ED5E92C"/>
    <w:rsid w:val="7EE406E7"/>
    <w:rsid w:val="7EED499E"/>
    <w:rsid w:val="7EF7083C"/>
    <w:rsid w:val="7EF95451"/>
    <w:rsid w:val="7EFAD3D0"/>
    <w:rsid w:val="7EFF1765"/>
    <w:rsid w:val="7F0B3F80"/>
    <w:rsid w:val="7F0B4F5D"/>
    <w:rsid w:val="7F11A691"/>
    <w:rsid w:val="7F1671A2"/>
    <w:rsid w:val="7F169D3F"/>
    <w:rsid w:val="7F17C90D"/>
    <w:rsid w:val="7F1995EE"/>
    <w:rsid w:val="7F19F8A6"/>
    <w:rsid w:val="7F1D7FAB"/>
    <w:rsid w:val="7F351AD6"/>
    <w:rsid w:val="7F3D2070"/>
    <w:rsid w:val="7F49E5FB"/>
    <w:rsid w:val="7F4AAA4C"/>
    <w:rsid w:val="7F4BFA6C"/>
    <w:rsid w:val="7F522BD3"/>
    <w:rsid w:val="7F638FA5"/>
    <w:rsid w:val="7F723188"/>
    <w:rsid w:val="7F75254E"/>
    <w:rsid w:val="7F758F28"/>
    <w:rsid w:val="7F884105"/>
    <w:rsid w:val="7F8B255E"/>
    <w:rsid w:val="7FB3BACA"/>
    <w:rsid w:val="7FBE42E4"/>
    <w:rsid w:val="7FBF45A5"/>
    <w:rsid w:val="7FC09C4B"/>
    <w:rsid w:val="7FC23ABD"/>
    <w:rsid w:val="7FC59B72"/>
    <w:rsid w:val="7FC77B05"/>
    <w:rsid w:val="7FC7A243"/>
    <w:rsid w:val="7FC9C2A1"/>
    <w:rsid w:val="7FEB58EC"/>
    <w:rsid w:val="7FEBA828"/>
    <w:rsid w:val="7FF0BD39"/>
    <w:rsid w:val="7FF44F71"/>
    <w:rsid w:val="7FF54770"/>
    <w:rsid w:val="7FFBAD76"/>
    <w:rsid w:val="7FFE7E60"/>
  </w:rsids>
  <m:mathPr>
    <m:mathFont m:val="Cambria Math"/>
    <m:brkBin m:val="before"/>
    <m:brkBinSub m:val="--"/>
    <m:smallFrac m:val="0"/>
    <m:dispDef/>
    <m:lMargin m:val="0"/>
    <m:rMargin m:val="0"/>
    <m:defJc m:val="centerGroup"/>
    <m:wrapIndent m:val="1440"/>
    <m:intLim m:val="subSup"/>
    <m:naryLim m:val="undOvr"/>
  </m:mathPr>
  <w:themeFontLang w:val="en-US" w:eastAsia="nb-N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C58F15"/>
  <w15:chartTrackingRefBased/>
  <w15:docId w15:val="{7743F88F-26F7-4AF8-8156-937F84E00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273"/>
    <w:pPr>
      <w:tabs>
        <w:tab w:val="left" w:pos="2155"/>
      </w:tabs>
      <w:spacing w:after="200" w:line="276" w:lineRule="auto"/>
    </w:pPr>
  </w:style>
  <w:style w:type="paragraph" w:styleId="Overskrift1">
    <w:name w:val="heading 1"/>
    <w:basedOn w:val="Normal"/>
    <w:next w:val="Normal"/>
    <w:link w:val="Overskrift1Tegn"/>
    <w:uiPriority w:val="9"/>
    <w:qFormat/>
    <w:rsid w:val="00DC1BFB"/>
    <w:pPr>
      <w:keepNext/>
      <w:keepLines/>
      <w:spacing w:before="240" w:after="480"/>
      <w:outlineLvl w:val="0"/>
    </w:pPr>
    <w:rPr>
      <w:rFonts w:asciiTheme="majorHAnsi" w:eastAsiaTheme="majorEastAsia" w:hAnsiTheme="majorHAnsi" w:cstheme="majorBidi"/>
      <w:b/>
      <w:color w:val="262682" w:themeColor="accent1"/>
      <w:sz w:val="44"/>
      <w:szCs w:val="32"/>
    </w:rPr>
  </w:style>
  <w:style w:type="paragraph" w:styleId="Overskrift2">
    <w:name w:val="heading 2"/>
    <w:basedOn w:val="Normal"/>
    <w:next w:val="Normal"/>
    <w:link w:val="Overskrift2Tegn"/>
    <w:uiPriority w:val="9"/>
    <w:qFormat/>
    <w:rsid w:val="000B7B51"/>
    <w:pPr>
      <w:keepNext/>
      <w:keepLines/>
      <w:spacing w:before="300" w:after="300"/>
      <w:outlineLvl w:val="1"/>
    </w:pPr>
    <w:rPr>
      <w:rFonts w:asciiTheme="majorHAnsi" w:eastAsiaTheme="majorEastAsia" w:hAnsiTheme="majorHAnsi" w:cstheme="majorBidi"/>
      <w:b/>
      <w:color w:val="262682" w:themeColor="accent1"/>
      <w:sz w:val="26"/>
      <w:szCs w:val="26"/>
    </w:rPr>
  </w:style>
  <w:style w:type="paragraph" w:styleId="Overskrift3">
    <w:name w:val="heading 3"/>
    <w:basedOn w:val="Normal"/>
    <w:next w:val="Normal"/>
    <w:link w:val="Overskrift3Tegn"/>
    <w:uiPriority w:val="9"/>
    <w:qFormat/>
    <w:rsid w:val="00893D2C"/>
    <w:pPr>
      <w:keepNext/>
      <w:keepLines/>
      <w:spacing w:before="300" w:after="0"/>
      <w:outlineLvl w:val="2"/>
    </w:pPr>
    <w:rPr>
      <w:rFonts w:asciiTheme="majorHAnsi" w:eastAsiaTheme="majorEastAsia" w:hAnsiTheme="majorHAnsi" w:cstheme="majorBidi"/>
      <w:b/>
      <w:color w:val="131340" w:themeColor="accent1" w:themeShade="7F"/>
      <w:sz w:val="26"/>
      <w:szCs w:val="24"/>
    </w:rPr>
  </w:style>
  <w:style w:type="paragraph" w:styleId="Overskrift4">
    <w:name w:val="heading 4"/>
    <w:basedOn w:val="Normal"/>
    <w:next w:val="Normal"/>
    <w:link w:val="Overskrift4Tegn"/>
    <w:uiPriority w:val="9"/>
    <w:qFormat/>
    <w:rsid w:val="00AE4781"/>
    <w:pPr>
      <w:keepNext/>
      <w:keepLines/>
      <w:spacing w:before="200" w:after="0"/>
      <w:outlineLvl w:val="3"/>
    </w:pPr>
    <w:rPr>
      <w:rFonts w:asciiTheme="majorHAnsi" w:eastAsiaTheme="majorEastAsia" w:hAnsiTheme="majorHAnsi" w:cstheme="majorBidi"/>
      <w:b/>
      <w:iCs/>
      <w:color w:val="26261E" w:themeColor="text1"/>
    </w:rPr>
  </w:style>
  <w:style w:type="paragraph" w:styleId="Overskrift5">
    <w:name w:val="heading 5"/>
    <w:basedOn w:val="Normal"/>
    <w:next w:val="Normal"/>
    <w:link w:val="Overskrift5Tegn"/>
    <w:uiPriority w:val="9"/>
    <w:qFormat/>
    <w:rsid w:val="00042F5E"/>
    <w:pPr>
      <w:keepNext/>
      <w:keepLines/>
      <w:spacing w:before="200" w:after="0"/>
      <w:outlineLvl w:val="4"/>
    </w:pPr>
    <w:rPr>
      <w:rFonts w:asciiTheme="majorHAnsi" w:eastAsiaTheme="majorEastAsia" w:hAnsiTheme="majorHAnsi" w:cstheme="majorBidi"/>
      <w:b/>
      <w:color w:val="262682" w:themeColor="accent1"/>
      <w:u w:val="single"/>
    </w:rPr>
  </w:style>
  <w:style w:type="paragraph" w:styleId="Overskrift6">
    <w:name w:val="heading 6"/>
    <w:basedOn w:val="Normal"/>
    <w:next w:val="Normal"/>
    <w:link w:val="Overskrift6Tegn"/>
    <w:uiPriority w:val="9"/>
    <w:semiHidden/>
    <w:qFormat/>
    <w:rsid w:val="00893D2C"/>
    <w:pPr>
      <w:keepNext/>
      <w:keepLines/>
      <w:spacing w:before="40" w:after="0"/>
      <w:outlineLvl w:val="5"/>
    </w:pPr>
    <w:rPr>
      <w:rFonts w:asciiTheme="majorHAnsi" w:eastAsiaTheme="majorEastAsia" w:hAnsiTheme="majorHAnsi" w:cstheme="majorBidi"/>
      <w:color w:val="131340" w:themeColor="accent1" w:themeShade="7F"/>
    </w:rPr>
  </w:style>
  <w:style w:type="paragraph" w:styleId="Overskrift7">
    <w:name w:val="heading 7"/>
    <w:basedOn w:val="Normal"/>
    <w:next w:val="Normal"/>
    <w:link w:val="Overskrift7Tegn"/>
    <w:uiPriority w:val="9"/>
    <w:semiHidden/>
    <w:qFormat/>
    <w:rsid w:val="00893D2C"/>
    <w:pPr>
      <w:keepNext/>
      <w:keepLines/>
      <w:spacing w:before="40" w:after="0"/>
      <w:outlineLvl w:val="6"/>
    </w:pPr>
    <w:rPr>
      <w:rFonts w:asciiTheme="majorHAnsi" w:eastAsiaTheme="majorEastAsia" w:hAnsiTheme="majorHAnsi" w:cstheme="majorBidi"/>
      <w:i/>
      <w:iCs/>
      <w:color w:val="131340" w:themeColor="accent1" w:themeShade="7F"/>
    </w:rPr>
  </w:style>
  <w:style w:type="paragraph" w:styleId="Overskrift8">
    <w:name w:val="heading 8"/>
    <w:basedOn w:val="Normal"/>
    <w:next w:val="Normal"/>
    <w:link w:val="Overskrift8Tegn"/>
    <w:uiPriority w:val="9"/>
    <w:semiHidden/>
    <w:qFormat/>
    <w:rsid w:val="00893D2C"/>
    <w:pPr>
      <w:keepNext/>
      <w:keepLines/>
      <w:spacing w:before="40" w:after="0"/>
      <w:outlineLvl w:val="7"/>
    </w:pPr>
    <w:rPr>
      <w:rFonts w:asciiTheme="majorHAnsi" w:eastAsiaTheme="majorEastAsia" w:hAnsiTheme="majorHAnsi" w:cstheme="majorBidi"/>
      <w:color w:val="4B4B3B" w:themeColor="text1" w:themeTint="D8"/>
      <w:sz w:val="21"/>
      <w:szCs w:val="21"/>
    </w:rPr>
  </w:style>
  <w:style w:type="paragraph" w:styleId="Overskrift9">
    <w:name w:val="heading 9"/>
    <w:basedOn w:val="Normal"/>
    <w:next w:val="Normal"/>
    <w:link w:val="Overskrift9Tegn"/>
    <w:uiPriority w:val="9"/>
    <w:semiHidden/>
    <w:qFormat/>
    <w:rsid w:val="00893D2C"/>
    <w:pPr>
      <w:keepNext/>
      <w:keepLines/>
      <w:spacing w:before="40" w:after="0"/>
      <w:outlineLvl w:val="8"/>
    </w:pPr>
    <w:rPr>
      <w:rFonts w:asciiTheme="majorHAnsi" w:eastAsiaTheme="majorEastAsia" w:hAnsiTheme="majorHAnsi" w:cstheme="majorBidi"/>
      <w:i/>
      <w:iCs/>
      <w:color w:val="4B4B3B" w:themeColor="text1" w:themeTint="D8"/>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893D2C"/>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893D2C"/>
  </w:style>
  <w:style w:type="paragraph" w:styleId="Bunntekst">
    <w:name w:val="footer"/>
    <w:basedOn w:val="Normal"/>
    <w:link w:val="BunntekstTegn"/>
    <w:uiPriority w:val="99"/>
    <w:unhideWhenUsed/>
    <w:rsid w:val="00376FD2"/>
    <w:pPr>
      <w:tabs>
        <w:tab w:val="center" w:pos="4513"/>
        <w:tab w:val="right" w:pos="9026"/>
      </w:tabs>
      <w:spacing w:after="0" w:line="240" w:lineRule="auto"/>
      <w:ind w:right="-737"/>
      <w:jc w:val="right"/>
    </w:pPr>
    <w:rPr>
      <w:sz w:val="16"/>
    </w:rPr>
  </w:style>
  <w:style w:type="character" w:customStyle="1" w:styleId="BunntekstTegn">
    <w:name w:val="Bunntekst Tegn"/>
    <w:basedOn w:val="Standardskriftforavsnitt"/>
    <w:link w:val="Bunntekst"/>
    <w:uiPriority w:val="99"/>
    <w:rsid w:val="00376FD2"/>
    <w:rPr>
      <w:sz w:val="16"/>
    </w:rPr>
  </w:style>
  <w:style w:type="numbering" w:styleId="111111">
    <w:name w:val="Outline List 2"/>
    <w:basedOn w:val="Ingenliste"/>
    <w:uiPriority w:val="99"/>
    <w:semiHidden/>
    <w:unhideWhenUsed/>
    <w:rsid w:val="00893D2C"/>
    <w:pPr>
      <w:numPr>
        <w:numId w:val="1"/>
      </w:numPr>
    </w:pPr>
  </w:style>
  <w:style w:type="numbering" w:styleId="1ai">
    <w:name w:val="Outline List 1"/>
    <w:basedOn w:val="Ingenliste"/>
    <w:uiPriority w:val="99"/>
    <w:semiHidden/>
    <w:unhideWhenUsed/>
    <w:rsid w:val="00893D2C"/>
    <w:pPr>
      <w:numPr>
        <w:numId w:val="2"/>
      </w:numPr>
    </w:pPr>
  </w:style>
  <w:style w:type="character" w:customStyle="1" w:styleId="Overskrift1Tegn">
    <w:name w:val="Overskrift 1 Tegn"/>
    <w:basedOn w:val="Standardskriftforavsnitt"/>
    <w:link w:val="Overskrift1"/>
    <w:uiPriority w:val="9"/>
    <w:rsid w:val="00DC1BFB"/>
    <w:rPr>
      <w:rFonts w:asciiTheme="majorHAnsi" w:eastAsiaTheme="majorEastAsia" w:hAnsiTheme="majorHAnsi" w:cstheme="majorBidi"/>
      <w:b/>
      <w:color w:val="262682" w:themeColor="accent1"/>
      <w:sz w:val="44"/>
      <w:szCs w:val="32"/>
    </w:rPr>
  </w:style>
  <w:style w:type="character" w:customStyle="1" w:styleId="Overskrift2Tegn">
    <w:name w:val="Overskrift 2 Tegn"/>
    <w:basedOn w:val="Standardskriftforavsnitt"/>
    <w:link w:val="Overskrift2"/>
    <w:uiPriority w:val="9"/>
    <w:rsid w:val="000B7B51"/>
    <w:rPr>
      <w:rFonts w:asciiTheme="majorHAnsi" w:eastAsiaTheme="majorEastAsia" w:hAnsiTheme="majorHAnsi" w:cstheme="majorBidi"/>
      <w:b/>
      <w:color w:val="262682" w:themeColor="accent1"/>
      <w:sz w:val="26"/>
      <w:szCs w:val="26"/>
    </w:rPr>
  </w:style>
  <w:style w:type="character" w:customStyle="1" w:styleId="Overskrift3Tegn">
    <w:name w:val="Overskrift 3 Tegn"/>
    <w:basedOn w:val="Standardskriftforavsnitt"/>
    <w:link w:val="Overskrift3"/>
    <w:uiPriority w:val="9"/>
    <w:rsid w:val="00AE4781"/>
    <w:rPr>
      <w:rFonts w:asciiTheme="majorHAnsi" w:eastAsiaTheme="majorEastAsia" w:hAnsiTheme="majorHAnsi" w:cstheme="majorBidi"/>
      <w:b/>
      <w:color w:val="131340" w:themeColor="accent1" w:themeShade="7F"/>
      <w:sz w:val="26"/>
      <w:szCs w:val="24"/>
    </w:rPr>
  </w:style>
  <w:style w:type="character" w:customStyle="1" w:styleId="Overskrift4Tegn">
    <w:name w:val="Overskrift 4 Tegn"/>
    <w:basedOn w:val="Standardskriftforavsnitt"/>
    <w:link w:val="Overskrift4"/>
    <w:uiPriority w:val="9"/>
    <w:rsid w:val="00AE4781"/>
    <w:rPr>
      <w:rFonts w:asciiTheme="majorHAnsi" w:eastAsiaTheme="majorEastAsia" w:hAnsiTheme="majorHAnsi" w:cstheme="majorBidi"/>
      <w:b/>
      <w:iCs/>
      <w:color w:val="26261E" w:themeColor="text1"/>
    </w:rPr>
  </w:style>
  <w:style w:type="character" w:customStyle="1" w:styleId="Overskrift5Tegn">
    <w:name w:val="Overskrift 5 Tegn"/>
    <w:basedOn w:val="Standardskriftforavsnitt"/>
    <w:link w:val="Overskrift5"/>
    <w:uiPriority w:val="9"/>
    <w:rsid w:val="00042F5E"/>
    <w:rPr>
      <w:rFonts w:asciiTheme="majorHAnsi" w:eastAsiaTheme="majorEastAsia" w:hAnsiTheme="majorHAnsi" w:cstheme="majorBidi"/>
      <w:b/>
      <w:color w:val="262682" w:themeColor="accent1"/>
      <w:u w:val="single"/>
    </w:rPr>
  </w:style>
  <w:style w:type="character" w:customStyle="1" w:styleId="Overskrift6Tegn">
    <w:name w:val="Overskrift 6 Tegn"/>
    <w:basedOn w:val="Standardskriftforavsnitt"/>
    <w:link w:val="Overskrift6"/>
    <w:uiPriority w:val="9"/>
    <w:semiHidden/>
    <w:rsid w:val="00D5282D"/>
    <w:rPr>
      <w:rFonts w:asciiTheme="majorHAnsi" w:eastAsiaTheme="majorEastAsia" w:hAnsiTheme="majorHAnsi" w:cstheme="majorBidi"/>
      <w:color w:val="131340" w:themeColor="accent1" w:themeShade="7F"/>
    </w:rPr>
  </w:style>
  <w:style w:type="character" w:customStyle="1" w:styleId="Overskrift7Tegn">
    <w:name w:val="Overskrift 7 Tegn"/>
    <w:basedOn w:val="Standardskriftforavsnitt"/>
    <w:link w:val="Overskrift7"/>
    <w:uiPriority w:val="9"/>
    <w:semiHidden/>
    <w:rsid w:val="00D5282D"/>
    <w:rPr>
      <w:rFonts w:asciiTheme="majorHAnsi" w:eastAsiaTheme="majorEastAsia" w:hAnsiTheme="majorHAnsi" w:cstheme="majorBidi"/>
      <w:i/>
      <w:iCs/>
      <w:color w:val="131340" w:themeColor="accent1" w:themeShade="7F"/>
    </w:rPr>
  </w:style>
  <w:style w:type="character" w:customStyle="1" w:styleId="Overskrift8Tegn">
    <w:name w:val="Overskrift 8 Tegn"/>
    <w:basedOn w:val="Standardskriftforavsnitt"/>
    <w:link w:val="Overskrift8"/>
    <w:uiPriority w:val="9"/>
    <w:semiHidden/>
    <w:rsid w:val="00D5282D"/>
    <w:rPr>
      <w:rFonts w:asciiTheme="majorHAnsi" w:eastAsiaTheme="majorEastAsia" w:hAnsiTheme="majorHAnsi" w:cstheme="majorBidi"/>
      <w:color w:val="4B4B3B" w:themeColor="text1" w:themeTint="D8"/>
      <w:sz w:val="21"/>
      <w:szCs w:val="21"/>
    </w:rPr>
  </w:style>
  <w:style w:type="character" w:customStyle="1" w:styleId="Overskrift9Tegn">
    <w:name w:val="Overskrift 9 Tegn"/>
    <w:basedOn w:val="Standardskriftforavsnitt"/>
    <w:link w:val="Overskrift9"/>
    <w:uiPriority w:val="9"/>
    <w:semiHidden/>
    <w:rsid w:val="00D5282D"/>
    <w:rPr>
      <w:rFonts w:asciiTheme="majorHAnsi" w:eastAsiaTheme="majorEastAsia" w:hAnsiTheme="majorHAnsi" w:cstheme="majorBidi"/>
      <w:i/>
      <w:iCs/>
      <w:color w:val="4B4B3B" w:themeColor="text1" w:themeTint="D8"/>
      <w:sz w:val="21"/>
      <w:szCs w:val="21"/>
    </w:rPr>
  </w:style>
  <w:style w:type="numbering" w:styleId="Artikkelavsnitt">
    <w:name w:val="Outline List 3"/>
    <w:basedOn w:val="Ingenliste"/>
    <w:uiPriority w:val="99"/>
    <w:semiHidden/>
    <w:unhideWhenUsed/>
    <w:rsid w:val="00893D2C"/>
    <w:pPr>
      <w:numPr>
        <w:numId w:val="3"/>
      </w:numPr>
    </w:pPr>
  </w:style>
  <w:style w:type="paragraph" w:styleId="Avsenderadresse">
    <w:name w:val="envelope return"/>
    <w:basedOn w:val="Normal"/>
    <w:uiPriority w:val="99"/>
    <w:semiHidden/>
    <w:unhideWhenUsed/>
    <w:rsid w:val="00893D2C"/>
    <w:pPr>
      <w:spacing w:after="0" w:line="240" w:lineRule="auto"/>
    </w:pPr>
    <w:rPr>
      <w:rFonts w:asciiTheme="majorHAnsi" w:eastAsiaTheme="majorEastAsia" w:hAnsiTheme="majorHAnsi" w:cstheme="majorBidi"/>
      <w:sz w:val="20"/>
      <w:szCs w:val="20"/>
    </w:rPr>
  </w:style>
  <w:style w:type="paragraph" w:styleId="Bibliografi">
    <w:name w:val="Bibliography"/>
    <w:basedOn w:val="Normal"/>
    <w:next w:val="Normal"/>
    <w:uiPriority w:val="37"/>
    <w:semiHidden/>
    <w:unhideWhenUsed/>
    <w:rsid w:val="00893D2C"/>
  </w:style>
  <w:style w:type="paragraph" w:styleId="Bildetekst">
    <w:name w:val="caption"/>
    <w:basedOn w:val="Normal"/>
    <w:next w:val="Normal"/>
    <w:uiPriority w:val="35"/>
    <w:semiHidden/>
    <w:unhideWhenUsed/>
    <w:qFormat/>
    <w:rsid w:val="00893D2C"/>
    <w:pPr>
      <w:spacing w:line="240" w:lineRule="auto"/>
    </w:pPr>
    <w:rPr>
      <w:i/>
      <w:iCs/>
      <w:color w:val="828282" w:themeColor="text2"/>
      <w:sz w:val="18"/>
      <w:szCs w:val="18"/>
    </w:rPr>
  </w:style>
  <w:style w:type="paragraph" w:styleId="Blokktekst">
    <w:name w:val="Block Text"/>
    <w:basedOn w:val="Normal"/>
    <w:uiPriority w:val="99"/>
    <w:semiHidden/>
    <w:unhideWhenUsed/>
    <w:rsid w:val="00893D2C"/>
    <w:pPr>
      <w:pBdr>
        <w:top w:val="single" w:sz="2" w:space="10" w:color="262682" w:themeColor="accent1"/>
        <w:left w:val="single" w:sz="2" w:space="10" w:color="262682" w:themeColor="accent1"/>
        <w:bottom w:val="single" w:sz="2" w:space="10" w:color="262682" w:themeColor="accent1"/>
        <w:right w:val="single" w:sz="2" w:space="10" w:color="262682" w:themeColor="accent1"/>
      </w:pBdr>
      <w:ind w:left="1152" w:right="1152"/>
    </w:pPr>
    <w:rPr>
      <w:rFonts w:eastAsiaTheme="minorEastAsia"/>
      <w:i/>
      <w:iCs/>
      <w:color w:val="262682" w:themeColor="accent1"/>
    </w:rPr>
  </w:style>
  <w:style w:type="paragraph" w:styleId="Bobletekst">
    <w:name w:val="Balloon Text"/>
    <w:basedOn w:val="Normal"/>
    <w:link w:val="BobletekstTegn"/>
    <w:uiPriority w:val="99"/>
    <w:semiHidden/>
    <w:unhideWhenUsed/>
    <w:rsid w:val="00893D2C"/>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893D2C"/>
    <w:rPr>
      <w:rFonts w:ascii="Segoe UI" w:hAnsi="Segoe UI" w:cs="Segoe UI"/>
      <w:sz w:val="18"/>
      <w:szCs w:val="18"/>
    </w:rPr>
  </w:style>
  <w:style w:type="character" w:styleId="Boktittel">
    <w:name w:val="Book Title"/>
    <w:basedOn w:val="Standardskriftforavsnitt"/>
    <w:uiPriority w:val="33"/>
    <w:semiHidden/>
    <w:qFormat/>
    <w:rsid w:val="00893D2C"/>
    <w:rPr>
      <w:b/>
      <w:bCs/>
      <w:i/>
      <w:iCs/>
      <w:spacing w:val="5"/>
    </w:rPr>
  </w:style>
  <w:style w:type="paragraph" w:styleId="Brdtekst">
    <w:name w:val="Body Text"/>
    <w:basedOn w:val="Normal"/>
    <w:link w:val="BrdtekstTegn"/>
    <w:unhideWhenUsed/>
    <w:rsid w:val="00893D2C"/>
    <w:pPr>
      <w:spacing w:after="120"/>
    </w:pPr>
  </w:style>
  <w:style w:type="character" w:customStyle="1" w:styleId="BrdtekstTegn">
    <w:name w:val="Brødtekst Tegn"/>
    <w:basedOn w:val="Standardskriftforavsnitt"/>
    <w:link w:val="Brdtekst"/>
    <w:rsid w:val="00893D2C"/>
  </w:style>
  <w:style w:type="paragraph" w:styleId="Brdtekst-frsteinnrykk">
    <w:name w:val="Body Text First Indent"/>
    <w:basedOn w:val="Brdtekst"/>
    <w:link w:val="Brdtekst-frsteinnrykkTegn"/>
    <w:uiPriority w:val="99"/>
    <w:semiHidden/>
    <w:unhideWhenUsed/>
    <w:rsid w:val="00893D2C"/>
    <w:pPr>
      <w:spacing w:after="160"/>
      <w:ind w:firstLine="360"/>
    </w:pPr>
  </w:style>
  <w:style w:type="character" w:customStyle="1" w:styleId="Brdtekst-frsteinnrykkTegn">
    <w:name w:val="Brødtekst - første innrykk Tegn"/>
    <w:basedOn w:val="BrdtekstTegn"/>
    <w:link w:val="Brdtekst-frsteinnrykk"/>
    <w:uiPriority w:val="99"/>
    <w:semiHidden/>
    <w:rsid w:val="00893D2C"/>
  </w:style>
  <w:style w:type="paragraph" w:styleId="Brdtekstinnrykk">
    <w:name w:val="Body Text Indent"/>
    <w:basedOn w:val="Normal"/>
    <w:link w:val="BrdtekstinnrykkTegn"/>
    <w:uiPriority w:val="99"/>
    <w:semiHidden/>
    <w:unhideWhenUsed/>
    <w:rsid w:val="00893D2C"/>
    <w:pPr>
      <w:spacing w:after="120"/>
      <w:ind w:left="283"/>
    </w:pPr>
  </w:style>
  <w:style w:type="character" w:customStyle="1" w:styleId="BrdtekstinnrykkTegn">
    <w:name w:val="Brødtekstinnrykk Tegn"/>
    <w:basedOn w:val="Standardskriftforavsnitt"/>
    <w:link w:val="Brdtekstinnrykk"/>
    <w:uiPriority w:val="99"/>
    <w:semiHidden/>
    <w:rsid w:val="00893D2C"/>
  </w:style>
  <w:style w:type="paragraph" w:styleId="Brdtekst-frsteinnrykk2">
    <w:name w:val="Body Text First Indent 2"/>
    <w:basedOn w:val="Brdtekstinnrykk"/>
    <w:link w:val="Brdtekst-frsteinnrykk2Tegn"/>
    <w:uiPriority w:val="99"/>
    <w:semiHidden/>
    <w:unhideWhenUsed/>
    <w:rsid w:val="00893D2C"/>
    <w:pPr>
      <w:spacing w:after="160"/>
      <w:ind w:left="360" w:firstLine="360"/>
    </w:pPr>
  </w:style>
  <w:style w:type="character" w:customStyle="1" w:styleId="Brdtekst-frsteinnrykk2Tegn">
    <w:name w:val="Brødtekst - første innrykk 2 Tegn"/>
    <w:basedOn w:val="BrdtekstinnrykkTegn"/>
    <w:link w:val="Brdtekst-frsteinnrykk2"/>
    <w:uiPriority w:val="99"/>
    <w:semiHidden/>
    <w:rsid w:val="00893D2C"/>
  </w:style>
  <w:style w:type="paragraph" w:styleId="Brdtekst2">
    <w:name w:val="Body Text 2"/>
    <w:basedOn w:val="Normal"/>
    <w:link w:val="Brdtekst2Tegn"/>
    <w:uiPriority w:val="99"/>
    <w:semiHidden/>
    <w:unhideWhenUsed/>
    <w:rsid w:val="00893D2C"/>
    <w:pPr>
      <w:spacing w:after="120" w:line="480" w:lineRule="auto"/>
    </w:pPr>
  </w:style>
  <w:style w:type="character" w:customStyle="1" w:styleId="Brdtekst2Tegn">
    <w:name w:val="Brødtekst 2 Tegn"/>
    <w:basedOn w:val="Standardskriftforavsnitt"/>
    <w:link w:val="Brdtekst2"/>
    <w:uiPriority w:val="99"/>
    <w:semiHidden/>
    <w:rsid w:val="00893D2C"/>
  </w:style>
  <w:style w:type="paragraph" w:styleId="Brdtekst3">
    <w:name w:val="Body Text 3"/>
    <w:basedOn w:val="Normal"/>
    <w:link w:val="Brdtekst3Tegn"/>
    <w:uiPriority w:val="99"/>
    <w:semiHidden/>
    <w:unhideWhenUsed/>
    <w:rsid w:val="00893D2C"/>
    <w:pPr>
      <w:spacing w:after="120"/>
    </w:pPr>
    <w:rPr>
      <w:sz w:val="16"/>
      <w:szCs w:val="16"/>
    </w:rPr>
  </w:style>
  <w:style w:type="character" w:customStyle="1" w:styleId="Brdtekst3Tegn">
    <w:name w:val="Brødtekst 3 Tegn"/>
    <w:basedOn w:val="Standardskriftforavsnitt"/>
    <w:link w:val="Brdtekst3"/>
    <w:uiPriority w:val="99"/>
    <w:semiHidden/>
    <w:rsid w:val="00893D2C"/>
    <w:rPr>
      <w:sz w:val="16"/>
      <w:szCs w:val="16"/>
    </w:rPr>
  </w:style>
  <w:style w:type="paragraph" w:styleId="Brdtekstinnrykk2">
    <w:name w:val="Body Text Indent 2"/>
    <w:basedOn w:val="Normal"/>
    <w:link w:val="Brdtekstinnrykk2Tegn"/>
    <w:uiPriority w:val="99"/>
    <w:semiHidden/>
    <w:unhideWhenUsed/>
    <w:rsid w:val="00893D2C"/>
    <w:pPr>
      <w:spacing w:after="120" w:line="480" w:lineRule="auto"/>
      <w:ind w:left="283"/>
    </w:pPr>
  </w:style>
  <w:style w:type="character" w:customStyle="1" w:styleId="Brdtekstinnrykk2Tegn">
    <w:name w:val="Brødtekstinnrykk 2 Tegn"/>
    <w:basedOn w:val="Standardskriftforavsnitt"/>
    <w:link w:val="Brdtekstinnrykk2"/>
    <w:uiPriority w:val="99"/>
    <w:semiHidden/>
    <w:rsid w:val="00893D2C"/>
  </w:style>
  <w:style w:type="paragraph" w:styleId="Brdtekstinnrykk3">
    <w:name w:val="Body Text Indent 3"/>
    <w:basedOn w:val="Normal"/>
    <w:link w:val="Brdtekstinnrykk3Tegn"/>
    <w:uiPriority w:val="99"/>
    <w:semiHidden/>
    <w:unhideWhenUsed/>
    <w:rsid w:val="00893D2C"/>
    <w:pPr>
      <w:spacing w:after="120"/>
      <w:ind w:left="283"/>
    </w:pPr>
    <w:rPr>
      <w:sz w:val="16"/>
      <w:szCs w:val="16"/>
    </w:rPr>
  </w:style>
  <w:style w:type="character" w:customStyle="1" w:styleId="Brdtekstinnrykk3Tegn">
    <w:name w:val="Brødtekstinnrykk 3 Tegn"/>
    <w:basedOn w:val="Standardskriftforavsnitt"/>
    <w:link w:val="Brdtekstinnrykk3"/>
    <w:uiPriority w:val="99"/>
    <w:semiHidden/>
    <w:rsid w:val="00893D2C"/>
    <w:rPr>
      <w:sz w:val="16"/>
      <w:szCs w:val="16"/>
    </w:rPr>
  </w:style>
  <w:style w:type="paragraph" w:styleId="Dato">
    <w:name w:val="Date"/>
    <w:basedOn w:val="Normal"/>
    <w:next w:val="Normal"/>
    <w:link w:val="DatoTegn"/>
    <w:uiPriority w:val="99"/>
    <w:semiHidden/>
    <w:unhideWhenUsed/>
    <w:rsid w:val="00893D2C"/>
  </w:style>
  <w:style w:type="character" w:customStyle="1" w:styleId="DatoTegn">
    <w:name w:val="Dato Tegn"/>
    <w:basedOn w:val="Standardskriftforavsnitt"/>
    <w:link w:val="Dato"/>
    <w:uiPriority w:val="99"/>
    <w:semiHidden/>
    <w:rsid w:val="00893D2C"/>
  </w:style>
  <w:style w:type="paragraph" w:styleId="Dokumentkart">
    <w:name w:val="Document Map"/>
    <w:basedOn w:val="Normal"/>
    <w:link w:val="DokumentkartTegn"/>
    <w:uiPriority w:val="99"/>
    <w:semiHidden/>
    <w:unhideWhenUsed/>
    <w:rsid w:val="00893D2C"/>
    <w:pPr>
      <w:spacing w:after="0" w:line="240" w:lineRule="auto"/>
    </w:pPr>
    <w:rPr>
      <w:rFonts w:ascii="Segoe UI" w:hAnsi="Segoe UI" w:cs="Segoe UI"/>
      <w:sz w:val="16"/>
      <w:szCs w:val="16"/>
    </w:rPr>
  </w:style>
  <w:style w:type="character" w:customStyle="1" w:styleId="DokumentkartTegn">
    <w:name w:val="Dokumentkart Tegn"/>
    <w:basedOn w:val="Standardskriftforavsnitt"/>
    <w:link w:val="Dokumentkart"/>
    <w:uiPriority w:val="99"/>
    <w:semiHidden/>
    <w:rsid w:val="00893D2C"/>
    <w:rPr>
      <w:rFonts w:ascii="Segoe UI" w:hAnsi="Segoe UI" w:cs="Segoe UI"/>
      <w:sz w:val="16"/>
      <w:szCs w:val="16"/>
    </w:rPr>
  </w:style>
  <w:style w:type="character" w:styleId="Emneknagg">
    <w:name w:val="Hashtag"/>
    <w:basedOn w:val="Standardskriftforavsnitt"/>
    <w:uiPriority w:val="99"/>
    <w:semiHidden/>
    <w:unhideWhenUsed/>
    <w:rsid w:val="00893D2C"/>
    <w:rPr>
      <w:color w:val="2B579A"/>
      <w:shd w:val="clear" w:color="auto" w:fill="E1DFDD"/>
    </w:rPr>
  </w:style>
  <w:style w:type="table" w:styleId="Enkelttabell1">
    <w:name w:val="Table Simple 1"/>
    <w:basedOn w:val="Vanligtabell"/>
    <w:uiPriority w:val="99"/>
    <w:semiHidden/>
    <w:unhideWhenUsed/>
    <w:rsid w:val="00893D2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tabell2">
    <w:name w:val="Table Simple 2"/>
    <w:basedOn w:val="Vanligtabell"/>
    <w:uiPriority w:val="99"/>
    <w:semiHidden/>
    <w:unhideWhenUsed/>
    <w:rsid w:val="00893D2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tabell3">
    <w:name w:val="Table Simple 3"/>
    <w:basedOn w:val="Vanligtabell"/>
    <w:uiPriority w:val="99"/>
    <w:semiHidden/>
    <w:unhideWhenUsed/>
    <w:rsid w:val="00893D2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Tegn"/>
    <w:uiPriority w:val="99"/>
    <w:semiHidden/>
    <w:unhideWhenUsed/>
    <w:rsid w:val="00893D2C"/>
    <w:pPr>
      <w:spacing w:after="0" w:line="240" w:lineRule="auto"/>
    </w:pPr>
  </w:style>
  <w:style w:type="character" w:customStyle="1" w:styleId="E-postsignaturTegn">
    <w:name w:val="E-postsignatur Tegn"/>
    <w:basedOn w:val="Standardskriftforavsnitt"/>
    <w:link w:val="E-postsignatur"/>
    <w:uiPriority w:val="99"/>
    <w:semiHidden/>
    <w:rsid w:val="00893D2C"/>
  </w:style>
  <w:style w:type="table" w:styleId="Fargerikliste">
    <w:name w:val="Colorful List"/>
    <w:basedOn w:val="Vanligtabell"/>
    <w:uiPriority w:val="72"/>
    <w:semiHidden/>
    <w:unhideWhenUsed/>
    <w:rsid w:val="00893D2C"/>
    <w:pPr>
      <w:spacing w:after="0" w:line="240" w:lineRule="auto"/>
    </w:pPr>
    <w:rPr>
      <w:color w:val="26261E" w:themeColor="text1"/>
    </w:rPr>
    <w:tblPr>
      <w:tblStyleRowBandSize w:val="1"/>
      <w:tblStyleColBandSize w:val="1"/>
    </w:tblPr>
    <w:tcPr>
      <w:shd w:val="clear" w:color="auto" w:fill="ECECE6" w:themeFill="text1" w:themeFillTint="19"/>
    </w:tcPr>
    <w:tblStylePr w:type="firstRow">
      <w:rPr>
        <w:b/>
        <w:bCs/>
        <w:color w:val="FFFFFF" w:themeColor="background1"/>
      </w:rPr>
      <w:tblPr/>
      <w:tcPr>
        <w:tcBorders>
          <w:bottom w:val="single" w:sz="12" w:space="0" w:color="FFFFFF" w:themeColor="background1"/>
        </w:tcBorders>
        <w:shd w:val="clear" w:color="auto" w:fill="FF8B24" w:themeFill="accent2" w:themeFillShade="CC"/>
      </w:tcPr>
    </w:tblStylePr>
    <w:tblStylePr w:type="lastRow">
      <w:rPr>
        <w:b/>
        <w:bCs/>
        <w:color w:val="FF8B24" w:themeColor="accent2" w:themeShade="CC"/>
      </w:rPr>
      <w:tblPr/>
      <w:tcPr>
        <w:tcBorders>
          <w:top w:val="single" w:sz="12" w:space="0" w:color="26261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CEC1" w:themeFill="text1" w:themeFillTint="3F"/>
      </w:tcPr>
    </w:tblStylePr>
    <w:tblStylePr w:type="band1Horz">
      <w:tblPr/>
      <w:tcPr>
        <w:shd w:val="clear" w:color="auto" w:fill="D8D8CD" w:themeFill="text1" w:themeFillTint="33"/>
      </w:tcPr>
    </w:tblStylePr>
  </w:style>
  <w:style w:type="table" w:styleId="Fargeriklisteuthevingsfarge1">
    <w:name w:val="Colorful List Accent 1"/>
    <w:basedOn w:val="Vanligtabell"/>
    <w:uiPriority w:val="72"/>
    <w:semiHidden/>
    <w:unhideWhenUsed/>
    <w:rsid w:val="00893D2C"/>
    <w:pPr>
      <w:spacing w:after="0" w:line="240" w:lineRule="auto"/>
    </w:pPr>
    <w:rPr>
      <w:color w:val="26261E" w:themeColor="text1"/>
    </w:rPr>
    <w:tblPr>
      <w:tblStyleRowBandSize w:val="1"/>
      <w:tblStyleColBandSize w:val="1"/>
    </w:tblPr>
    <w:tcPr>
      <w:shd w:val="clear" w:color="auto" w:fill="E4E4F7" w:themeFill="accent1" w:themeFillTint="19"/>
    </w:tcPr>
    <w:tblStylePr w:type="firstRow">
      <w:rPr>
        <w:b/>
        <w:bCs/>
        <w:color w:val="FFFFFF" w:themeColor="background1"/>
      </w:rPr>
      <w:tblPr/>
      <w:tcPr>
        <w:tcBorders>
          <w:bottom w:val="single" w:sz="12" w:space="0" w:color="FFFFFF" w:themeColor="background1"/>
        </w:tcBorders>
        <w:shd w:val="clear" w:color="auto" w:fill="FF8B24" w:themeFill="accent2" w:themeFillShade="CC"/>
      </w:tcPr>
    </w:tblStylePr>
    <w:tblStylePr w:type="lastRow">
      <w:rPr>
        <w:b/>
        <w:bCs/>
        <w:color w:val="FF8B24" w:themeColor="accent2" w:themeShade="CC"/>
      </w:rPr>
      <w:tblPr/>
      <w:tcPr>
        <w:tcBorders>
          <w:top w:val="single" w:sz="12" w:space="0" w:color="26261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BDEB" w:themeFill="accent1" w:themeFillTint="3F"/>
      </w:tcPr>
    </w:tblStylePr>
    <w:tblStylePr w:type="band1Horz">
      <w:tblPr/>
      <w:tcPr>
        <w:shd w:val="clear" w:color="auto" w:fill="C9C9EF" w:themeFill="accent1" w:themeFillTint="33"/>
      </w:tcPr>
    </w:tblStylePr>
  </w:style>
  <w:style w:type="table" w:styleId="Fargeriklisteuthevingsfarge2">
    <w:name w:val="Colorful List Accent 2"/>
    <w:basedOn w:val="Vanligtabell"/>
    <w:uiPriority w:val="72"/>
    <w:semiHidden/>
    <w:unhideWhenUsed/>
    <w:rsid w:val="00893D2C"/>
    <w:pPr>
      <w:spacing w:after="0" w:line="240" w:lineRule="auto"/>
    </w:pPr>
    <w:rPr>
      <w:color w:val="26261E" w:themeColor="text1"/>
    </w:rPr>
    <w:tblPr>
      <w:tblStyleRowBandSize w:val="1"/>
      <w:tblStyleColBandSize w:val="1"/>
    </w:tblPr>
    <w:tcPr>
      <w:shd w:val="clear" w:color="auto" w:fill="FFF7F0" w:themeFill="accent2" w:themeFillTint="19"/>
    </w:tcPr>
    <w:tblStylePr w:type="firstRow">
      <w:rPr>
        <w:b/>
        <w:bCs/>
        <w:color w:val="FFFFFF" w:themeColor="background1"/>
      </w:rPr>
      <w:tblPr/>
      <w:tcPr>
        <w:tcBorders>
          <w:bottom w:val="single" w:sz="12" w:space="0" w:color="FFFFFF" w:themeColor="background1"/>
        </w:tcBorders>
        <w:shd w:val="clear" w:color="auto" w:fill="FF8B24" w:themeFill="accent2" w:themeFillShade="CC"/>
      </w:tcPr>
    </w:tblStylePr>
    <w:tblStylePr w:type="lastRow">
      <w:rPr>
        <w:b/>
        <w:bCs/>
        <w:color w:val="FF8B24" w:themeColor="accent2" w:themeShade="CC"/>
      </w:rPr>
      <w:tblPr/>
      <w:tcPr>
        <w:tcBorders>
          <w:top w:val="single" w:sz="12" w:space="0" w:color="26261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BDA" w:themeFill="accent2" w:themeFillTint="3F"/>
      </w:tcPr>
    </w:tblStylePr>
    <w:tblStylePr w:type="band1Horz">
      <w:tblPr/>
      <w:tcPr>
        <w:shd w:val="clear" w:color="auto" w:fill="FFEFE1" w:themeFill="accent2" w:themeFillTint="33"/>
      </w:tcPr>
    </w:tblStylePr>
  </w:style>
  <w:style w:type="table" w:styleId="Fargeriklisteuthevingsfarge3">
    <w:name w:val="Colorful List Accent 3"/>
    <w:basedOn w:val="Vanligtabell"/>
    <w:uiPriority w:val="72"/>
    <w:semiHidden/>
    <w:unhideWhenUsed/>
    <w:rsid w:val="00893D2C"/>
    <w:pPr>
      <w:spacing w:after="0" w:line="240" w:lineRule="auto"/>
    </w:pPr>
    <w:rPr>
      <w:color w:val="26261E" w:themeColor="text1"/>
    </w:rPr>
    <w:tblPr>
      <w:tblStyleRowBandSize w:val="1"/>
      <w:tblStyleColBandSize w:val="1"/>
    </w:tblPr>
    <w:tcPr>
      <w:shd w:val="clear" w:color="auto" w:fill="EAF5F6" w:themeFill="accent3" w:themeFillTint="19"/>
    </w:tcPr>
    <w:tblStylePr w:type="firstRow">
      <w:rPr>
        <w:b/>
        <w:bCs/>
        <w:color w:val="FFFFFF" w:themeColor="background1"/>
      </w:rPr>
      <w:tblPr/>
      <w:tcPr>
        <w:tcBorders>
          <w:bottom w:val="single" w:sz="12" w:space="0" w:color="FFFFFF" w:themeColor="background1"/>
        </w:tcBorders>
        <w:shd w:val="clear" w:color="auto" w:fill="1E1E18" w:themeFill="accent4" w:themeFillShade="CC"/>
      </w:tcPr>
    </w:tblStylePr>
    <w:tblStylePr w:type="lastRow">
      <w:rPr>
        <w:b/>
        <w:bCs/>
        <w:color w:val="1E1E18" w:themeColor="accent4" w:themeShade="CC"/>
      </w:rPr>
      <w:tblPr/>
      <w:tcPr>
        <w:tcBorders>
          <w:top w:val="single" w:sz="12" w:space="0" w:color="26261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AE6E9" w:themeFill="accent3" w:themeFillTint="3F"/>
      </w:tcPr>
    </w:tblStylePr>
    <w:tblStylePr w:type="band1Horz">
      <w:tblPr/>
      <w:tcPr>
        <w:shd w:val="clear" w:color="auto" w:fill="D4EBED" w:themeFill="accent3" w:themeFillTint="33"/>
      </w:tcPr>
    </w:tblStylePr>
  </w:style>
  <w:style w:type="table" w:styleId="Fargeriklisteuthevingsfarge4">
    <w:name w:val="Colorful List Accent 4"/>
    <w:basedOn w:val="Vanligtabell"/>
    <w:uiPriority w:val="72"/>
    <w:semiHidden/>
    <w:unhideWhenUsed/>
    <w:rsid w:val="00893D2C"/>
    <w:pPr>
      <w:spacing w:after="0" w:line="240" w:lineRule="auto"/>
    </w:pPr>
    <w:rPr>
      <w:color w:val="26261E" w:themeColor="text1"/>
    </w:rPr>
    <w:tblPr>
      <w:tblStyleRowBandSize w:val="1"/>
      <w:tblStyleColBandSize w:val="1"/>
    </w:tblPr>
    <w:tcPr>
      <w:shd w:val="clear" w:color="auto" w:fill="ECECE6" w:themeFill="accent4" w:themeFillTint="19"/>
    </w:tcPr>
    <w:tblStylePr w:type="firstRow">
      <w:rPr>
        <w:b/>
        <w:bCs/>
        <w:color w:val="FFFFFF" w:themeColor="background1"/>
      </w:rPr>
      <w:tblPr/>
      <w:tcPr>
        <w:tcBorders>
          <w:bottom w:val="single" w:sz="12" w:space="0" w:color="FFFFFF" w:themeColor="background1"/>
        </w:tcBorders>
        <w:shd w:val="clear" w:color="auto" w:fill="317279" w:themeFill="accent3" w:themeFillShade="CC"/>
      </w:tcPr>
    </w:tblStylePr>
    <w:tblStylePr w:type="lastRow">
      <w:rPr>
        <w:b/>
        <w:bCs/>
        <w:color w:val="317279" w:themeColor="accent3" w:themeShade="CC"/>
      </w:rPr>
      <w:tblPr/>
      <w:tcPr>
        <w:tcBorders>
          <w:top w:val="single" w:sz="12" w:space="0" w:color="26261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CEC1" w:themeFill="accent4" w:themeFillTint="3F"/>
      </w:tcPr>
    </w:tblStylePr>
    <w:tblStylePr w:type="band1Horz">
      <w:tblPr/>
      <w:tcPr>
        <w:shd w:val="clear" w:color="auto" w:fill="D8D8CD" w:themeFill="accent4" w:themeFillTint="33"/>
      </w:tcPr>
    </w:tblStylePr>
  </w:style>
  <w:style w:type="table" w:styleId="Fargeriklisteuthevingsfarge5">
    <w:name w:val="Colorful List Accent 5"/>
    <w:basedOn w:val="Vanligtabell"/>
    <w:uiPriority w:val="72"/>
    <w:semiHidden/>
    <w:unhideWhenUsed/>
    <w:rsid w:val="00893D2C"/>
    <w:pPr>
      <w:spacing w:after="0" w:line="240" w:lineRule="auto"/>
    </w:pPr>
    <w:rPr>
      <w:color w:val="26261E" w:themeColor="text1"/>
    </w:rPr>
    <w:tblPr>
      <w:tblStyleRowBandSize w:val="1"/>
      <w:tblStyleColBandSize w:val="1"/>
    </w:tblPr>
    <w:tcPr>
      <w:shd w:val="clear" w:color="auto" w:fill="FEFDFB" w:themeFill="accent5" w:themeFillTint="19"/>
    </w:tcPr>
    <w:tblStylePr w:type="firstRow">
      <w:rPr>
        <w:b/>
        <w:bCs/>
        <w:color w:val="FFFFFF" w:themeColor="background1"/>
      </w:rPr>
      <w:tblPr/>
      <w:tcPr>
        <w:tcBorders>
          <w:bottom w:val="single" w:sz="12" w:space="0" w:color="FFFFFF" w:themeColor="background1"/>
        </w:tcBorders>
        <w:shd w:val="clear" w:color="auto" w:fill="B2D5D5" w:themeFill="accent6" w:themeFillShade="CC"/>
      </w:tcPr>
    </w:tblStylePr>
    <w:tblStylePr w:type="lastRow">
      <w:rPr>
        <w:b/>
        <w:bCs/>
        <w:color w:val="B2D5D5" w:themeColor="accent6" w:themeShade="CC"/>
      </w:rPr>
      <w:tblPr/>
      <w:tcPr>
        <w:tcBorders>
          <w:top w:val="single" w:sz="12" w:space="0" w:color="26261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FAF6" w:themeFill="accent5" w:themeFillTint="3F"/>
      </w:tcPr>
    </w:tblStylePr>
    <w:tblStylePr w:type="band1Horz">
      <w:tblPr/>
      <w:tcPr>
        <w:shd w:val="clear" w:color="auto" w:fill="FEFBF8" w:themeFill="accent5" w:themeFillTint="33"/>
      </w:tcPr>
    </w:tblStylePr>
  </w:style>
  <w:style w:type="table" w:styleId="Fargeriklisteuthevingsfarge6">
    <w:name w:val="Colorful List Accent 6"/>
    <w:basedOn w:val="Vanligtabell"/>
    <w:uiPriority w:val="72"/>
    <w:semiHidden/>
    <w:unhideWhenUsed/>
    <w:rsid w:val="00893D2C"/>
    <w:pPr>
      <w:spacing w:after="0" w:line="240" w:lineRule="auto"/>
    </w:pPr>
    <w:rPr>
      <w:color w:val="26261E" w:themeColor="text1"/>
    </w:rPr>
    <w:tblPr>
      <w:tblStyleRowBandSize w:val="1"/>
      <w:tblStyleColBandSize w:val="1"/>
    </w:tblPr>
    <w:tcPr>
      <w:shd w:val="clear" w:color="auto" w:fill="FDFEFE" w:themeFill="accent6" w:themeFillTint="19"/>
    </w:tcPr>
    <w:tblStylePr w:type="firstRow">
      <w:rPr>
        <w:b/>
        <w:bCs/>
        <w:color w:val="FFFFFF" w:themeColor="background1"/>
      </w:rPr>
      <w:tblPr/>
      <w:tcPr>
        <w:tcBorders>
          <w:bottom w:val="single" w:sz="12" w:space="0" w:color="FFFFFF" w:themeColor="background1"/>
        </w:tcBorders>
        <w:shd w:val="clear" w:color="auto" w:fill="F4B986" w:themeFill="accent5" w:themeFillShade="CC"/>
      </w:tcPr>
    </w:tblStylePr>
    <w:tblStylePr w:type="lastRow">
      <w:rPr>
        <w:b/>
        <w:bCs/>
        <w:color w:val="F4B986" w:themeColor="accent5" w:themeShade="CC"/>
      </w:rPr>
      <w:tblPr/>
      <w:tcPr>
        <w:tcBorders>
          <w:top w:val="single" w:sz="12" w:space="0" w:color="26261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FDFD" w:themeFill="accent6" w:themeFillTint="3F"/>
      </w:tcPr>
    </w:tblStylePr>
    <w:tblStylePr w:type="band1Horz">
      <w:tblPr/>
      <w:tcPr>
        <w:shd w:val="clear" w:color="auto" w:fill="FCFDFD" w:themeFill="accent6" w:themeFillTint="33"/>
      </w:tcPr>
    </w:tblStylePr>
  </w:style>
  <w:style w:type="table" w:styleId="Fargerikskyggelegging">
    <w:name w:val="Colorful Shading"/>
    <w:basedOn w:val="Vanligtabell"/>
    <w:uiPriority w:val="71"/>
    <w:semiHidden/>
    <w:unhideWhenUsed/>
    <w:rsid w:val="00893D2C"/>
    <w:pPr>
      <w:spacing w:after="0" w:line="240" w:lineRule="auto"/>
    </w:pPr>
    <w:rPr>
      <w:color w:val="26261E" w:themeColor="text1"/>
    </w:rPr>
    <w:tblPr>
      <w:tblStyleRowBandSize w:val="1"/>
      <w:tblStyleColBandSize w:val="1"/>
      <w:tblBorders>
        <w:top w:val="single" w:sz="24" w:space="0" w:color="FFB26D" w:themeColor="accent2"/>
        <w:left w:val="single" w:sz="4" w:space="0" w:color="26261E" w:themeColor="text1"/>
        <w:bottom w:val="single" w:sz="4" w:space="0" w:color="26261E" w:themeColor="text1"/>
        <w:right w:val="single" w:sz="4" w:space="0" w:color="26261E" w:themeColor="text1"/>
        <w:insideH w:val="single" w:sz="4" w:space="0" w:color="FFFFFF" w:themeColor="background1"/>
        <w:insideV w:val="single" w:sz="4" w:space="0" w:color="FFFFFF" w:themeColor="background1"/>
      </w:tblBorders>
    </w:tblPr>
    <w:tcPr>
      <w:shd w:val="clear" w:color="auto" w:fill="ECECE6" w:themeFill="text1" w:themeFillTint="19"/>
    </w:tcPr>
    <w:tblStylePr w:type="firstRow">
      <w:rPr>
        <w:b/>
        <w:bCs/>
      </w:rPr>
      <w:tblPr/>
      <w:tcPr>
        <w:tcBorders>
          <w:top w:val="nil"/>
          <w:left w:val="nil"/>
          <w:bottom w:val="single" w:sz="24" w:space="0" w:color="FFB26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61612" w:themeFill="text1" w:themeFillShade="99"/>
      </w:tcPr>
    </w:tblStylePr>
    <w:tblStylePr w:type="firstCol">
      <w:rPr>
        <w:color w:val="FFFFFF" w:themeColor="background1"/>
      </w:rPr>
      <w:tblPr/>
      <w:tcPr>
        <w:tcBorders>
          <w:top w:val="nil"/>
          <w:left w:val="nil"/>
          <w:bottom w:val="nil"/>
          <w:right w:val="nil"/>
          <w:insideH w:val="single" w:sz="4" w:space="0" w:color="161612" w:themeColor="text1" w:themeShade="99"/>
          <w:insideV w:val="nil"/>
        </w:tcBorders>
        <w:shd w:val="clear" w:color="auto" w:fill="161612"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C1C16" w:themeFill="text1" w:themeFillShade="BF"/>
      </w:tcPr>
    </w:tblStylePr>
    <w:tblStylePr w:type="band1Vert">
      <w:tblPr/>
      <w:tcPr>
        <w:shd w:val="clear" w:color="auto" w:fill="B1B19C" w:themeFill="text1" w:themeFillTint="66"/>
      </w:tcPr>
    </w:tblStylePr>
    <w:tblStylePr w:type="band1Horz">
      <w:tblPr/>
      <w:tcPr>
        <w:shd w:val="clear" w:color="auto" w:fill="9D9D83" w:themeFill="text1" w:themeFillTint="7F"/>
      </w:tcPr>
    </w:tblStylePr>
    <w:tblStylePr w:type="neCell">
      <w:rPr>
        <w:color w:val="26261E" w:themeColor="text1"/>
      </w:rPr>
    </w:tblStylePr>
    <w:tblStylePr w:type="nwCell">
      <w:rPr>
        <w:color w:val="26261E" w:themeColor="text1"/>
      </w:rPr>
    </w:tblStylePr>
  </w:style>
  <w:style w:type="table" w:styleId="Fargerikskyggelegginguthevingsfarge1">
    <w:name w:val="Colorful Shading Accent 1"/>
    <w:basedOn w:val="Vanligtabell"/>
    <w:uiPriority w:val="71"/>
    <w:semiHidden/>
    <w:unhideWhenUsed/>
    <w:rsid w:val="00893D2C"/>
    <w:pPr>
      <w:spacing w:after="0" w:line="240" w:lineRule="auto"/>
    </w:pPr>
    <w:rPr>
      <w:color w:val="26261E" w:themeColor="text1"/>
    </w:rPr>
    <w:tblPr>
      <w:tblStyleRowBandSize w:val="1"/>
      <w:tblStyleColBandSize w:val="1"/>
      <w:tblBorders>
        <w:top w:val="single" w:sz="24" w:space="0" w:color="FFB26D" w:themeColor="accent2"/>
        <w:left w:val="single" w:sz="4" w:space="0" w:color="262682" w:themeColor="accent1"/>
        <w:bottom w:val="single" w:sz="4" w:space="0" w:color="262682" w:themeColor="accent1"/>
        <w:right w:val="single" w:sz="4" w:space="0" w:color="262682" w:themeColor="accent1"/>
        <w:insideH w:val="single" w:sz="4" w:space="0" w:color="FFFFFF" w:themeColor="background1"/>
        <w:insideV w:val="single" w:sz="4" w:space="0" w:color="FFFFFF" w:themeColor="background1"/>
      </w:tblBorders>
    </w:tblPr>
    <w:tcPr>
      <w:shd w:val="clear" w:color="auto" w:fill="E4E4F7" w:themeFill="accent1" w:themeFillTint="19"/>
    </w:tcPr>
    <w:tblStylePr w:type="firstRow">
      <w:rPr>
        <w:b/>
        <w:bCs/>
      </w:rPr>
      <w:tblPr/>
      <w:tcPr>
        <w:tcBorders>
          <w:top w:val="nil"/>
          <w:left w:val="nil"/>
          <w:bottom w:val="single" w:sz="24" w:space="0" w:color="FFB26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6164D" w:themeFill="accent1" w:themeFillShade="99"/>
      </w:tcPr>
    </w:tblStylePr>
    <w:tblStylePr w:type="firstCol">
      <w:rPr>
        <w:color w:val="FFFFFF" w:themeColor="background1"/>
      </w:rPr>
      <w:tblPr/>
      <w:tcPr>
        <w:tcBorders>
          <w:top w:val="nil"/>
          <w:left w:val="nil"/>
          <w:bottom w:val="nil"/>
          <w:right w:val="nil"/>
          <w:insideH w:val="single" w:sz="4" w:space="0" w:color="16164D" w:themeColor="accent1" w:themeShade="99"/>
          <w:insideV w:val="nil"/>
        </w:tcBorders>
        <w:shd w:val="clear" w:color="auto" w:fill="1616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6164D" w:themeFill="accent1" w:themeFillShade="99"/>
      </w:tcPr>
    </w:tblStylePr>
    <w:tblStylePr w:type="band1Vert">
      <w:tblPr/>
      <w:tcPr>
        <w:shd w:val="clear" w:color="auto" w:fill="9595E0" w:themeFill="accent1" w:themeFillTint="66"/>
      </w:tcPr>
    </w:tblStylePr>
    <w:tblStylePr w:type="band1Horz">
      <w:tblPr/>
      <w:tcPr>
        <w:shd w:val="clear" w:color="auto" w:fill="7B7BD8" w:themeFill="accent1" w:themeFillTint="7F"/>
      </w:tcPr>
    </w:tblStylePr>
    <w:tblStylePr w:type="neCell">
      <w:rPr>
        <w:color w:val="26261E" w:themeColor="text1"/>
      </w:rPr>
    </w:tblStylePr>
    <w:tblStylePr w:type="nwCell">
      <w:rPr>
        <w:color w:val="26261E" w:themeColor="text1"/>
      </w:rPr>
    </w:tblStylePr>
  </w:style>
  <w:style w:type="table" w:styleId="Fargerikskyggelegginguthevingsfarge2">
    <w:name w:val="Colorful Shading Accent 2"/>
    <w:basedOn w:val="Vanligtabell"/>
    <w:uiPriority w:val="71"/>
    <w:semiHidden/>
    <w:unhideWhenUsed/>
    <w:rsid w:val="00893D2C"/>
    <w:pPr>
      <w:spacing w:after="0" w:line="240" w:lineRule="auto"/>
    </w:pPr>
    <w:rPr>
      <w:color w:val="26261E" w:themeColor="text1"/>
    </w:rPr>
    <w:tblPr>
      <w:tblStyleRowBandSize w:val="1"/>
      <w:tblStyleColBandSize w:val="1"/>
      <w:tblBorders>
        <w:top w:val="single" w:sz="24" w:space="0" w:color="FFB26D" w:themeColor="accent2"/>
        <w:left w:val="single" w:sz="4" w:space="0" w:color="FFB26D" w:themeColor="accent2"/>
        <w:bottom w:val="single" w:sz="4" w:space="0" w:color="FFB26D" w:themeColor="accent2"/>
        <w:right w:val="single" w:sz="4" w:space="0" w:color="FFB26D" w:themeColor="accent2"/>
        <w:insideH w:val="single" w:sz="4" w:space="0" w:color="FFFFFF" w:themeColor="background1"/>
        <w:insideV w:val="single" w:sz="4" w:space="0" w:color="FFFFFF" w:themeColor="background1"/>
      </w:tblBorders>
    </w:tblPr>
    <w:tcPr>
      <w:shd w:val="clear" w:color="auto" w:fill="FFF7F0" w:themeFill="accent2" w:themeFillTint="19"/>
    </w:tcPr>
    <w:tblStylePr w:type="firstRow">
      <w:rPr>
        <w:b/>
        <w:bCs/>
      </w:rPr>
      <w:tblPr/>
      <w:tcPr>
        <w:tcBorders>
          <w:top w:val="nil"/>
          <w:left w:val="nil"/>
          <w:bottom w:val="single" w:sz="24" w:space="0" w:color="FFB26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A6600" w:themeFill="accent2" w:themeFillShade="99"/>
      </w:tcPr>
    </w:tblStylePr>
    <w:tblStylePr w:type="firstCol">
      <w:rPr>
        <w:color w:val="FFFFFF" w:themeColor="background1"/>
      </w:rPr>
      <w:tblPr/>
      <w:tcPr>
        <w:tcBorders>
          <w:top w:val="nil"/>
          <w:left w:val="nil"/>
          <w:bottom w:val="nil"/>
          <w:right w:val="nil"/>
          <w:insideH w:val="single" w:sz="4" w:space="0" w:color="DA6600" w:themeColor="accent2" w:themeShade="99"/>
          <w:insideV w:val="nil"/>
        </w:tcBorders>
        <w:shd w:val="clear" w:color="auto" w:fill="DA66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DA6600" w:themeFill="accent2" w:themeFillShade="99"/>
      </w:tcPr>
    </w:tblStylePr>
    <w:tblStylePr w:type="band1Vert">
      <w:tblPr/>
      <w:tcPr>
        <w:shd w:val="clear" w:color="auto" w:fill="FFDFC4" w:themeFill="accent2" w:themeFillTint="66"/>
      </w:tcPr>
    </w:tblStylePr>
    <w:tblStylePr w:type="band1Horz">
      <w:tblPr/>
      <w:tcPr>
        <w:shd w:val="clear" w:color="auto" w:fill="FFD8B6" w:themeFill="accent2" w:themeFillTint="7F"/>
      </w:tcPr>
    </w:tblStylePr>
    <w:tblStylePr w:type="neCell">
      <w:rPr>
        <w:color w:val="26261E" w:themeColor="text1"/>
      </w:rPr>
    </w:tblStylePr>
    <w:tblStylePr w:type="nwCell">
      <w:rPr>
        <w:color w:val="26261E" w:themeColor="text1"/>
      </w:rPr>
    </w:tblStylePr>
  </w:style>
  <w:style w:type="table" w:styleId="Fargerikskyggelegginguthevingsfarge3">
    <w:name w:val="Colorful Shading Accent 3"/>
    <w:basedOn w:val="Vanligtabell"/>
    <w:uiPriority w:val="71"/>
    <w:semiHidden/>
    <w:unhideWhenUsed/>
    <w:rsid w:val="00893D2C"/>
    <w:pPr>
      <w:spacing w:after="0" w:line="240" w:lineRule="auto"/>
    </w:pPr>
    <w:rPr>
      <w:color w:val="26261E" w:themeColor="text1"/>
    </w:rPr>
    <w:tblPr>
      <w:tblStyleRowBandSize w:val="1"/>
      <w:tblStyleColBandSize w:val="1"/>
      <w:tblBorders>
        <w:top w:val="single" w:sz="24" w:space="0" w:color="26261E" w:themeColor="accent4"/>
        <w:left w:val="single" w:sz="4" w:space="0" w:color="3E8F98" w:themeColor="accent3"/>
        <w:bottom w:val="single" w:sz="4" w:space="0" w:color="3E8F98" w:themeColor="accent3"/>
        <w:right w:val="single" w:sz="4" w:space="0" w:color="3E8F98" w:themeColor="accent3"/>
        <w:insideH w:val="single" w:sz="4" w:space="0" w:color="FFFFFF" w:themeColor="background1"/>
        <w:insideV w:val="single" w:sz="4" w:space="0" w:color="FFFFFF" w:themeColor="background1"/>
      </w:tblBorders>
    </w:tblPr>
    <w:tcPr>
      <w:shd w:val="clear" w:color="auto" w:fill="EAF5F6" w:themeFill="accent3" w:themeFillTint="19"/>
    </w:tcPr>
    <w:tblStylePr w:type="firstRow">
      <w:rPr>
        <w:b/>
        <w:bCs/>
      </w:rPr>
      <w:tblPr/>
      <w:tcPr>
        <w:tcBorders>
          <w:top w:val="nil"/>
          <w:left w:val="nil"/>
          <w:bottom w:val="single" w:sz="24" w:space="0" w:color="26261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55B" w:themeFill="accent3" w:themeFillShade="99"/>
      </w:tcPr>
    </w:tblStylePr>
    <w:tblStylePr w:type="firstCol">
      <w:rPr>
        <w:color w:val="FFFFFF" w:themeColor="background1"/>
      </w:rPr>
      <w:tblPr/>
      <w:tcPr>
        <w:tcBorders>
          <w:top w:val="nil"/>
          <w:left w:val="nil"/>
          <w:bottom w:val="nil"/>
          <w:right w:val="nil"/>
          <w:insideH w:val="single" w:sz="4" w:space="0" w:color="25555B" w:themeColor="accent3" w:themeShade="99"/>
          <w:insideV w:val="nil"/>
        </w:tcBorders>
        <w:shd w:val="clear" w:color="auto" w:fill="2555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5555B" w:themeFill="accent3" w:themeFillShade="99"/>
      </w:tcPr>
    </w:tblStylePr>
    <w:tblStylePr w:type="band1Vert">
      <w:tblPr/>
      <w:tcPr>
        <w:shd w:val="clear" w:color="auto" w:fill="AAD7DC" w:themeFill="accent3" w:themeFillTint="66"/>
      </w:tcPr>
    </w:tblStylePr>
    <w:tblStylePr w:type="band1Horz">
      <w:tblPr/>
      <w:tcPr>
        <w:shd w:val="clear" w:color="auto" w:fill="96CDD4" w:themeFill="accent3" w:themeFillTint="7F"/>
      </w:tcPr>
    </w:tblStylePr>
  </w:style>
  <w:style w:type="table" w:styleId="Fargerikskyggelegginguthevingsfarge4">
    <w:name w:val="Colorful Shading Accent 4"/>
    <w:basedOn w:val="Vanligtabell"/>
    <w:uiPriority w:val="71"/>
    <w:semiHidden/>
    <w:unhideWhenUsed/>
    <w:rsid w:val="00893D2C"/>
    <w:pPr>
      <w:spacing w:after="0" w:line="240" w:lineRule="auto"/>
    </w:pPr>
    <w:rPr>
      <w:color w:val="26261E" w:themeColor="text1"/>
    </w:rPr>
    <w:tblPr>
      <w:tblStyleRowBandSize w:val="1"/>
      <w:tblStyleColBandSize w:val="1"/>
      <w:tblBorders>
        <w:top w:val="single" w:sz="24" w:space="0" w:color="3E8F98" w:themeColor="accent3"/>
        <w:left w:val="single" w:sz="4" w:space="0" w:color="26261E" w:themeColor="accent4"/>
        <w:bottom w:val="single" w:sz="4" w:space="0" w:color="26261E" w:themeColor="accent4"/>
        <w:right w:val="single" w:sz="4" w:space="0" w:color="26261E" w:themeColor="accent4"/>
        <w:insideH w:val="single" w:sz="4" w:space="0" w:color="FFFFFF" w:themeColor="background1"/>
        <w:insideV w:val="single" w:sz="4" w:space="0" w:color="FFFFFF" w:themeColor="background1"/>
      </w:tblBorders>
    </w:tblPr>
    <w:tcPr>
      <w:shd w:val="clear" w:color="auto" w:fill="ECECE6" w:themeFill="accent4" w:themeFillTint="19"/>
    </w:tcPr>
    <w:tblStylePr w:type="firstRow">
      <w:rPr>
        <w:b/>
        <w:bCs/>
      </w:rPr>
      <w:tblPr/>
      <w:tcPr>
        <w:tcBorders>
          <w:top w:val="nil"/>
          <w:left w:val="nil"/>
          <w:bottom w:val="single" w:sz="24" w:space="0" w:color="3E8F9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61612" w:themeFill="accent4" w:themeFillShade="99"/>
      </w:tcPr>
    </w:tblStylePr>
    <w:tblStylePr w:type="firstCol">
      <w:rPr>
        <w:color w:val="FFFFFF" w:themeColor="background1"/>
      </w:rPr>
      <w:tblPr/>
      <w:tcPr>
        <w:tcBorders>
          <w:top w:val="nil"/>
          <w:left w:val="nil"/>
          <w:bottom w:val="nil"/>
          <w:right w:val="nil"/>
          <w:insideH w:val="single" w:sz="4" w:space="0" w:color="161612" w:themeColor="accent4" w:themeShade="99"/>
          <w:insideV w:val="nil"/>
        </w:tcBorders>
        <w:shd w:val="clear" w:color="auto" w:fill="16161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61612" w:themeFill="accent4" w:themeFillShade="99"/>
      </w:tcPr>
    </w:tblStylePr>
    <w:tblStylePr w:type="band1Vert">
      <w:tblPr/>
      <w:tcPr>
        <w:shd w:val="clear" w:color="auto" w:fill="B1B19C" w:themeFill="accent4" w:themeFillTint="66"/>
      </w:tcPr>
    </w:tblStylePr>
    <w:tblStylePr w:type="band1Horz">
      <w:tblPr/>
      <w:tcPr>
        <w:shd w:val="clear" w:color="auto" w:fill="9D9D83" w:themeFill="accent4" w:themeFillTint="7F"/>
      </w:tcPr>
    </w:tblStylePr>
    <w:tblStylePr w:type="neCell">
      <w:rPr>
        <w:color w:val="26261E" w:themeColor="text1"/>
      </w:rPr>
    </w:tblStylePr>
    <w:tblStylePr w:type="nwCell">
      <w:rPr>
        <w:color w:val="26261E" w:themeColor="text1"/>
      </w:rPr>
    </w:tblStylePr>
  </w:style>
  <w:style w:type="table" w:styleId="Fargerikskyggelegginguthevingsfarge5">
    <w:name w:val="Colorful Shading Accent 5"/>
    <w:basedOn w:val="Vanligtabell"/>
    <w:uiPriority w:val="71"/>
    <w:semiHidden/>
    <w:unhideWhenUsed/>
    <w:rsid w:val="00893D2C"/>
    <w:pPr>
      <w:spacing w:after="0" w:line="240" w:lineRule="auto"/>
    </w:pPr>
    <w:rPr>
      <w:color w:val="26261E" w:themeColor="text1"/>
    </w:rPr>
    <w:tblPr>
      <w:tblStyleRowBandSize w:val="1"/>
      <w:tblStyleColBandSize w:val="1"/>
      <w:tblBorders>
        <w:top w:val="single" w:sz="24" w:space="0" w:color="F2F8F8" w:themeColor="accent6"/>
        <w:left w:val="single" w:sz="4" w:space="0" w:color="FCECDE" w:themeColor="accent5"/>
        <w:bottom w:val="single" w:sz="4" w:space="0" w:color="FCECDE" w:themeColor="accent5"/>
        <w:right w:val="single" w:sz="4" w:space="0" w:color="FCECDE" w:themeColor="accent5"/>
        <w:insideH w:val="single" w:sz="4" w:space="0" w:color="FFFFFF" w:themeColor="background1"/>
        <w:insideV w:val="single" w:sz="4" w:space="0" w:color="FFFFFF" w:themeColor="background1"/>
      </w:tblBorders>
    </w:tblPr>
    <w:tcPr>
      <w:shd w:val="clear" w:color="auto" w:fill="FEFDFB" w:themeFill="accent5" w:themeFillTint="19"/>
    </w:tcPr>
    <w:tblStylePr w:type="firstRow">
      <w:rPr>
        <w:b/>
        <w:bCs/>
      </w:rPr>
      <w:tblPr/>
      <w:tcPr>
        <w:tcBorders>
          <w:top w:val="nil"/>
          <w:left w:val="nil"/>
          <w:bottom w:val="single" w:sz="24" w:space="0" w:color="F2F8F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EC8730" w:themeFill="accent5" w:themeFillShade="99"/>
      </w:tcPr>
    </w:tblStylePr>
    <w:tblStylePr w:type="firstCol">
      <w:rPr>
        <w:color w:val="FFFFFF" w:themeColor="background1"/>
      </w:rPr>
      <w:tblPr/>
      <w:tcPr>
        <w:tcBorders>
          <w:top w:val="nil"/>
          <w:left w:val="nil"/>
          <w:bottom w:val="nil"/>
          <w:right w:val="nil"/>
          <w:insideH w:val="single" w:sz="4" w:space="0" w:color="EC8730" w:themeColor="accent5" w:themeShade="99"/>
          <w:insideV w:val="nil"/>
        </w:tcBorders>
        <w:shd w:val="clear" w:color="auto" w:fill="EC873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EC8730" w:themeFill="accent5" w:themeFillShade="99"/>
      </w:tcPr>
    </w:tblStylePr>
    <w:tblStylePr w:type="band1Vert">
      <w:tblPr/>
      <w:tcPr>
        <w:shd w:val="clear" w:color="auto" w:fill="FDF7F1" w:themeFill="accent5" w:themeFillTint="66"/>
      </w:tcPr>
    </w:tblStylePr>
    <w:tblStylePr w:type="band1Horz">
      <w:tblPr/>
      <w:tcPr>
        <w:shd w:val="clear" w:color="auto" w:fill="FDF5EE" w:themeFill="accent5" w:themeFillTint="7F"/>
      </w:tcPr>
    </w:tblStylePr>
    <w:tblStylePr w:type="neCell">
      <w:rPr>
        <w:color w:val="26261E" w:themeColor="text1"/>
      </w:rPr>
    </w:tblStylePr>
    <w:tblStylePr w:type="nwCell">
      <w:rPr>
        <w:color w:val="26261E" w:themeColor="text1"/>
      </w:rPr>
    </w:tblStylePr>
  </w:style>
  <w:style w:type="table" w:styleId="Fargerikskyggelegginguthevingsfarge6">
    <w:name w:val="Colorful Shading Accent 6"/>
    <w:basedOn w:val="Vanligtabell"/>
    <w:uiPriority w:val="71"/>
    <w:semiHidden/>
    <w:unhideWhenUsed/>
    <w:rsid w:val="00893D2C"/>
    <w:pPr>
      <w:spacing w:after="0" w:line="240" w:lineRule="auto"/>
    </w:pPr>
    <w:rPr>
      <w:color w:val="26261E" w:themeColor="text1"/>
    </w:rPr>
    <w:tblPr>
      <w:tblStyleRowBandSize w:val="1"/>
      <w:tblStyleColBandSize w:val="1"/>
      <w:tblBorders>
        <w:top w:val="single" w:sz="24" w:space="0" w:color="FCECDE" w:themeColor="accent5"/>
        <w:left w:val="single" w:sz="4" w:space="0" w:color="F2F8F8" w:themeColor="accent6"/>
        <w:bottom w:val="single" w:sz="4" w:space="0" w:color="F2F8F8" w:themeColor="accent6"/>
        <w:right w:val="single" w:sz="4" w:space="0" w:color="F2F8F8" w:themeColor="accent6"/>
        <w:insideH w:val="single" w:sz="4" w:space="0" w:color="FFFFFF" w:themeColor="background1"/>
        <w:insideV w:val="single" w:sz="4" w:space="0" w:color="FFFFFF" w:themeColor="background1"/>
      </w:tblBorders>
    </w:tblPr>
    <w:tcPr>
      <w:shd w:val="clear" w:color="auto" w:fill="FDFEFE" w:themeFill="accent6" w:themeFillTint="19"/>
    </w:tcPr>
    <w:tblStylePr w:type="firstRow">
      <w:rPr>
        <w:b/>
        <w:bCs/>
      </w:rPr>
      <w:tblPr/>
      <w:tcPr>
        <w:tcBorders>
          <w:top w:val="nil"/>
          <w:left w:val="nil"/>
          <w:bottom w:val="single" w:sz="24" w:space="0" w:color="FCECD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2B3B3" w:themeFill="accent6" w:themeFillShade="99"/>
      </w:tcPr>
    </w:tblStylePr>
    <w:tblStylePr w:type="firstCol">
      <w:rPr>
        <w:color w:val="FFFFFF" w:themeColor="background1"/>
      </w:rPr>
      <w:tblPr/>
      <w:tcPr>
        <w:tcBorders>
          <w:top w:val="nil"/>
          <w:left w:val="nil"/>
          <w:bottom w:val="nil"/>
          <w:right w:val="nil"/>
          <w:insideH w:val="single" w:sz="4" w:space="0" w:color="72B3B3" w:themeColor="accent6" w:themeShade="99"/>
          <w:insideV w:val="nil"/>
        </w:tcBorders>
        <w:shd w:val="clear" w:color="auto" w:fill="72B3B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72B3B3" w:themeFill="accent6" w:themeFillShade="99"/>
      </w:tcPr>
    </w:tblStylePr>
    <w:tblStylePr w:type="band1Vert">
      <w:tblPr/>
      <w:tcPr>
        <w:shd w:val="clear" w:color="auto" w:fill="F9FCFC" w:themeFill="accent6" w:themeFillTint="66"/>
      </w:tcPr>
    </w:tblStylePr>
    <w:tblStylePr w:type="band1Horz">
      <w:tblPr/>
      <w:tcPr>
        <w:shd w:val="clear" w:color="auto" w:fill="F8FBFB" w:themeFill="accent6" w:themeFillTint="7F"/>
      </w:tcPr>
    </w:tblStylePr>
    <w:tblStylePr w:type="neCell">
      <w:rPr>
        <w:color w:val="26261E" w:themeColor="text1"/>
      </w:rPr>
    </w:tblStylePr>
    <w:tblStylePr w:type="nwCell">
      <w:rPr>
        <w:color w:val="26261E" w:themeColor="text1"/>
      </w:rPr>
    </w:tblStylePr>
  </w:style>
  <w:style w:type="table" w:styleId="Fargeriktrutenett">
    <w:name w:val="Colorful Grid"/>
    <w:basedOn w:val="Vanligtabell"/>
    <w:uiPriority w:val="73"/>
    <w:semiHidden/>
    <w:unhideWhenUsed/>
    <w:rsid w:val="00893D2C"/>
    <w:pPr>
      <w:spacing w:after="0" w:line="240" w:lineRule="auto"/>
    </w:pPr>
    <w:rPr>
      <w:color w:val="26261E" w:themeColor="text1"/>
    </w:rPr>
    <w:tblPr>
      <w:tblStyleRowBandSize w:val="1"/>
      <w:tblStyleColBandSize w:val="1"/>
      <w:tblBorders>
        <w:insideH w:val="single" w:sz="4" w:space="0" w:color="FFFFFF" w:themeColor="background1"/>
      </w:tblBorders>
    </w:tblPr>
    <w:tcPr>
      <w:shd w:val="clear" w:color="auto" w:fill="D8D8CD" w:themeFill="text1" w:themeFillTint="33"/>
    </w:tcPr>
    <w:tblStylePr w:type="firstRow">
      <w:rPr>
        <w:b/>
        <w:bCs/>
      </w:rPr>
      <w:tblPr/>
      <w:tcPr>
        <w:shd w:val="clear" w:color="auto" w:fill="B1B19C" w:themeFill="text1" w:themeFillTint="66"/>
      </w:tcPr>
    </w:tblStylePr>
    <w:tblStylePr w:type="lastRow">
      <w:rPr>
        <w:b/>
        <w:bCs/>
        <w:color w:val="26261E" w:themeColor="text1"/>
      </w:rPr>
      <w:tblPr/>
      <w:tcPr>
        <w:shd w:val="clear" w:color="auto" w:fill="B1B19C" w:themeFill="text1" w:themeFillTint="66"/>
      </w:tcPr>
    </w:tblStylePr>
    <w:tblStylePr w:type="firstCol">
      <w:rPr>
        <w:color w:val="FFFFFF" w:themeColor="background1"/>
      </w:rPr>
      <w:tblPr/>
      <w:tcPr>
        <w:shd w:val="clear" w:color="auto" w:fill="1C1C16" w:themeFill="text1" w:themeFillShade="BF"/>
      </w:tcPr>
    </w:tblStylePr>
    <w:tblStylePr w:type="lastCol">
      <w:rPr>
        <w:color w:val="FFFFFF" w:themeColor="background1"/>
      </w:rPr>
      <w:tblPr/>
      <w:tcPr>
        <w:shd w:val="clear" w:color="auto" w:fill="1C1C16" w:themeFill="text1" w:themeFillShade="BF"/>
      </w:tcPr>
    </w:tblStylePr>
    <w:tblStylePr w:type="band1Vert">
      <w:tblPr/>
      <w:tcPr>
        <w:shd w:val="clear" w:color="auto" w:fill="9D9D83" w:themeFill="text1" w:themeFillTint="7F"/>
      </w:tcPr>
    </w:tblStylePr>
    <w:tblStylePr w:type="band1Horz">
      <w:tblPr/>
      <w:tcPr>
        <w:shd w:val="clear" w:color="auto" w:fill="9D9D83" w:themeFill="text1" w:themeFillTint="7F"/>
      </w:tcPr>
    </w:tblStylePr>
  </w:style>
  <w:style w:type="table" w:styleId="Fargeriktrutenettuthevingsfarge1">
    <w:name w:val="Colorful Grid Accent 1"/>
    <w:basedOn w:val="Vanligtabell"/>
    <w:uiPriority w:val="73"/>
    <w:semiHidden/>
    <w:unhideWhenUsed/>
    <w:rsid w:val="00893D2C"/>
    <w:pPr>
      <w:spacing w:after="0" w:line="240" w:lineRule="auto"/>
    </w:pPr>
    <w:rPr>
      <w:color w:val="26261E" w:themeColor="text1"/>
    </w:rPr>
    <w:tblPr>
      <w:tblStyleRowBandSize w:val="1"/>
      <w:tblStyleColBandSize w:val="1"/>
      <w:tblBorders>
        <w:insideH w:val="single" w:sz="4" w:space="0" w:color="FFFFFF" w:themeColor="background1"/>
      </w:tblBorders>
    </w:tblPr>
    <w:tcPr>
      <w:shd w:val="clear" w:color="auto" w:fill="C9C9EF" w:themeFill="accent1" w:themeFillTint="33"/>
    </w:tcPr>
    <w:tblStylePr w:type="firstRow">
      <w:rPr>
        <w:b/>
        <w:bCs/>
      </w:rPr>
      <w:tblPr/>
      <w:tcPr>
        <w:shd w:val="clear" w:color="auto" w:fill="9595E0" w:themeFill="accent1" w:themeFillTint="66"/>
      </w:tcPr>
    </w:tblStylePr>
    <w:tblStylePr w:type="lastRow">
      <w:rPr>
        <w:b/>
        <w:bCs/>
        <w:color w:val="26261E" w:themeColor="text1"/>
      </w:rPr>
      <w:tblPr/>
      <w:tcPr>
        <w:shd w:val="clear" w:color="auto" w:fill="9595E0" w:themeFill="accent1" w:themeFillTint="66"/>
      </w:tcPr>
    </w:tblStylePr>
    <w:tblStylePr w:type="firstCol">
      <w:rPr>
        <w:color w:val="FFFFFF" w:themeColor="background1"/>
      </w:rPr>
      <w:tblPr/>
      <w:tcPr>
        <w:shd w:val="clear" w:color="auto" w:fill="1C1C61" w:themeFill="accent1" w:themeFillShade="BF"/>
      </w:tcPr>
    </w:tblStylePr>
    <w:tblStylePr w:type="lastCol">
      <w:rPr>
        <w:color w:val="FFFFFF" w:themeColor="background1"/>
      </w:rPr>
      <w:tblPr/>
      <w:tcPr>
        <w:shd w:val="clear" w:color="auto" w:fill="1C1C61" w:themeFill="accent1" w:themeFillShade="BF"/>
      </w:tcPr>
    </w:tblStylePr>
    <w:tblStylePr w:type="band1Vert">
      <w:tblPr/>
      <w:tcPr>
        <w:shd w:val="clear" w:color="auto" w:fill="7B7BD8" w:themeFill="accent1" w:themeFillTint="7F"/>
      </w:tcPr>
    </w:tblStylePr>
    <w:tblStylePr w:type="band1Horz">
      <w:tblPr/>
      <w:tcPr>
        <w:shd w:val="clear" w:color="auto" w:fill="7B7BD8" w:themeFill="accent1" w:themeFillTint="7F"/>
      </w:tcPr>
    </w:tblStylePr>
  </w:style>
  <w:style w:type="table" w:styleId="Fargeriktrutenettuthevingsfarge2">
    <w:name w:val="Colorful Grid Accent 2"/>
    <w:basedOn w:val="Vanligtabell"/>
    <w:uiPriority w:val="73"/>
    <w:semiHidden/>
    <w:unhideWhenUsed/>
    <w:rsid w:val="00893D2C"/>
    <w:pPr>
      <w:spacing w:after="0" w:line="240" w:lineRule="auto"/>
    </w:pPr>
    <w:rPr>
      <w:color w:val="26261E" w:themeColor="text1"/>
    </w:rPr>
    <w:tblPr>
      <w:tblStyleRowBandSize w:val="1"/>
      <w:tblStyleColBandSize w:val="1"/>
      <w:tblBorders>
        <w:insideH w:val="single" w:sz="4" w:space="0" w:color="FFFFFF" w:themeColor="background1"/>
      </w:tblBorders>
    </w:tblPr>
    <w:tcPr>
      <w:shd w:val="clear" w:color="auto" w:fill="FFEFE1" w:themeFill="accent2" w:themeFillTint="33"/>
    </w:tcPr>
    <w:tblStylePr w:type="firstRow">
      <w:rPr>
        <w:b/>
        <w:bCs/>
      </w:rPr>
      <w:tblPr/>
      <w:tcPr>
        <w:shd w:val="clear" w:color="auto" w:fill="FFDFC4" w:themeFill="accent2" w:themeFillTint="66"/>
      </w:tcPr>
    </w:tblStylePr>
    <w:tblStylePr w:type="lastRow">
      <w:rPr>
        <w:b/>
        <w:bCs/>
        <w:color w:val="26261E" w:themeColor="text1"/>
      </w:rPr>
      <w:tblPr/>
      <w:tcPr>
        <w:shd w:val="clear" w:color="auto" w:fill="FFDFC4" w:themeFill="accent2" w:themeFillTint="66"/>
      </w:tcPr>
    </w:tblStylePr>
    <w:tblStylePr w:type="firstCol">
      <w:rPr>
        <w:color w:val="FFFFFF" w:themeColor="background1"/>
      </w:rPr>
      <w:tblPr/>
      <w:tcPr>
        <w:shd w:val="clear" w:color="auto" w:fill="FF8111" w:themeFill="accent2" w:themeFillShade="BF"/>
      </w:tcPr>
    </w:tblStylePr>
    <w:tblStylePr w:type="lastCol">
      <w:rPr>
        <w:color w:val="FFFFFF" w:themeColor="background1"/>
      </w:rPr>
      <w:tblPr/>
      <w:tcPr>
        <w:shd w:val="clear" w:color="auto" w:fill="FF8111" w:themeFill="accent2" w:themeFillShade="BF"/>
      </w:tcPr>
    </w:tblStylePr>
    <w:tblStylePr w:type="band1Vert">
      <w:tblPr/>
      <w:tcPr>
        <w:shd w:val="clear" w:color="auto" w:fill="FFD8B6" w:themeFill="accent2" w:themeFillTint="7F"/>
      </w:tcPr>
    </w:tblStylePr>
    <w:tblStylePr w:type="band1Horz">
      <w:tblPr/>
      <w:tcPr>
        <w:shd w:val="clear" w:color="auto" w:fill="FFD8B6" w:themeFill="accent2" w:themeFillTint="7F"/>
      </w:tcPr>
    </w:tblStylePr>
  </w:style>
  <w:style w:type="table" w:styleId="Fargeriktrutenettuthevingsfarge3">
    <w:name w:val="Colorful Grid Accent 3"/>
    <w:basedOn w:val="Vanligtabell"/>
    <w:uiPriority w:val="73"/>
    <w:semiHidden/>
    <w:unhideWhenUsed/>
    <w:rsid w:val="00893D2C"/>
    <w:pPr>
      <w:spacing w:after="0" w:line="240" w:lineRule="auto"/>
    </w:pPr>
    <w:rPr>
      <w:color w:val="26261E" w:themeColor="text1"/>
    </w:rPr>
    <w:tblPr>
      <w:tblStyleRowBandSize w:val="1"/>
      <w:tblStyleColBandSize w:val="1"/>
      <w:tblBorders>
        <w:insideH w:val="single" w:sz="4" w:space="0" w:color="FFFFFF" w:themeColor="background1"/>
      </w:tblBorders>
    </w:tblPr>
    <w:tcPr>
      <w:shd w:val="clear" w:color="auto" w:fill="D4EBED" w:themeFill="accent3" w:themeFillTint="33"/>
    </w:tcPr>
    <w:tblStylePr w:type="firstRow">
      <w:rPr>
        <w:b/>
        <w:bCs/>
      </w:rPr>
      <w:tblPr/>
      <w:tcPr>
        <w:shd w:val="clear" w:color="auto" w:fill="AAD7DC" w:themeFill="accent3" w:themeFillTint="66"/>
      </w:tcPr>
    </w:tblStylePr>
    <w:tblStylePr w:type="lastRow">
      <w:rPr>
        <w:b/>
        <w:bCs/>
        <w:color w:val="26261E" w:themeColor="text1"/>
      </w:rPr>
      <w:tblPr/>
      <w:tcPr>
        <w:shd w:val="clear" w:color="auto" w:fill="AAD7DC" w:themeFill="accent3" w:themeFillTint="66"/>
      </w:tcPr>
    </w:tblStylePr>
    <w:tblStylePr w:type="firstCol">
      <w:rPr>
        <w:color w:val="FFFFFF" w:themeColor="background1"/>
      </w:rPr>
      <w:tblPr/>
      <w:tcPr>
        <w:shd w:val="clear" w:color="auto" w:fill="2E6A71" w:themeFill="accent3" w:themeFillShade="BF"/>
      </w:tcPr>
    </w:tblStylePr>
    <w:tblStylePr w:type="lastCol">
      <w:rPr>
        <w:color w:val="FFFFFF" w:themeColor="background1"/>
      </w:rPr>
      <w:tblPr/>
      <w:tcPr>
        <w:shd w:val="clear" w:color="auto" w:fill="2E6A71" w:themeFill="accent3" w:themeFillShade="BF"/>
      </w:tcPr>
    </w:tblStylePr>
    <w:tblStylePr w:type="band1Vert">
      <w:tblPr/>
      <w:tcPr>
        <w:shd w:val="clear" w:color="auto" w:fill="96CDD4" w:themeFill="accent3" w:themeFillTint="7F"/>
      </w:tcPr>
    </w:tblStylePr>
    <w:tblStylePr w:type="band1Horz">
      <w:tblPr/>
      <w:tcPr>
        <w:shd w:val="clear" w:color="auto" w:fill="96CDD4" w:themeFill="accent3" w:themeFillTint="7F"/>
      </w:tcPr>
    </w:tblStylePr>
  </w:style>
  <w:style w:type="table" w:styleId="Fargeriktrutenettuthevingsfarge4">
    <w:name w:val="Colorful Grid Accent 4"/>
    <w:basedOn w:val="Vanligtabell"/>
    <w:uiPriority w:val="73"/>
    <w:semiHidden/>
    <w:unhideWhenUsed/>
    <w:rsid w:val="00893D2C"/>
    <w:pPr>
      <w:spacing w:after="0" w:line="240" w:lineRule="auto"/>
    </w:pPr>
    <w:rPr>
      <w:color w:val="26261E" w:themeColor="text1"/>
    </w:rPr>
    <w:tblPr>
      <w:tblStyleRowBandSize w:val="1"/>
      <w:tblStyleColBandSize w:val="1"/>
      <w:tblBorders>
        <w:insideH w:val="single" w:sz="4" w:space="0" w:color="FFFFFF" w:themeColor="background1"/>
      </w:tblBorders>
    </w:tblPr>
    <w:tcPr>
      <w:shd w:val="clear" w:color="auto" w:fill="D8D8CD" w:themeFill="accent4" w:themeFillTint="33"/>
    </w:tcPr>
    <w:tblStylePr w:type="firstRow">
      <w:rPr>
        <w:b/>
        <w:bCs/>
      </w:rPr>
      <w:tblPr/>
      <w:tcPr>
        <w:shd w:val="clear" w:color="auto" w:fill="B1B19C" w:themeFill="accent4" w:themeFillTint="66"/>
      </w:tcPr>
    </w:tblStylePr>
    <w:tblStylePr w:type="lastRow">
      <w:rPr>
        <w:b/>
        <w:bCs/>
        <w:color w:val="26261E" w:themeColor="text1"/>
      </w:rPr>
      <w:tblPr/>
      <w:tcPr>
        <w:shd w:val="clear" w:color="auto" w:fill="B1B19C" w:themeFill="accent4" w:themeFillTint="66"/>
      </w:tcPr>
    </w:tblStylePr>
    <w:tblStylePr w:type="firstCol">
      <w:rPr>
        <w:color w:val="FFFFFF" w:themeColor="background1"/>
      </w:rPr>
      <w:tblPr/>
      <w:tcPr>
        <w:shd w:val="clear" w:color="auto" w:fill="1C1C16" w:themeFill="accent4" w:themeFillShade="BF"/>
      </w:tcPr>
    </w:tblStylePr>
    <w:tblStylePr w:type="lastCol">
      <w:rPr>
        <w:color w:val="FFFFFF" w:themeColor="background1"/>
      </w:rPr>
      <w:tblPr/>
      <w:tcPr>
        <w:shd w:val="clear" w:color="auto" w:fill="1C1C16" w:themeFill="accent4" w:themeFillShade="BF"/>
      </w:tcPr>
    </w:tblStylePr>
    <w:tblStylePr w:type="band1Vert">
      <w:tblPr/>
      <w:tcPr>
        <w:shd w:val="clear" w:color="auto" w:fill="9D9D83" w:themeFill="accent4" w:themeFillTint="7F"/>
      </w:tcPr>
    </w:tblStylePr>
    <w:tblStylePr w:type="band1Horz">
      <w:tblPr/>
      <w:tcPr>
        <w:shd w:val="clear" w:color="auto" w:fill="9D9D83" w:themeFill="accent4" w:themeFillTint="7F"/>
      </w:tcPr>
    </w:tblStylePr>
  </w:style>
  <w:style w:type="table" w:styleId="Fargeriktrutenettuthevingsfarge5">
    <w:name w:val="Colorful Grid Accent 5"/>
    <w:basedOn w:val="Vanligtabell"/>
    <w:uiPriority w:val="73"/>
    <w:semiHidden/>
    <w:unhideWhenUsed/>
    <w:rsid w:val="00893D2C"/>
    <w:pPr>
      <w:spacing w:after="0" w:line="240" w:lineRule="auto"/>
    </w:pPr>
    <w:rPr>
      <w:color w:val="26261E" w:themeColor="text1"/>
    </w:rPr>
    <w:tblPr>
      <w:tblStyleRowBandSize w:val="1"/>
      <w:tblStyleColBandSize w:val="1"/>
      <w:tblBorders>
        <w:insideH w:val="single" w:sz="4" w:space="0" w:color="FFFFFF" w:themeColor="background1"/>
      </w:tblBorders>
    </w:tblPr>
    <w:tcPr>
      <w:shd w:val="clear" w:color="auto" w:fill="FEFBF8" w:themeFill="accent5" w:themeFillTint="33"/>
    </w:tcPr>
    <w:tblStylePr w:type="firstRow">
      <w:rPr>
        <w:b/>
        <w:bCs/>
      </w:rPr>
      <w:tblPr/>
      <w:tcPr>
        <w:shd w:val="clear" w:color="auto" w:fill="FDF7F1" w:themeFill="accent5" w:themeFillTint="66"/>
      </w:tcPr>
    </w:tblStylePr>
    <w:tblStylePr w:type="lastRow">
      <w:rPr>
        <w:b/>
        <w:bCs/>
        <w:color w:val="26261E" w:themeColor="text1"/>
      </w:rPr>
      <w:tblPr/>
      <w:tcPr>
        <w:shd w:val="clear" w:color="auto" w:fill="FDF7F1" w:themeFill="accent5" w:themeFillTint="66"/>
      </w:tcPr>
    </w:tblStylePr>
    <w:tblStylePr w:type="firstCol">
      <w:rPr>
        <w:color w:val="FFFFFF" w:themeColor="background1"/>
      </w:rPr>
      <w:tblPr/>
      <w:tcPr>
        <w:shd w:val="clear" w:color="auto" w:fill="F2AD70" w:themeFill="accent5" w:themeFillShade="BF"/>
      </w:tcPr>
    </w:tblStylePr>
    <w:tblStylePr w:type="lastCol">
      <w:rPr>
        <w:color w:val="FFFFFF" w:themeColor="background1"/>
      </w:rPr>
      <w:tblPr/>
      <w:tcPr>
        <w:shd w:val="clear" w:color="auto" w:fill="F2AD70" w:themeFill="accent5" w:themeFillShade="BF"/>
      </w:tcPr>
    </w:tblStylePr>
    <w:tblStylePr w:type="band1Vert">
      <w:tblPr/>
      <w:tcPr>
        <w:shd w:val="clear" w:color="auto" w:fill="FDF5EE" w:themeFill="accent5" w:themeFillTint="7F"/>
      </w:tcPr>
    </w:tblStylePr>
    <w:tblStylePr w:type="band1Horz">
      <w:tblPr/>
      <w:tcPr>
        <w:shd w:val="clear" w:color="auto" w:fill="FDF5EE" w:themeFill="accent5" w:themeFillTint="7F"/>
      </w:tcPr>
    </w:tblStylePr>
  </w:style>
  <w:style w:type="table" w:styleId="Fargeriktrutenettuthevingsfarge6">
    <w:name w:val="Colorful Grid Accent 6"/>
    <w:basedOn w:val="Vanligtabell"/>
    <w:uiPriority w:val="73"/>
    <w:semiHidden/>
    <w:unhideWhenUsed/>
    <w:rsid w:val="00893D2C"/>
    <w:pPr>
      <w:spacing w:after="0" w:line="240" w:lineRule="auto"/>
    </w:pPr>
    <w:rPr>
      <w:color w:val="26261E" w:themeColor="text1"/>
    </w:rPr>
    <w:tblPr>
      <w:tblStyleRowBandSize w:val="1"/>
      <w:tblStyleColBandSize w:val="1"/>
      <w:tblBorders>
        <w:insideH w:val="single" w:sz="4" w:space="0" w:color="FFFFFF" w:themeColor="background1"/>
      </w:tblBorders>
    </w:tblPr>
    <w:tcPr>
      <w:shd w:val="clear" w:color="auto" w:fill="FCFDFD" w:themeFill="accent6" w:themeFillTint="33"/>
    </w:tcPr>
    <w:tblStylePr w:type="firstRow">
      <w:rPr>
        <w:b/>
        <w:bCs/>
      </w:rPr>
      <w:tblPr/>
      <w:tcPr>
        <w:shd w:val="clear" w:color="auto" w:fill="F9FCFC" w:themeFill="accent6" w:themeFillTint="66"/>
      </w:tcPr>
    </w:tblStylePr>
    <w:tblStylePr w:type="lastRow">
      <w:rPr>
        <w:b/>
        <w:bCs/>
        <w:color w:val="26261E" w:themeColor="text1"/>
      </w:rPr>
      <w:tblPr/>
      <w:tcPr>
        <w:shd w:val="clear" w:color="auto" w:fill="F9FCFC" w:themeFill="accent6" w:themeFillTint="66"/>
      </w:tcPr>
    </w:tblStylePr>
    <w:tblStylePr w:type="firstCol">
      <w:rPr>
        <w:color w:val="FFFFFF" w:themeColor="background1"/>
      </w:rPr>
      <w:tblPr/>
      <w:tcPr>
        <w:shd w:val="clear" w:color="auto" w:fill="A2CDCD" w:themeFill="accent6" w:themeFillShade="BF"/>
      </w:tcPr>
    </w:tblStylePr>
    <w:tblStylePr w:type="lastCol">
      <w:rPr>
        <w:color w:val="FFFFFF" w:themeColor="background1"/>
      </w:rPr>
      <w:tblPr/>
      <w:tcPr>
        <w:shd w:val="clear" w:color="auto" w:fill="A2CDCD" w:themeFill="accent6" w:themeFillShade="BF"/>
      </w:tcPr>
    </w:tblStylePr>
    <w:tblStylePr w:type="band1Vert">
      <w:tblPr/>
      <w:tcPr>
        <w:shd w:val="clear" w:color="auto" w:fill="F8FBFB" w:themeFill="accent6" w:themeFillTint="7F"/>
      </w:tcPr>
    </w:tblStylePr>
    <w:tblStylePr w:type="band1Horz">
      <w:tblPr/>
      <w:tcPr>
        <w:shd w:val="clear" w:color="auto" w:fill="F8FBFB" w:themeFill="accent6" w:themeFillTint="7F"/>
      </w:tcPr>
    </w:tblStylePr>
  </w:style>
  <w:style w:type="paragraph" w:styleId="Figurliste">
    <w:name w:val="table of figures"/>
    <w:basedOn w:val="Normal"/>
    <w:next w:val="Normal"/>
    <w:uiPriority w:val="99"/>
    <w:semiHidden/>
    <w:unhideWhenUsed/>
    <w:rsid w:val="00893D2C"/>
    <w:pPr>
      <w:spacing w:after="0"/>
    </w:pPr>
  </w:style>
  <w:style w:type="character" w:styleId="Fotnotereferanse">
    <w:name w:val="footnote reference"/>
    <w:basedOn w:val="Standardskriftforavsnitt"/>
    <w:uiPriority w:val="99"/>
    <w:semiHidden/>
    <w:unhideWhenUsed/>
    <w:rsid w:val="00893D2C"/>
    <w:rPr>
      <w:vertAlign w:val="superscript"/>
    </w:rPr>
  </w:style>
  <w:style w:type="paragraph" w:styleId="Fotnotetekst">
    <w:name w:val="footnote text"/>
    <w:basedOn w:val="Normal"/>
    <w:link w:val="FotnotetekstTegn"/>
    <w:uiPriority w:val="99"/>
    <w:semiHidden/>
    <w:unhideWhenUsed/>
    <w:rsid w:val="00893D2C"/>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893D2C"/>
    <w:rPr>
      <w:sz w:val="20"/>
      <w:szCs w:val="20"/>
    </w:rPr>
  </w:style>
  <w:style w:type="character" w:styleId="Fulgthyperkobling">
    <w:name w:val="FollowedHyperlink"/>
    <w:basedOn w:val="Standardskriftforavsnitt"/>
    <w:uiPriority w:val="99"/>
    <w:semiHidden/>
    <w:unhideWhenUsed/>
    <w:rsid w:val="00893D2C"/>
    <w:rPr>
      <w:color w:val="954F72" w:themeColor="followedHyperlink"/>
      <w:u w:val="single"/>
    </w:rPr>
  </w:style>
  <w:style w:type="paragraph" w:styleId="Hilsen">
    <w:name w:val="Closing"/>
    <w:basedOn w:val="Normal"/>
    <w:link w:val="HilsenTegn"/>
    <w:uiPriority w:val="99"/>
    <w:semiHidden/>
    <w:unhideWhenUsed/>
    <w:rsid w:val="00893D2C"/>
    <w:pPr>
      <w:spacing w:after="0" w:line="240" w:lineRule="auto"/>
      <w:ind w:left="4252"/>
    </w:pPr>
  </w:style>
  <w:style w:type="character" w:customStyle="1" w:styleId="HilsenTegn">
    <w:name w:val="Hilsen Tegn"/>
    <w:basedOn w:val="Standardskriftforavsnitt"/>
    <w:link w:val="Hilsen"/>
    <w:uiPriority w:val="99"/>
    <w:semiHidden/>
    <w:rsid w:val="00893D2C"/>
  </w:style>
  <w:style w:type="paragraph" w:styleId="HTML-adresse">
    <w:name w:val="HTML Address"/>
    <w:basedOn w:val="Normal"/>
    <w:link w:val="HTML-adresseTegn"/>
    <w:uiPriority w:val="99"/>
    <w:semiHidden/>
    <w:unhideWhenUsed/>
    <w:rsid w:val="00893D2C"/>
    <w:pPr>
      <w:spacing w:after="0" w:line="240" w:lineRule="auto"/>
    </w:pPr>
    <w:rPr>
      <w:i/>
      <w:iCs/>
    </w:rPr>
  </w:style>
  <w:style w:type="character" w:customStyle="1" w:styleId="HTML-adresseTegn">
    <w:name w:val="HTML-adresse Tegn"/>
    <w:basedOn w:val="Standardskriftforavsnitt"/>
    <w:link w:val="HTML-adresse"/>
    <w:uiPriority w:val="99"/>
    <w:semiHidden/>
    <w:rsid w:val="00893D2C"/>
    <w:rPr>
      <w:i/>
      <w:iCs/>
    </w:rPr>
  </w:style>
  <w:style w:type="character" w:styleId="HTML-akronym">
    <w:name w:val="HTML Acronym"/>
    <w:basedOn w:val="Standardskriftforavsnitt"/>
    <w:uiPriority w:val="99"/>
    <w:semiHidden/>
    <w:unhideWhenUsed/>
    <w:rsid w:val="00893D2C"/>
  </w:style>
  <w:style w:type="character" w:styleId="HTML-definisjon">
    <w:name w:val="HTML Definition"/>
    <w:basedOn w:val="Standardskriftforavsnitt"/>
    <w:uiPriority w:val="99"/>
    <w:semiHidden/>
    <w:unhideWhenUsed/>
    <w:rsid w:val="00893D2C"/>
    <w:rPr>
      <w:i/>
      <w:iCs/>
    </w:rPr>
  </w:style>
  <w:style w:type="character" w:styleId="HTML-eksempel">
    <w:name w:val="HTML Sample"/>
    <w:basedOn w:val="Standardskriftforavsnitt"/>
    <w:uiPriority w:val="99"/>
    <w:semiHidden/>
    <w:unhideWhenUsed/>
    <w:rsid w:val="00893D2C"/>
    <w:rPr>
      <w:rFonts w:ascii="Consolas" w:hAnsi="Consolas"/>
      <w:sz w:val="24"/>
      <w:szCs w:val="24"/>
    </w:rPr>
  </w:style>
  <w:style w:type="paragraph" w:styleId="HTML-forhndsformatert">
    <w:name w:val="HTML Preformatted"/>
    <w:basedOn w:val="Normal"/>
    <w:link w:val="HTML-forhndsformatertTegn"/>
    <w:uiPriority w:val="99"/>
    <w:semiHidden/>
    <w:unhideWhenUsed/>
    <w:rsid w:val="00893D2C"/>
    <w:pPr>
      <w:spacing w:after="0" w:line="240" w:lineRule="auto"/>
    </w:pPr>
    <w:rPr>
      <w:rFonts w:ascii="Consolas" w:hAnsi="Consolas"/>
      <w:sz w:val="20"/>
      <w:szCs w:val="20"/>
    </w:rPr>
  </w:style>
  <w:style w:type="character" w:customStyle="1" w:styleId="HTML-forhndsformatertTegn">
    <w:name w:val="HTML-forhåndsformatert Tegn"/>
    <w:basedOn w:val="Standardskriftforavsnitt"/>
    <w:link w:val="HTML-forhndsformatert"/>
    <w:uiPriority w:val="99"/>
    <w:semiHidden/>
    <w:rsid w:val="00893D2C"/>
    <w:rPr>
      <w:rFonts w:ascii="Consolas" w:hAnsi="Consolas"/>
      <w:sz w:val="20"/>
      <w:szCs w:val="20"/>
    </w:rPr>
  </w:style>
  <w:style w:type="character" w:styleId="HTML-kode">
    <w:name w:val="HTML Code"/>
    <w:basedOn w:val="Standardskriftforavsnitt"/>
    <w:uiPriority w:val="99"/>
    <w:semiHidden/>
    <w:unhideWhenUsed/>
    <w:rsid w:val="00893D2C"/>
    <w:rPr>
      <w:rFonts w:ascii="Consolas" w:hAnsi="Consolas"/>
      <w:sz w:val="20"/>
      <w:szCs w:val="20"/>
    </w:rPr>
  </w:style>
  <w:style w:type="character" w:styleId="HTML-sitat">
    <w:name w:val="HTML Cite"/>
    <w:basedOn w:val="Standardskriftforavsnitt"/>
    <w:uiPriority w:val="99"/>
    <w:semiHidden/>
    <w:unhideWhenUsed/>
    <w:rsid w:val="00893D2C"/>
    <w:rPr>
      <w:i/>
      <w:iCs/>
    </w:rPr>
  </w:style>
  <w:style w:type="character" w:styleId="HTML-skrivemaskin">
    <w:name w:val="HTML Typewriter"/>
    <w:basedOn w:val="Standardskriftforavsnitt"/>
    <w:uiPriority w:val="99"/>
    <w:semiHidden/>
    <w:unhideWhenUsed/>
    <w:rsid w:val="00893D2C"/>
    <w:rPr>
      <w:rFonts w:ascii="Consolas" w:hAnsi="Consolas"/>
      <w:sz w:val="20"/>
      <w:szCs w:val="20"/>
    </w:rPr>
  </w:style>
  <w:style w:type="character" w:styleId="HTML-tastatur">
    <w:name w:val="HTML Keyboard"/>
    <w:basedOn w:val="Standardskriftforavsnitt"/>
    <w:uiPriority w:val="99"/>
    <w:semiHidden/>
    <w:unhideWhenUsed/>
    <w:rsid w:val="00893D2C"/>
    <w:rPr>
      <w:rFonts w:ascii="Consolas" w:hAnsi="Consolas"/>
      <w:sz w:val="20"/>
      <w:szCs w:val="20"/>
    </w:rPr>
  </w:style>
  <w:style w:type="character" w:styleId="HTML-variabel">
    <w:name w:val="HTML Variable"/>
    <w:basedOn w:val="Standardskriftforavsnitt"/>
    <w:uiPriority w:val="99"/>
    <w:semiHidden/>
    <w:unhideWhenUsed/>
    <w:rsid w:val="00893D2C"/>
    <w:rPr>
      <w:i/>
      <w:iCs/>
    </w:rPr>
  </w:style>
  <w:style w:type="character" w:styleId="Hyperkobling">
    <w:name w:val="Hyperlink"/>
    <w:basedOn w:val="Standardskriftforavsnitt"/>
    <w:uiPriority w:val="99"/>
    <w:unhideWhenUsed/>
    <w:rsid w:val="00893D2C"/>
    <w:rPr>
      <w:color w:val="0563C1" w:themeColor="hyperlink"/>
      <w:u w:val="single"/>
    </w:rPr>
  </w:style>
  <w:style w:type="paragraph" w:styleId="Indeks1">
    <w:name w:val="index 1"/>
    <w:basedOn w:val="Normal"/>
    <w:next w:val="Normal"/>
    <w:autoRedefine/>
    <w:uiPriority w:val="99"/>
    <w:semiHidden/>
    <w:unhideWhenUsed/>
    <w:rsid w:val="00893D2C"/>
    <w:pPr>
      <w:spacing w:after="0" w:line="240" w:lineRule="auto"/>
      <w:ind w:left="220" w:hanging="220"/>
    </w:pPr>
  </w:style>
  <w:style w:type="paragraph" w:styleId="Indeks2">
    <w:name w:val="index 2"/>
    <w:basedOn w:val="Normal"/>
    <w:next w:val="Normal"/>
    <w:autoRedefine/>
    <w:uiPriority w:val="99"/>
    <w:semiHidden/>
    <w:unhideWhenUsed/>
    <w:rsid w:val="00893D2C"/>
    <w:pPr>
      <w:spacing w:after="0" w:line="240" w:lineRule="auto"/>
      <w:ind w:left="440" w:hanging="220"/>
    </w:pPr>
  </w:style>
  <w:style w:type="paragraph" w:styleId="Indeks3">
    <w:name w:val="index 3"/>
    <w:basedOn w:val="Normal"/>
    <w:next w:val="Normal"/>
    <w:autoRedefine/>
    <w:uiPriority w:val="99"/>
    <w:semiHidden/>
    <w:unhideWhenUsed/>
    <w:rsid w:val="00893D2C"/>
    <w:pPr>
      <w:spacing w:after="0" w:line="240" w:lineRule="auto"/>
      <w:ind w:left="660" w:hanging="220"/>
    </w:pPr>
  </w:style>
  <w:style w:type="paragraph" w:styleId="Indeks4">
    <w:name w:val="index 4"/>
    <w:basedOn w:val="Normal"/>
    <w:next w:val="Normal"/>
    <w:autoRedefine/>
    <w:uiPriority w:val="99"/>
    <w:semiHidden/>
    <w:unhideWhenUsed/>
    <w:rsid w:val="00893D2C"/>
    <w:pPr>
      <w:spacing w:after="0" w:line="240" w:lineRule="auto"/>
      <w:ind w:left="880" w:hanging="220"/>
    </w:pPr>
  </w:style>
  <w:style w:type="paragraph" w:styleId="Indeks5">
    <w:name w:val="index 5"/>
    <w:basedOn w:val="Normal"/>
    <w:next w:val="Normal"/>
    <w:autoRedefine/>
    <w:uiPriority w:val="99"/>
    <w:semiHidden/>
    <w:unhideWhenUsed/>
    <w:rsid w:val="00893D2C"/>
    <w:pPr>
      <w:spacing w:after="0" w:line="240" w:lineRule="auto"/>
      <w:ind w:left="1100" w:hanging="220"/>
    </w:pPr>
  </w:style>
  <w:style w:type="paragraph" w:styleId="Indeks6">
    <w:name w:val="index 6"/>
    <w:basedOn w:val="Normal"/>
    <w:next w:val="Normal"/>
    <w:autoRedefine/>
    <w:uiPriority w:val="99"/>
    <w:semiHidden/>
    <w:unhideWhenUsed/>
    <w:rsid w:val="00893D2C"/>
    <w:pPr>
      <w:spacing w:after="0" w:line="240" w:lineRule="auto"/>
      <w:ind w:left="1320" w:hanging="220"/>
    </w:pPr>
  </w:style>
  <w:style w:type="paragraph" w:styleId="Indeks7">
    <w:name w:val="index 7"/>
    <w:basedOn w:val="Normal"/>
    <w:next w:val="Normal"/>
    <w:autoRedefine/>
    <w:uiPriority w:val="99"/>
    <w:semiHidden/>
    <w:unhideWhenUsed/>
    <w:rsid w:val="00893D2C"/>
    <w:pPr>
      <w:spacing w:after="0" w:line="240" w:lineRule="auto"/>
      <w:ind w:left="1540" w:hanging="220"/>
    </w:pPr>
  </w:style>
  <w:style w:type="paragraph" w:styleId="Indeks8">
    <w:name w:val="index 8"/>
    <w:basedOn w:val="Normal"/>
    <w:next w:val="Normal"/>
    <w:autoRedefine/>
    <w:uiPriority w:val="99"/>
    <w:semiHidden/>
    <w:unhideWhenUsed/>
    <w:rsid w:val="00893D2C"/>
    <w:pPr>
      <w:spacing w:after="0" w:line="240" w:lineRule="auto"/>
      <w:ind w:left="1760" w:hanging="220"/>
    </w:pPr>
  </w:style>
  <w:style w:type="paragraph" w:styleId="Indeks9">
    <w:name w:val="index 9"/>
    <w:basedOn w:val="Normal"/>
    <w:next w:val="Normal"/>
    <w:autoRedefine/>
    <w:uiPriority w:val="99"/>
    <w:semiHidden/>
    <w:unhideWhenUsed/>
    <w:rsid w:val="00893D2C"/>
    <w:pPr>
      <w:spacing w:after="0" w:line="240" w:lineRule="auto"/>
      <w:ind w:left="1980" w:hanging="220"/>
    </w:pPr>
  </w:style>
  <w:style w:type="paragraph" w:styleId="Ingenmellomrom">
    <w:name w:val="No Spacing"/>
    <w:uiPriority w:val="1"/>
    <w:semiHidden/>
    <w:rsid w:val="00893D2C"/>
    <w:pPr>
      <w:spacing w:after="0" w:line="240" w:lineRule="auto"/>
    </w:pPr>
  </w:style>
  <w:style w:type="paragraph" w:styleId="INNH1">
    <w:name w:val="toc 1"/>
    <w:basedOn w:val="Normal"/>
    <w:next w:val="Normal"/>
    <w:autoRedefine/>
    <w:uiPriority w:val="39"/>
    <w:unhideWhenUsed/>
    <w:rsid w:val="00EB3EE8"/>
    <w:pPr>
      <w:spacing w:after="100"/>
    </w:pPr>
    <w:rPr>
      <w:b/>
      <w:bCs/>
    </w:rPr>
  </w:style>
  <w:style w:type="paragraph" w:styleId="INNH2">
    <w:name w:val="toc 2"/>
    <w:basedOn w:val="Normal"/>
    <w:next w:val="Normal"/>
    <w:autoRedefine/>
    <w:uiPriority w:val="39"/>
    <w:unhideWhenUsed/>
    <w:rsid w:val="00893D2C"/>
    <w:pPr>
      <w:spacing w:after="100"/>
      <w:ind w:left="220"/>
    </w:pPr>
  </w:style>
  <w:style w:type="paragraph" w:styleId="INNH3">
    <w:name w:val="toc 3"/>
    <w:basedOn w:val="Normal"/>
    <w:next w:val="Normal"/>
    <w:autoRedefine/>
    <w:uiPriority w:val="39"/>
    <w:unhideWhenUsed/>
    <w:rsid w:val="00893D2C"/>
    <w:pPr>
      <w:spacing w:after="100"/>
      <w:ind w:left="440"/>
    </w:pPr>
  </w:style>
  <w:style w:type="paragraph" w:styleId="INNH4">
    <w:name w:val="toc 4"/>
    <w:basedOn w:val="Normal"/>
    <w:next w:val="Normal"/>
    <w:autoRedefine/>
    <w:uiPriority w:val="39"/>
    <w:semiHidden/>
    <w:unhideWhenUsed/>
    <w:rsid w:val="00893D2C"/>
    <w:pPr>
      <w:spacing w:after="100"/>
      <w:ind w:left="660"/>
    </w:pPr>
  </w:style>
  <w:style w:type="paragraph" w:styleId="INNH5">
    <w:name w:val="toc 5"/>
    <w:basedOn w:val="Normal"/>
    <w:next w:val="Normal"/>
    <w:autoRedefine/>
    <w:uiPriority w:val="39"/>
    <w:semiHidden/>
    <w:unhideWhenUsed/>
    <w:rsid w:val="00893D2C"/>
    <w:pPr>
      <w:spacing w:after="100"/>
      <w:ind w:left="880"/>
    </w:pPr>
  </w:style>
  <w:style w:type="paragraph" w:styleId="INNH6">
    <w:name w:val="toc 6"/>
    <w:basedOn w:val="Normal"/>
    <w:next w:val="Normal"/>
    <w:autoRedefine/>
    <w:uiPriority w:val="39"/>
    <w:semiHidden/>
    <w:unhideWhenUsed/>
    <w:rsid w:val="00893D2C"/>
    <w:pPr>
      <w:spacing w:after="100"/>
      <w:ind w:left="1100"/>
    </w:pPr>
  </w:style>
  <w:style w:type="paragraph" w:styleId="INNH7">
    <w:name w:val="toc 7"/>
    <w:basedOn w:val="Normal"/>
    <w:next w:val="Normal"/>
    <w:autoRedefine/>
    <w:uiPriority w:val="39"/>
    <w:semiHidden/>
    <w:unhideWhenUsed/>
    <w:rsid w:val="00893D2C"/>
    <w:pPr>
      <w:spacing w:after="100"/>
      <w:ind w:left="1320"/>
    </w:pPr>
  </w:style>
  <w:style w:type="paragraph" w:styleId="INNH8">
    <w:name w:val="toc 8"/>
    <w:basedOn w:val="Normal"/>
    <w:next w:val="Normal"/>
    <w:autoRedefine/>
    <w:uiPriority w:val="39"/>
    <w:semiHidden/>
    <w:unhideWhenUsed/>
    <w:rsid w:val="00893D2C"/>
    <w:pPr>
      <w:spacing w:after="100"/>
      <w:ind w:left="1540"/>
    </w:pPr>
  </w:style>
  <w:style w:type="paragraph" w:styleId="INNH9">
    <w:name w:val="toc 9"/>
    <w:basedOn w:val="Normal"/>
    <w:next w:val="Normal"/>
    <w:autoRedefine/>
    <w:uiPriority w:val="39"/>
    <w:semiHidden/>
    <w:unhideWhenUsed/>
    <w:rsid w:val="00893D2C"/>
    <w:pPr>
      <w:spacing w:after="100"/>
      <w:ind w:left="1760"/>
    </w:pPr>
  </w:style>
  <w:style w:type="paragraph" w:styleId="Innledendehilsen">
    <w:name w:val="Salutation"/>
    <w:basedOn w:val="Normal"/>
    <w:next w:val="Normal"/>
    <w:link w:val="InnledendehilsenTegn"/>
    <w:uiPriority w:val="99"/>
    <w:semiHidden/>
    <w:unhideWhenUsed/>
    <w:rsid w:val="00893D2C"/>
  </w:style>
  <w:style w:type="character" w:customStyle="1" w:styleId="InnledendehilsenTegn">
    <w:name w:val="Innledende hilsen Tegn"/>
    <w:basedOn w:val="Standardskriftforavsnitt"/>
    <w:link w:val="Innledendehilsen"/>
    <w:uiPriority w:val="99"/>
    <w:semiHidden/>
    <w:rsid w:val="00893D2C"/>
  </w:style>
  <w:style w:type="paragraph" w:styleId="Kildeliste">
    <w:name w:val="table of authorities"/>
    <w:basedOn w:val="Normal"/>
    <w:next w:val="Normal"/>
    <w:uiPriority w:val="99"/>
    <w:semiHidden/>
    <w:unhideWhenUsed/>
    <w:rsid w:val="00893D2C"/>
    <w:pPr>
      <w:spacing w:after="0"/>
      <w:ind w:left="220" w:hanging="220"/>
    </w:pPr>
  </w:style>
  <w:style w:type="paragraph" w:styleId="Kildelisteoverskrift">
    <w:name w:val="toa heading"/>
    <w:basedOn w:val="Normal"/>
    <w:next w:val="Normal"/>
    <w:uiPriority w:val="99"/>
    <w:semiHidden/>
    <w:unhideWhenUsed/>
    <w:rsid w:val="00893D2C"/>
    <w:pPr>
      <w:spacing w:before="120"/>
    </w:pPr>
    <w:rPr>
      <w:rFonts w:asciiTheme="majorHAnsi" w:eastAsiaTheme="majorEastAsia" w:hAnsiTheme="majorHAnsi" w:cstheme="majorBidi"/>
      <w:b/>
      <w:bCs/>
      <w:sz w:val="24"/>
      <w:szCs w:val="24"/>
    </w:rPr>
  </w:style>
  <w:style w:type="paragraph" w:styleId="Merknadstekst">
    <w:name w:val="annotation text"/>
    <w:basedOn w:val="Normal"/>
    <w:link w:val="MerknadstekstTegn"/>
    <w:uiPriority w:val="99"/>
    <w:unhideWhenUsed/>
    <w:rsid w:val="00893D2C"/>
    <w:pPr>
      <w:spacing w:line="240" w:lineRule="auto"/>
    </w:pPr>
    <w:rPr>
      <w:sz w:val="20"/>
      <w:szCs w:val="20"/>
    </w:rPr>
  </w:style>
  <w:style w:type="character" w:customStyle="1" w:styleId="MerknadstekstTegn">
    <w:name w:val="Merknadstekst Tegn"/>
    <w:basedOn w:val="Standardskriftforavsnitt"/>
    <w:link w:val="Merknadstekst"/>
    <w:uiPriority w:val="99"/>
    <w:rsid w:val="00893D2C"/>
    <w:rPr>
      <w:sz w:val="20"/>
      <w:szCs w:val="20"/>
    </w:rPr>
  </w:style>
  <w:style w:type="paragraph" w:styleId="Kommentaremne">
    <w:name w:val="annotation subject"/>
    <w:basedOn w:val="Merknadstekst"/>
    <w:next w:val="Merknadstekst"/>
    <w:link w:val="KommentaremneTegn"/>
    <w:uiPriority w:val="99"/>
    <w:semiHidden/>
    <w:unhideWhenUsed/>
    <w:rsid w:val="00893D2C"/>
    <w:rPr>
      <w:b/>
      <w:bCs/>
    </w:rPr>
  </w:style>
  <w:style w:type="character" w:customStyle="1" w:styleId="KommentaremneTegn">
    <w:name w:val="Kommentaremne Tegn"/>
    <w:basedOn w:val="MerknadstekstTegn"/>
    <w:link w:val="Kommentaremne"/>
    <w:uiPriority w:val="99"/>
    <w:semiHidden/>
    <w:rsid w:val="00893D2C"/>
    <w:rPr>
      <w:b/>
      <w:bCs/>
      <w:sz w:val="20"/>
      <w:szCs w:val="20"/>
    </w:rPr>
  </w:style>
  <w:style w:type="paragraph" w:styleId="Konvoluttadresse">
    <w:name w:val="envelope address"/>
    <w:basedOn w:val="Normal"/>
    <w:uiPriority w:val="99"/>
    <w:semiHidden/>
    <w:unhideWhenUsed/>
    <w:rsid w:val="00893D2C"/>
    <w:pPr>
      <w:framePr w:w="7920" w:h="1980"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character" w:styleId="Linjenummer">
    <w:name w:val="line number"/>
    <w:basedOn w:val="Standardskriftforavsnitt"/>
    <w:uiPriority w:val="99"/>
    <w:semiHidden/>
    <w:unhideWhenUsed/>
    <w:rsid w:val="00893D2C"/>
  </w:style>
  <w:style w:type="paragraph" w:styleId="Liste">
    <w:name w:val="List"/>
    <w:basedOn w:val="Normal"/>
    <w:uiPriority w:val="99"/>
    <w:semiHidden/>
    <w:unhideWhenUsed/>
    <w:rsid w:val="00893D2C"/>
    <w:pPr>
      <w:ind w:left="283" w:hanging="283"/>
      <w:contextualSpacing/>
    </w:pPr>
  </w:style>
  <w:style w:type="paragraph" w:styleId="Liste-forts">
    <w:name w:val="List Continue"/>
    <w:basedOn w:val="Normal"/>
    <w:uiPriority w:val="99"/>
    <w:semiHidden/>
    <w:unhideWhenUsed/>
    <w:rsid w:val="00893D2C"/>
    <w:pPr>
      <w:spacing w:after="120"/>
      <w:ind w:left="283"/>
      <w:contextualSpacing/>
    </w:pPr>
  </w:style>
  <w:style w:type="paragraph" w:styleId="Liste-forts2">
    <w:name w:val="List Continue 2"/>
    <w:basedOn w:val="Normal"/>
    <w:uiPriority w:val="99"/>
    <w:semiHidden/>
    <w:unhideWhenUsed/>
    <w:rsid w:val="00893D2C"/>
    <w:pPr>
      <w:spacing w:after="120"/>
      <w:ind w:left="566"/>
      <w:contextualSpacing/>
    </w:pPr>
  </w:style>
  <w:style w:type="paragraph" w:styleId="Liste-forts3">
    <w:name w:val="List Continue 3"/>
    <w:basedOn w:val="Normal"/>
    <w:uiPriority w:val="99"/>
    <w:semiHidden/>
    <w:unhideWhenUsed/>
    <w:rsid w:val="00893D2C"/>
    <w:pPr>
      <w:spacing w:after="120"/>
      <w:ind w:left="849"/>
      <w:contextualSpacing/>
    </w:pPr>
  </w:style>
  <w:style w:type="paragraph" w:styleId="Liste-forts4">
    <w:name w:val="List Continue 4"/>
    <w:basedOn w:val="Normal"/>
    <w:uiPriority w:val="99"/>
    <w:semiHidden/>
    <w:unhideWhenUsed/>
    <w:rsid w:val="00893D2C"/>
    <w:pPr>
      <w:spacing w:after="120"/>
      <w:ind w:left="1132"/>
      <w:contextualSpacing/>
    </w:pPr>
  </w:style>
  <w:style w:type="paragraph" w:styleId="Liste-forts5">
    <w:name w:val="List Continue 5"/>
    <w:basedOn w:val="Normal"/>
    <w:uiPriority w:val="99"/>
    <w:semiHidden/>
    <w:unhideWhenUsed/>
    <w:rsid w:val="00893D2C"/>
    <w:pPr>
      <w:spacing w:after="120"/>
      <w:ind w:left="1415"/>
      <w:contextualSpacing/>
    </w:pPr>
  </w:style>
  <w:style w:type="paragraph" w:styleId="Liste2">
    <w:name w:val="List 2"/>
    <w:basedOn w:val="Normal"/>
    <w:uiPriority w:val="99"/>
    <w:semiHidden/>
    <w:unhideWhenUsed/>
    <w:rsid w:val="00893D2C"/>
    <w:pPr>
      <w:ind w:left="566" w:hanging="283"/>
      <w:contextualSpacing/>
    </w:pPr>
  </w:style>
  <w:style w:type="paragraph" w:styleId="Liste3">
    <w:name w:val="List 3"/>
    <w:basedOn w:val="Normal"/>
    <w:uiPriority w:val="99"/>
    <w:semiHidden/>
    <w:unhideWhenUsed/>
    <w:rsid w:val="00893D2C"/>
    <w:pPr>
      <w:ind w:left="849" w:hanging="283"/>
      <w:contextualSpacing/>
    </w:pPr>
  </w:style>
  <w:style w:type="paragraph" w:styleId="Liste4">
    <w:name w:val="List 4"/>
    <w:basedOn w:val="Normal"/>
    <w:uiPriority w:val="99"/>
    <w:semiHidden/>
    <w:unhideWhenUsed/>
    <w:rsid w:val="00893D2C"/>
    <w:pPr>
      <w:ind w:left="1132" w:hanging="283"/>
      <w:contextualSpacing/>
    </w:pPr>
  </w:style>
  <w:style w:type="paragraph" w:styleId="Liste5">
    <w:name w:val="List 5"/>
    <w:basedOn w:val="Normal"/>
    <w:uiPriority w:val="99"/>
    <w:semiHidden/>
    <w:unhideWhenUsed/>
    <w:rsid w:val="00893D2C"/>
    <w:pPr>
      <w:ind w:left="1415" w:hanging="283"/>
      <w:contextualSpacing/>
    </w:pPr>
  </w:style>
  <w:style w:type="paragraph" w:styleId="Listeavsnitt">
    <w:name w:val="List Paragraph"/>
    <w:basedOn w:val="Normal"/>
    <w:link w:val="ListeavsnittTegn"/>
    <w:uiPriority w:val="34"/>
    <w:qFormat/>
    <w:rsid w:val="00893D2C"/>
    <w:pPr>
      <w:ind w:left="720"/>
      <w:contextualSpacing/>
    </w:pPr>
  </w:style>
  <w:style w:type="table" w:styleId="Listetabell1lys">
    <w:name w:val="List Table 1 Light"/>
    <w:basedOn w:val="Vanligtabell"/>
    <w:uiPriority w:val="46"/>
    <w:rsid w:val="00893D2C"/>
    <w:pPr>
      <w:spacing w:after="0" w:line="240" w:lineRule="auto"/>
    </w:pPr>
    <w:tblPr>
      <w:tblStyleRowBandSize w:val="1"/>
      <w:tblStyleColBandSize w:val="1"/>
    </w:tblPr>
    <w:tblStylePr w:type="firstRow">
      <w:rPr>
        <w:b/>
        <w:bCs/>
      </w:rPr>
      <w:tblPr/>
      <w:tcPr>
        <w:tcBorders>
          <w:bottom w:val="single" w:sz="4" w:space="0" w:color="88886C" w:themeColor="text1" w:themeTint="99"/>
        </w:tcBorders>
      </w:tcPr>
    </w:tblStylePr>
    <w:tblStylePr w:type="lastRow">
      <w:rPr>
        <w:b/>
        <w:bCs/>
      </w:rPr>
      <w:tblPr/>
      <w:tcPr>
        <w:tcBorders>
          <w:top w:val="single" w:sz="4" w:space="0" w:color="88886C" w:themeColor="text1" w:themeTint="99"/>
        </w:tcBorders>
      </w:tcPr>
    </w:tblStylePr>
    <w:tblStylePr w:type="firstCol">
      <w:rPr>
        <w:b/>
        <w:bCs/>
      </w:rPr>
    </w:tblStylePr>
    <w:tblStylePr w:type="lastCol">
      <w:rPr>
        <w:b/>
        <w:bCs/>
      </w:rPr>
    </w:tblStylePr>
    <w:tblStylePr w:type="band1Vert">
      <w:tblPr/>
      <w:tcPr>
        <w:shd w:val="clear" w:color="auto" w:fill="D8D8CD" w:themeFill="text1" w:themeFillTint="33"/>
      </w:tcPr>
    </w:tblStylePr>
    <w:tblStylePr w:type="band1Horz">
      <w:tblPr/>
      <w:tcPr>
        <w:shd w:val="clear" w:color="auto" w:fill="D8D8CD" w:themeFill="text1" w:themeFillTint="33"/>
      </w:tcPr>
    </w:tblStylePr>
  </w:style>
  <w:style w:type="table" w:styleId="Listetabell1lysuthevingsfarge1">
    <w:name w:val="List Table 1 Light Accent 1"/>
    <w:basedOn w:val="Vanligtabell"/>
    <w:uiPriority w:val="46"/>
    <w:rsid w:val="00893D2C"/>
    <w:pPr>
      <w:spacing w:after="0" w:line="240" w:lineRule="auto"/>
    </w:pPr>
    <w:tblPr>
      <w:tblStyleRowBandSize w:val="1"/>
      <w:tblStyleColBandSize w:val="1"/>
    </w:tblPr>
    <w:tblStylePr w:type="firstRow">
      <w:rPr>
        <w:b/>
        <w:bCs/>
      </w:rPr>
      <w:tblPr/>
      <w:tcPr>
        <w:tcBorders>
          <w:bottom w:val="single" w:sz="4" w:space="0" w:color="6060D0" w:themeColor="accent1" w:themeTint="99"/>
        </w:tcBorders>
      </w:tcPr>
    </w:tblStylePr>
    <w:tblStylePr w:type="lastRow">
      <w:rPr>
        <w:b/>
        <w:bCs/>
      </w:rPr>
      <w:tblPr/>
      <w:tcPr>
        <w:tcBorders>
          <w:top w:val="single" w:sz="4" w:space="0" w:color="6060D0" w:themeColor="accent1" w:themeTint="99"/>
        </w:tcBorders>
      </w:tcPr>
    </w:tblStylePr>
    <w:tblStylePr w:type="firstCol">
      <w:rPr>
        <w:b/>
        <w:bCs/>
      </w:rPr>
    </w:tblStylePr>
    <w:tblStylePr w:type="lastCol">
      <w:rPr>
        <w:b/>
        <w:bCs/>
      </w:rPr>
    </w:tblStylePr>
    <w:tblStylePr w:type="band1Vert">
      <w:tblPr/>
      <w:tcPr>
        <w:shd w:val="clear" w:color="auto" w:fill="C9C9EF" w:themeFill="accent1" w:themeFillTint="33"/>
      </w:tcPr>
    </w:tblStylePr>
    <w:tblStylePr w:type="band1Horz">
      <w:tblPr/>
      <w:tcPr>
        <w:shd w:val="clear" w:color="auto" w:fill="C9C9EF" w:themeFill="accent1" w:themeFillTint="33"/>
      </w:tcPr>
    </w:tblStylePr>
  </w:style>
  <w:style w:type="table" w:styleId="Listetabell1lysuthevingsfarge2">
    <w:name w:val="List Table 1 Light Accent 2"/>
    <w:basedOn w:val="Vanligtabell"/>
    <w:uiPriority w:val="46"/>
    <w:rsid w:val="00893D2C"/>
    <w:pPr>
      <w:spacing w:after="0" w:line="240" w:lineRule="auto"/>
    </w:pPr>
    <w:tblPr>
      <w:tblStyleRowBandSize w:val="1"/>
      <w:tblStyleColBandSize w:val="1"/>
    </w:tblPr>
    <w:tblStylePr w:type="firstRow">
      <w:rPr>
        <w:b/>
        <w:bCs/>
      </w:rPr>
      <w:tblPr/>
      <w:tcPr>
        <w:tcBorders>
          <w:bottom w:val="single" w:sz="4" w:space="0" w:color="FFD0A7" w:themeColor="accent2" w:themeTint="99"/>
        </w:tcBorders>
      </w:tcPr>
    </w:tblStylePr>
    <w:tblStylePr w:type="lastRow">
      <w:rPr>
        <w:b/>
        <w:bCs/>
      </w:rPr>
      <w:tblPr/>
      <w:tcPr>
        <w:tcBorders>
          <w:top w:val="single" w:sz="4" w:space="0" w:color="FFD0A7" w:themeColor="accent2" w:themeTint="99"/>
        </w:tcBorders>
      </w:tcPr>
    </w:tblStylePr>
    <w:tblStylePr w:type="firstCol">
      <w:rPr>
        <w:b/>
        <w:bCs/>
      </w:rPr>
    </w:tblStylePr>
    <w:tblStylePr w:type="lastCol">
      <w:rPr>
        <w:b/>
        <w:bCs/>
      </w:rPr>
    </w:tblStylePr>
    <w:tblStylePr w:type="band1Vert">
      <w:tblPr/>
      <w:tcPr>
        <w:shd w:val="clear" w:color="auto" w:fill="FFEFE1" w:themeFill="accent2" w:themeFillTint="33"/>
      </w:tcPr>
    </w:tblStylePr>
    <w:tblStylePr w:type="band1Horz">
      <w:tblPr/>
      <w:tcPr>
        <w:shd w:val="clear" w:color="auto" w:fill="FFEFE1" w:themeFill="accent2" w:themeFillTint="33"/>
      </w:tcPr>
    </w:tblStylePr>
  </w:style>
  <w:style w:type="table" w:styleId="Listetabell1lysuthevingsfarge3">
    <w:name w:val="List Table 1 Light Accent 3"/>
    <w:basedOn w:val="Vanligtabell"/>
    <w:uiPriority w:val="46"/>
    <w:rsid w:val="00893D2C"/>
    <w:pPr>
      <w:spacing w:after="0" w:line="240" w:lineRule="auto"/>
    </w:pPr>
    <w:tblPr>
      <w:tblStyleRowBandSize w:val="1"/>
      <w:tblStyleColBandSize w:val="1"/>
    </w:tblPr>
    <w:tblStylePr w:type="firstRow">
      <w:rPr>
        <w:b/>
        <w:bCs/>
      </w:rPr>
      <w:tblPr/>
      <w:tcPr>
        <w:tcBorders>
          <w:bottom w:val="single" w:sz="4" w:space="0" w:color="80C3CB" w:themeColor="accent3" w:themeTint="99"/>
        </w:tcBorders>
      </w:tcPr>
    </w:tblStylePr>
    <w:tblStylePr w:type="lastRow">
      <w:rPr>
        <w:b/>
        <w:bCs/>
      </w:rPr>
      <w:tblPr/>
      <w:tcPr>
        <w:tcBorders>
          <w:top w:val="single" w:sz="4" w:space="0" w:color="80C3CB" w:themeColor="accent3" w:themeTint="99"/>
        </w:tcBorders>
      </w:tcPr>
    </w:tblStylePr>
    <w:tblStylePr w:type="firstCol">
      <w:rPr>
        <w:b/>
        <w:bCs/>
      </w:rPr>
    </w:tblStylePr>
    <w:tblStylePr w:type="lastCol">
      <w:rPr>
        <w:b/>
        <w:bCs/>
      </w:rPr>
    </w:tblStylePr>
    <w:tblStylePr w:type="band1Vert">
      <w:tblPr/>
      <w:tcPr>
        <w:shd w:val="clear" w:color="auto" w:fill="D4EBED" w:themeFill="accent3" w:themeFillTint="33"/>
      </w:tcPr>
    </w:tblStylePr>
    <w:tblStylePr w:type="band1Horz">
      <w:tblPr/>
      <w:tcPr>
        <w:shd w:val="clear" w:color="auto" w:fill="D4EBED" w:themeFill="accent3" w:themeFillTint="33"/>
      </w:tcPr>
    </w:tblStylePr>
  </w:style>
  <w:style w:type="table" w:styleId="Listetabell1lysuthevingsfarge4">
    <w:name w:val="List Table 1 Light Accent 4"/>
    <w:basedOn w:val="Vanligtabell"/>
    <w:uiPriority w:val="46"/>
    <w:rsid w:val="00893D2C"/>
    <w:pPr>
      <w:spacing w:after="0" w:line="240" w:lineRule="auto"/>
    </w:pPr>
    <w:tblPr>
      <w:tblStyleRowBandSize w:val="1"/>
      <w:tblStyleColBandSize w:val="1"/>
    </w:tblPr>
    <w:tblStylePr w:type="firstRow">
      <w:rPr>
        <w:b/>
        <w:bCs/>
      </w:rPr>
      <w:tblPr/>
      <w:tcPr>
        <w:tcBorders>
          <w:bottom w:val="single" w:sz="4" w:space="0" w:color="88886C" w:themeColor="accent4" w:themeTint="99"/>
        </w:tcBorders>
      </w:tcPr>
    </w:tblStylePr>
    <w:tblStylePr w:type="lastRow">
      <w:rPr>
        <w:b/>
        <w:bCs/>
      </w:rPr>
      <w:tblPr/>
      <w:tcPr>
        <w:tcBorders>
          <w:top w:val="single" w:sz="4" w:space="0" w:color="88886C" w:themeColor="accent4" w:themeTint="99"/>
        </w:tcBorders>
      </w:tcPr>
    </w:tblStylePr>
    <w:tblStylePr w:type="firstCol">
      <w:rPr>
        <w:b/>
        <w:bCs/>
      </w:rPr>
    </w:tblStylePr>
    <w:tblStylePr w:type="lastCol">
      <w:rPr>
        <w:b/>
        <w:bCs/>
      </w:rPr>
    </w:tblStylePr>
    <w:tblStylePr w:type="band1Vert">
      <w:tblPr/>
      <w:tcPr>
        <w:shd w:val="clear" w:color="auto" w:fill="D8D8CD" w:themeFill="accent4" w:themeFillTint="33"/>
      </w:tcPr>
    </w:tblStylePr>
    <w:tblStylePr w:type="band1Horz">
      <w:tblPr/>
      <w:tcPr>
        <w:shd w:val="clear" w:color="auto" w:fill="D8D8CD" w:themeFill="accent4" w:themeFillTint="33"/>
      </w:tcPr>
    </w:tblStylePr>
  </w:style>
  <w:style w:type="table" w:styleId="Listetabell1lysuthevingsfarge5">
    <w:name w:val="List Table 1 Light Accent 5"/>
    <w:basedOn w:val="Vanligtabell"/>
    <w:uiPriority w:val="46"/>
    <w:rsid w:val="00893D2C"/>
    <w:pPr>
      <w:spacing w:after="0" w:line="240" w:lineRule="auto"/>
    </w:pPr>
    <w:tblPr>
      <w:tblStyleRowBandSize w:val="1"/>
      <w:tblStyleColBandSize w:val="1"/>
    </w:tblPr>
    <w:tblStylePr w:type="firstRow">
      <w:rPr>
        <w:b/>
        <w:bCs/>
      </w:rPr>
      <w:tblPr/>
      <w:tcPr>
        <w:tcBorders>
          <w:bottom w:val="single" w:sz="4" w:space="0" w:color="FDF3EB" w:themeColor="accent5" w:themeTint="99"/>
        </w:tcBorders>
      </w:tcPr>
    </w:tblStylePr>
    <w:tblStylePr w:type="lastRow">
      <w:rPr>
        <w:b/>
        <w:bCs/>
      </w:rPr>
      <w:tblPr/>
      <w:tcPr>
        <w:tcBorders>
          <w:top w:val="single" w:sz="4" w:space="0" w:color="FDF3EB" w:themeColor="accent5" w:themeTint="99"/>
        </w:tcBorders>
      </w:tcPr>
    </w:tblStylePr>
    <w:tblStylePr w:type="firstCol">
      <w:rPr>
        <w:b/>
        <w:bCs/>
      </w:rPr>
    </w:tblStylePr>
    <w:tblStylePr w:type="lastCol">
      <w:rPr>
        <w:b/>
        <w:bCs/>
      </w:rPr>
    </w:tblStylePr>
    <w:tblStylePr w:type="band1Vert">
      <w:tblPr/>
      <w:tcPr>
        <w:shd w:val="clear" w:color="auto" w:fill="FEFBF8" w:themeFill="accent5" w:themeFillTint="33"/>
      </w:tcPr>
    </w:tblStylePr>
    <w:tblStylePr w:type="band1Horz">
      <w:tblPr/>
      <w:tcPr>
        <w:shd w:val="clear" w:color="auto" w:fill="FEFBF8" w:themeFill="accent5" w:themeFillTint="33"/>
      </w:tcPr>
    </w:tblStylePr>
  </w:style>
  <w:style w:type="table" w:styleId="Listetabell1lysuthevingsfarge6">
    <w:name w:val="List Table 1 Light Accent 6"/>
    <w:basedOn w:val="Vanligtabell"/>
    <w:uiPriority w:val="46"/>
    <w:rsid w:val="00893D2C"/>
    <w:pPr>
      <w:spacing w:after="0" w:line="240" w:lineRule="auto"/>
    </w:pPr>
    <w:tblPr>
      <w:tblStyleRowBandSize w:val="1"/>
      <w:tblStyleColBandSize w:val="1"/>
    </w:tblPr>
    <w:tblStylePr w:type="firstRow">
      <w:rPr>
        <w:b/>
        <w:bCs/>
      </w:rPr>
      <w:tblPr/>
      <w:tcPr>
        <w:tcBorders>
          <w:bottom w:val="single" w:sz="4" w:space="0" w:color="F7FAFA" w:themeColor="accent6" w:themeTint="99"/>
        </w:tcBorders>
      </w:tcPr>
    </w:tblStylePr>
    <w:tblStylePr w:type="lastRow">
      <w:rPr>
        <w:b/>
        <w:bCs/>
      </w:rPr>
      <w:tblPr/>
      <w:tcPr>
        <w:tcBorders>
          <w:top w:val="single" w:sz="4" w:space="0" w:color="F7FAFA" w:themeColor="accent6" w:themeTint="99"/>
        </w:tcBorders>
      </w:tcPr>
    </w:tblStylePr>
    <w:tblStylePr w:type="firstCol">
      <w:rPr>
        <w:b/>
        <w:bCs/>
      </w:rPr>
    </w:tblStylePr>
    <w:tblStylePr w:type="lastCol">
      <w:rPr>
        <w:b/>
        <w:bCs/>
      </w:rPr>
    </w:tblStylePr>
    <w:tblStylePr w:type="band1Vert">
      <w:tblPr/>
      <w:tcPr>
        <w:shd w:val="clear" w:color="auto" w:fill="FCFDFD" w:themeFill="accent6" w:themeFillTint="33"/>
      </w:tcPr>
    </w:tblStylePr>
    <w:tblStylePr w:type="band1Horz">
      <w:tblPr/>
      <w:tcPr>
        <w:shd w:val="clear" w:color="auto" w:fill="FCFDFD" w:themeFill="accent6" w:themeFillTint="33"/>
      </w:tcPr>
    </w:tblStylePr>
  </w:style>
  <w:style w:type="table" w:styleId="Listetabell2">
    <w:name w:val="List Table 2"/>
    <w:basedOn w:val="Vanligtabell"/>
    <w:uiPriority w:val="47"/>
    <w:rsid w:val="00893D2C"/>
    <w:pPr>
      <w:spacing w:after="0" w:line="240" w:lineRule="auto"/>
    </w:pPr>
    <w:tblPr>
      <w:tblStyleRowBandSize w:val="1"/>
      <w:tblStyleColBandSize w:val="1"/>
      <w:tblBorders>
        <w:top w:val="single" w:sz="4" w:space="0" w:color="88886C" w:themeColor="text1" w:themeTint="99"/>
        <w:bottom w:val="single" w:sz="4" w:space="0" w:color="88886C" w:themeColor="text1" w:themeTint="99"/>
        <w:insideH w:val="single" w:sz="4" w:space="0" w:color="88886C"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8D8CD" w:themeFill="text1" w:themeFillTint="33"/>
      </w:tcPr>
    </w:tblStylePr>
    <w:tblStylePr w:type="band1Horz">
      <w:tblPr/>
      <w:tcPr>
        <w:shd w:val="clear" w:color="auto" w:fill="D8D8CD" w:themeFill="text1" w:themeFillTint="33"/>
      </w:tcPr>
    </w:tblStylePr>
  </w:style>
  <w:style w:type="table" w:styleId="Listetabell2uthevingsfarge1">
    <w:name w:val="List Table 2 Accent 1"/>
    <w:basedOn w:val="Vanligtabell"/>
    <w:uiPriority w:val="47"/>
    <w:rsid w:val="00893D2C"/>
    <w:pPr>
      <w:spacing w:after="0" w:line="240" w:lineRule="auto"/>
    </w:pPr>
    <w:tblPr>
      <w:tblStyleRowBandSize w:val="1"/>
      <w:tblStyleColBandSize w:val="1"/>
      <w:tblBorders>
        <w:top w:val="single" w:sz="4" w:space="0" w:color="6060D0" w:themeColor="accent1" w:themeTint="99"/>
        <w:bottom w:val="single" w:sz="4" w:space="0" w:color="6060D0" w:themeColor="accent1" w:themeTint="99"/>
        <w:insideH w:val="single" w:sz="4" w:space="0" w:color="6060D0"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9C9EF" w:themeFill="accent1" w:themeFillTint="33"/>
      </w:tcPr>
    </w:tblStylePr>
    <w:tblStylePr w:type="band1Horz">
      <w:tblPr/>
      <w:tcPr>
        <w:shd w:val="clear" w:color="auto" w:fill="C9C9EF" w:themeFill="accent1" w:themeFillTint="33"/>
      </w:tcPr>
    </w:tblStylePr>
  </w:style>
  <w:style w:type="table" w:styleId="Listetabell2uthevingsfarge2">
    <w:name w:val="List Table 2 Accent 2"/>
    <w:basedOn w:val="Vanligtabell"/>
    <w:uiPriority w:val="47"/>
    <w:rsid w:val="00893D2C"/>
    <w:pPr>
      <w:spacing w:after="0" w:line="240" w:lineRule="auto"/>
    </w:pPr>
    <w:tblPr>
      <w:tblStyleRowBandSize w:val="1"/>
      <w:tblStyleColBandSize w:val="1"/>
      <w:tblBorders>
        <w:top w:val="single" w:sz="4" w:space="0" w:color="FFD0A7" w:themeColor="accent2" w:themeTint="99"/>
        <w:bottom w:val="single" w:sz="4" w:space="0" w:color="FFD0A7" w:themeColor="accent2" w:themeTint="99"/>
        <w:insideH w:val="single" w:sz="4" w:space="0" w:color="FFD0A7"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FE1" w:themeFill="accent2" w:themeFillTint="33"/>
      </w:tcPr>
    </w:tblStylePr>
    <w:tblStylePr w:type="band1Horz">
      <w:tblPr/>
      <w:tcPr>
        <w:shd w:val="clear" w:color="auto" w:fill="FFEFE1" w:themeFill="accent2" w:themeFillTint="33"/>
      </w:tcPr>
    </w:tblStylePr>
  </w:style>
  <w:style w:type="table" w:styleId="Listetabell2uthevingsfarge3">
    <w:name w:val="List Table 2 Accent 3"/>
    <w:basedOn w:val="Vanligtabell"/>
    <w:uiPriority w:val="47"/>
    <w:rsid w:val="00893D2C"/>
    <w:pPr>
      <w:spacing w:after="0" w:line="240" w:lineRule="auto"/>
    </w:pPr>
    <w:tblPr>
      <w:tblStyleRowBandSize w:val="1"/>
      <w:tblStyleColBandSize w:val="1"/>
      <w:tblBorders>
        <w:top w:val="single" w:sz="4" w:space="0" w:color="80C3CB" w:themeColor="accent3" w:themeTint="99"/>
        <w:bottom w:val="single" w:sz="4" w:space="0" w:color="80C3CB" w:themeColor="accent3" w:themeTint="99"/>
        <w:insideH w:val="single" w:sz="4" w:space="0" w:color="80C3C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4EBED" w:themeFill="accent3" w:themeFillTint="33"/>
      </w:tcPr>
    </w:tblStylePr>
    <w:tblStylePr w:type="band1Horz">
      <w:tblPr/>
      <w:tcPr>
        <w:shd w:val="clear" w:color="auto" w:fill="D4EBED" w:themeFill="accent3" w:themeFillTint="33"/>
      </w:tcPr>
    </w:tblStylePr>
  </w:style>
  <w:style w:type="table" w:styleId="Listetabell2uthevingsfarge4">
    <w:name w:val="List Table 2 Accent 4"/>
    <w:basedOn w:val="Vanligtabell"/>
    <w:uiPriority w:val="47"/>
    <w:rsid w:val="00893D2C"/>
    <w:pPr>
      <w:spacing w:after="0" w:line="240" w:lineRule="auto"/>
    </w:pPr>
    <w:tblPr>
      <w:tblStyleRowBandSize w:val="1"/>
      <w:tblStyleColBandSize w:val="1"/>
      <w:tblBorders>
        <w:top w:val="single" w:sz="4" w:space="0" w:color="88886C" w:themeColor="accent4" w:themeTint="99"/>
        <w:bottom w:val="single" w:sz="4" w:space="0" w:color="88886C" w:themeColor="accent4" w:themeTint="99"/>
        <w:insideH w:val="single" w:sz="4" w:space="0" w:color="88886C"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8D8CD" w:themeFill="accent4" w:themeFillTint="33"/>
      </w:tcPr>
    </w:tblStylePr>
    <w:tblStylePr w:type="band1Horz">
      <w:tblPr/>
      <w:tcPr>
        <w:shd w:val="clear" w:color="auto" w:fill="D8D8CD" w:themeFill="accent4" w:themeFillTint="33"/>
      </w:tcPr>
    </w:tblStylePr>
  </w:style>
  <w:style w:type="table" w:styleId="Listetabell2uthevingsfarge5">
    <w:name w:val="List Table 2 Accent 5"/>
    <w:basedOn w:val="Vanligtabell"/>
    <w:uiPriority w:val="47"/>
    <w:rsid w:val="00893D2C"/>
    <w:pPr>
      <w:spacing w:after="0" w:line="240" w:lineRule="auto"/>
    </w:pPr>
    <w:tblPr>
      <w:tblStyleRowBandSize w:val="1"/>
      <w:tblStyleColBandSize w:val="1"/>
      <w:tblBorders>
        <w:top w:val="single" w:sz="4" w:space="0" w:color="FDF3EB" w:themeColor="accent5" w:themeTint="99"/>
        <w:bottom w:val="single" w:sz="4" w:space="0" w:color="FDF3EB" w:themeColor="accent5" w:themeTint="99"/>
        <w:insideH w:val="single" w:sz="4" w:space="0" w:color="FDF3E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FBF8" w:themeFill="accent5" w:themeFillTint="33"/>
      </w:tcPr>
    </w:tblStylePr>
    <w:tblStylePr w:type="band1Horz">
      <w:tblPr/>
      <w:tcPr>
        <w:shd w:val="clear" w:color="auto" w:fill="FEFBF8" w:themeFill="accent5" w:themeFillTint="33"/>
      </w:tcPr>
    </w:tblStylePr>
  </w:style>
  <w:style w:type="table" w:styleId="Listetabell2uthevingsfarge6">
    <w:name w:val="List Table 2 Accent 6"/>
    <w:basedOn w:val="Vanligtabell"/>
    <w:uiPriority w:val="47"/>
    <w:rsid w:val="00893D2C"/>
    <w:pPr>
      <w:spacing w:after="0" w:line="240" w:lineRule="auto"/>
    </w:pPr>
    <w:tblPr>
      <w:tblStyleRowBandSize w:val="1"/>
      <w:tblStyleColBandSize w:val="1"/>
      <w:tblBorders>
        <w:top w:val="single" w:sz="4" w:space="0" w:color="F7FAFA" w:themeColor="accent6" w:themeTint="99"/>
        <w:bottom w:val="single" w:sz="4" w:space="0" w:color="F7FAFA" w:themeColor="accent6" w:themeTint="99"/>
        <w:insideH w:val="single" w:sz="4" w:space="0" w:color="F7FAF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DFD" w:themeFill="accent6" w:themeFillTint="33"/>
      </w:tcPr>
    </w:tblStylePr>
    <w:tblStylePr w:type="band1Horz">
      <w:tblPr/>
      <w:tcPr>
        <w:shd w:val="clear" w:color="auto" w:fill="FCFDFD" w:themeFill="accent6" w:themeFillTint="33"/>
      </w:tcPr>
    </w:tblStylePr>
  </w:style>
  <w:style w:type="table" w:styleId="Listetabell3">
    <w:name w:val="List Table 3"/>
    <w:basedOn w:val="Vanligtabell"/>
    <w:uiPriority w:val="48"/>
    <w:rsid w:val="00893D2C"/>
    <w:pPr>
      <w:spacing w:after="0" w:line="240" w:lineRule="auto"/>
    </w:pPr>
    <w:tblPr>
      <w:tblStyleRowBandSize w:val="1"/>
      <w:tblStyleColBandSize w:val="1"/>
      <w:tblBorders>
        <w:top w:val="single" w:sz="4" w:space="0" w:color="26261E" w:themeColor="text1"/>
        <w:left w:val="single" w:sz="4" w:space="0" w:color="26261E" w:themeColor="text1"/>
        <w:bottom w:val="single" w:sz="4" w:space="0" w:color="26261E" w:themeColor="text1"/>
        <w:right w:val="single" w:sz="4" w:space="0" w:color="26261E" w:themeColor="text1"/>
      </w:tblBorders>
    </w:tblPr>
    <w:tblStylePr w:type="firstRow">
      <w:rPr>
        <w:b/>
        <w:bCs/>
        <w:color w:val="FFFFFF" w:themeColor="background1"/>
      </w:rPr>
      <w:tblPr/>
      <w:tcPr>
        <w:shd w:val="clear" w:color="auto" w:fill="26261E" w:themeFill="text1"/>
      </w:tcPr>
    </w:tblStylePr>
    <w:tblStylePr w:type="lastRow">
      <w:rPr>
        <w:b/>
        <w:bCs/>
      </w:rPr>
      <w:tblPr/>
      <w:tcPr>
        <w:tcBorders>
          <w:top w:val="double" w:sz="4" w:space="0" w:color="26261E"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6261E" w:themeColor="text1"/>
          <w:right w:val="single" w:sz="4" w:space="0" w:color="26261E" w:themeColor="text1"/>
        </w:tcBorders>
      </w:tcPr>
    </w:tblStylePr>
    <w:tblStylePr w:type="band1Horz">
      <w:tblPr/>
      <w:tcPr>
        <w:tcBorders>
          <w:top w:val="single" w:sz="4" w:space="0" w:color="26261E" w:themeColor="text1"/>
          <w:bottom w:val="single" w:sz="4" w:space="0" w:color="26261E"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6261E" w:themeColor="text1"/>
          <w:left w:val="nil"/>
        </w:tcBorders>
      </w:tcPr>
    </w:tblStylePr>
    <w:tblStylePr w:type="swCell">
      <w:tblPr/>
      <w:tcPr>
        <w:tcBorders>
          <w:top w:val="double" w:sz="4" w:space="0" w:color="26261E" w:themeColor="text1"/>
          <w:right w:val="nil"/>
        </w:tcBorders>
      </w:tcPr>
    </w:tblStylePr>
  </w:style>
  <w:style w:type="table" w:styleId="Listetabell3uthevingsfarge1">
    <w:name w:val="List Table 3 Accent 1"/>
    <w:basedOn w:val="Vanligtabell"/>
    <w:uiPriority w:val="48"/>
    <w:rsid w:val="00893D2C"/>
    <w:pPr>
      <w:spacing w:after="0" w:line="240" w:lineRule="auto"/>
    </w:pPr>
    <w:tblPr>
      <w:tblStyleRowBandSize w:val="1"/>
      <w:tblStyleColBandSize w:val="1"/>
      <w:tblBorders>
        <w:top w:val="single" w:sz="4" w:space="0" w:color="262682" w:themeColor="accent1"/>
        <w:left w:val="single" w:sz="4" w:space="0" w:color="262682" w:themeColor="accent1"/>
        <w:bottom w:val="single" w:sz="4" w:space="0" w:color="262682" w:themeColor="accent1"/>
        <w:right w:val="single" w:sz="4" w:space="0" w:color="262682" w:themeColor="accent1"/>
      </w:tblBorders>
    </w:tblPr>
    <w:tblStylePr w:type="firstRow">
      <w:rPr>
        <w:b/>
        <w:bCs/>
        <w:color w:val="FFFFFF" w:themeColor="background1"/>
      </w:rPr>
      <w:tblPr/>
      <w:tcPr>
        <w:shd w:val="clear" w:color="auto" w:fill="262682" w:themeFill="accent1"/>
      </w:tcPr>
    </w:tblStylePr>
    <w:tblStylePr w:type="lastRow">
      <w:rPr>
        <w:b/>
        <w:bCs/>
      </w:rPr>
      <w:tblPr/>
      <w:tcPr>
        <w:tcBorders>
          <w:top w:val="double" w:sz="4" w:space="0" w:color="2626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62682" w:themeColor="accent1"/>
          <w:right w:val="single" w:sz="4" w:space="0" w:color="262682" w:themeColor="accent1"/>
        </w:tcBorders>
      </w:tcPr>
    </w:tblStylePr>
    <w:tblStylePr w:type="band1Horz">
      <w:tblPr/>
      <w:tcPr>
        <w:tcBorders>
          <w:top w:val="single" w:sz="4" w:space="0" w:color="262682" w:themeColor="accent1"/>
          <w:bottom w:val="single" w:sz="4" w:space="0" w:color="2626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62682" w:themeColor="accent1"/>
          <w:left w:val="nil"/>
        </w:tcBorders>
      </w:tcPr>
    </w:tblStylePr>
    <w:tblStylePr w:type="swCell">
      <w:tblPr/>
      <w:tcPr>
        <w:tcBorders>
          <w:top w:val="double" w:sz="4" w:space="0" w:color="262682" w:themeColor="accent1"/>
          <w:right w:val="nil"/>
        </w:tcBorders>
      </w:tcPr>
    </w:tblStylePr>
  </w:style>
  <w:style w:type="table" w:styleId="Listetabell3uthevingsfarge2">
    <w:name w:val="List Table 3 Accent 2"/>
    <w:basedOn w:val="Vanligtabell"/>
    <w:uiPriority w:val="48"/>
    <w:rsid w:val="00893D2C"/>
    <w:pPr>
      <w:spacing w:after="0" w:line="240" w:lineRule="auto"/>
    </w:pPr>
    <w:tblPr>
      <w:tblStyleRowBandSize w:val="1"/>
      <w:tblStyleColBandSize w:val="1"/>
      <w:tblBorders>
        <w:top w:val="single" w:sz="4" w:space="0" w:color="FFB26D" w:themeColor="accent2"/>
        <w:left w:val="single" w:sz="4" w:space="0" w:color="FFB26D" w:themeColor="accent2"/>
        <w:bottom w:val="single" w:sz="4" w:space="0" w:color="FFB26D" w:themeColor="accent2"/>
        <w:right w:val="single" w:sz="4" w:space="0" w:color="FFB26D" w:themeColor="accent2"/>
      </w:tblBorders>
    </w:tblPr>
    <w:tblStylePr w:type="firstRow">
      <w:rPr>
        <w:b/>
        <w:bCs/>
        <w:color w:val="FFFFFF" w:themeColor="background1"/>
      </w:rPr>
      <w:tblPr/>
      <w:tcPr>
        <w:shd w:val="clear" w:color="auto" w:fill="FFB26D" w:themeFill="accent2"/>
      </w:tcPr>
    </w:tblStylePr>
    <w:tblStylePr w:type="lastRow">
      <w:rPr>
        <w:b/>
        <w:bCs/>
      </w:rPr>
      <w:tblPr/>
      <w:tcPr>
        <w:tcBorders>
          <w:top w:val="double" w:sz="4" w:space="0" w:color="FFB26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B26D" w:themeColor="accent2"/>
          <w:right w:val="single" w:sz="4" w:space="0" w:color="FFB26D" w:themeColor="accent2"/>
        </w:tcBorders>
      </w:tcPr>
    </w:tblStylePr>
    <w:tblStylePr w:type="band1Horz">
      <w:tblPr/>
      <w:tcPr>
        <w:tcBorders>
          <w:top w:val="single" w:sz="4" w:space="0" w:color="FFB26D" w:themeColor="accent2"/>
          <w:bottom w:val="single" w:sz="4" w:space="0" w:color="FFB26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B26D" w:themeColor="accent2"/>
          <w:left w:val="nil"/>
        </w:tcBorders>
      </w:tcPr>
    </w:tblStylePr>
    <w:tblStylePr w:type="swCell">
      <w:tblPr/>
      <w:tcPr>
        <w:tcBorders>
          <w:top w:val="double" w:sz="4" w:space="0" w:color="FFB26D" w:themeColor="accent2"/>
          <w:right w:val="nil"/>
        </w:tcBorders>
      </w:tcPr>
    </w:tblStylePr>
  </w:style>
  <w:style w:type="table" w:styleId="Listetabell3uthevingsfarge3">
    <w:name w:val="List Table 3 Accent 3"/>
    <w:basedOn w:val="Vanligtabell"/>
    <w:uiPriority w:val="48"/>
    <w:rsid w:val="00893D2C"/>
    <w:pPr>
      <w:spacing w:after="0" w:line="240" w:lineRule="auto"/>
    </w:pPr>
    <w:tblPr>
      <w:tblStyleRowBandSize w:val="1"/>
      <w:tblStyleColBandSize w:val="1"/>
      <w:tblBorders>
        <w:top w:val="single" w:sz="4" w:space="0" w:color="3E8F98" w:themeColor="accent3"/>
        <w:left w:val="single" w:sz="4" w:space="0" w:color="3E8F98" w:themeColor="accent3"/>
        <w:bottom w:val="single" w:sz="4" w:space="0" w:color="3E8F98" w:themeColor="accent3"/>
        <w:right w:val="single" w:sz="4" w:space="0" w:color="3E8F98" w:themeColor="accent3"/>
      </w:tblBorders>
    </w:tblPr>
    <w:tblStylePr w:type="firstRow">
      <w:rPr>
        <w:b/>
        <w:bCs/>
        <w:color w:val="FFFFFF" w:themeColor="background1"/>
      </w:rPr>
      <w:tblPr/>
      <w:tcPr>
        <w:shd w:val="clear" w:color="auto" w:fill="3E8F98" w:themeFill="accent3"/>
      </w:tcPr>
    </w:tblStylePr>
    <w:tblStylePr w:type="lastRow">
      <w:rPr>
        <w:b/>
        <w:bCs/>
      </w:rPr>
      <w:tblPr/>
      <w:tcPr>
        <w:tcBorders>
          <w:top w:val="double" w:sz="4" w:space="0" w:color="3E8F9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E8F98" w:themeColor="accent3"/>
          <w:right w:val="single" w:sz="4" w:space="0" w:color="3E8F98" w:themeColor="accent3"/>
        </w:tcBorders>
      </w:tcPr>
    </w:tblStylePr>
    <w:tblStylePr w:type="band1Horz">
      <w:tblPr/>
      <w:tcPr>
        <w:tcBorders>
          <w:top w:val="single" w:sz="4" w:space="0" w:color="3E8F98" w:themeColor="accent3"/>
          <w:bottom w:val="single" w:sz="4" w:space="0" w:color="3E8F9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E8F98" w:themeColor="accent3"/>
          <w:left w:val="nil"/>
        </w:tcBorders>
      </w:tcPr>
    </w:tblStylePr>
    <w:tblStylePr w:type="swCell">
      <w:tblPr/>
      <w:tcPr>
        <w:tcBorders>
          <w:top w:val="double" w:sz="4" w:space="0" w:color="3E8F98" w:themeColor="accent3"/>
          <w:right w:val="nil"/>
        </w:tcBorders>
      </w:tcPr>
    </w:tblStylePr>
  </w:style>
  <w:style w:type="table" w:styleId="Listetabell3uthevingsfarge4">
    <w:name w:val="List Table 3 Accent 4"/>
    <w:basedOn w:val="Vanligtabell"/>
    <w:uiPriority w:val="48"/>
    <w:rsid w:val="00893D2C"/>
    <w:pPr>
      <w:spacing w:after="0" w:line="240" w:lineRule="auto"/>
    </w:pPr>
    <w:tblPr>
      <w:tblStyleRowBandSize w:val="1"/>
      <w:tblStyleColBandSize w:val="1"/>
      <w:tblBorders>
        <w:top w:val="single" w:sz="4" w:space="0" w:color="26261E" w:themeColor="accent4"/>
        <w:left w:val="single" w:sz="4" w:space="0" w:color="26261E" w:themeColor="accent4"/>
        <w:bottom w:val="single" w:sz="4" w:space="0" w:color="26261E" w:themeColor="accent4"/>
        <w:right w:val="single" w:sz="4" w:space="0" w:color="26261E" w:themeColor="accent4"/>
      </w:tblBorders>
    </w:tblPr>
    <w:tblStylePr w:type="firstRow">
      <w:rPr>
        <w:b/>
        <w:bCs/>
        <w:color w:val="FFFFFF" w:themeColor="background1"/>
      </w:rPr>
      <w:tblPr/>
      <w:tcPr>
        <w:shd w:val="clear" w:color="auto" w:fill="26261E" w:themeFill="accent4"/>
      </w:tcPr>
    </w:tblStylePr>
    <w:tblStylePr w:type="lastRow">
      <w:rPr>
        <w:b/>
        <w:bCs/>
      </w:rPr>
      <w:tblPr/>
      <w:tcPr>
        <w:tcBorders>
          <w:top w:val="double" w:sz="4" w:space="0" w:color="26261E"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6261E" w:themeColor="accent4"/>
          <w:right w:val="single" w:sz="4" w:space="0" w:color="26261E" w:themeColor="accent4"/>
        </w:tcBorders>
      </w:tcPr>
    </w:tblStylePr>
    <w:tblStylePr w:type="band1Horz">
      <w:tblPr/>
      <w:tcPr>
        <w:tcBorders>
          <w:top w:val="single" w:sz="4" w:space="0" w:color="26261E" w:themeColor="accent4"/>
          <w:bottom w:val="single" w:sz="4" w:space="0" w:color="26261E"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6261E" w:themeColor="accent4"/>
          <w:left w:val="nil"/>
        </w:tcBorders>
      </w:tcPr>
    </w:tblStylePr>
    <w:tblStylePr w:type="swCell">
      <w:tblPr/>
      <w:tcPr>
        <w:tcBorders>
          <w:top w:val="double" w:sz="4" w:space="0" w:color="26261E" w:themeColor="accent4"/>
          <w:right w:val="nil"/>
        </w:tcBorders>
      </w:tcPr>
    </w:tblStylePr>
  </w:style>
  <w:style w:type="table" w:styleId="Listetabell3uthevingsfarge5">
    <w:name w:val="List Table 3 Accent 5"/>
    <w:basedOn w:val="Vanligtabell"/>
    <w:uiPriority w:val="48"/>
    <w:rsid w:val="00893D2C"/>
    <w:pPr>
      <w:spacing w:after="0" w:line="240" w:lineRule="auto"/>
    </w:pPr>
    <w:tblPr>
      <w:tblStyleRowBandSize w:val="1"/>
      <w:tblStyleColBandSize w:val="1"/>
      <w:tblBorders>
        <w:top w:val="single" w:sz="4" w:space="0" w:color="FCECDE" w:themeColor="accent5"/>
        <w:left w:val="single" w:sz="4" w:space="0" w:color="FCECDE" w:themeColor="accent5"/>
        <w:bottom w:val="single" w:sz="4" w:space="0" w:color="FCECDE" w:themeColor="accent5"/>
        <w:right w:val="single" w:sz="4" w:space="0" w:color="FCECDE" w:themeColor="accent5"/>
      </w:tblBorders>
    </w:tblPr>
    <w:tblStylePr w:type="firstRow">
      <w:rPr>
        <w:b/>
        <w:bCs/>
        <w:color w:val="FFFFFF" w:themeColor="background1"/>
      </w:rPr>
      <w:tblPr/>
      <w:tcPr>
        <w:shd w:val="clear" w:color="auto" w:fill="FCECDE" w:themeFill="accent5"/>
      </w:tcPr>
    </w:tblStylePr>
    <w:tblStylePr w:type="lastRow">
      <w:rPr>
        <w:b/>
        <w:bCs/>
      </w:rPr>
      <w:tblPr/>
      <w:tcPr>
        <w:tcBorders>
          <w:top w:val="double" w:sz="4" w:space="0" w:color="FCECD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CECDE" w:themeColor="accent5"/>
          <w:right w:val="single" w:sz="4" w:space="0" w:color="FCECDE" w:themeColor="accent5"/>
        </w:tcBorders>
      </w:tcPr>
    </w:tblStylePr>
    <w:tblStylePr w:type="band1Horz">
      <w:tblPr/>
      <w:tcPr>
        <w:tcBorders>
          <w:top w:val="single" w:sz="4" w:space="0" w:color="FCECDE" w:themeColor="accent5"/>
          <w:bottom w:val="single" w:sz="4" w:space="0" w:color="FCECD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CECDE" w:themeColor="accent5"/>
          <w:left w:val="nil"/>
        </w:tcBorders>
      </w:tcPr>
    </w:tblStylePr>
    <w:tblStylePr w:type="swCell">
      <w:tblPr/>
      <w:tcPr>
        <w:tcBorders>
          <w:top w:val="double" w:sz="4" w:space="0" w:color="FCECDE" w:themeColor="accent5"/>
          <w:right w:val="nil"/>
        </w:tcBorders>
      </w:tcPr>
    </w:tblStylePr>
  </w:style>
  <w:style w:type="table" w:styleId="Listetabell3uthevingsfarge6">
    <w:name w:val="List Table 3 Accent 6"/>
    <w:basedOn w:val="Vanligtabell"/>
    <w:uiPriority w:val="48"/>
    <w:rsid w:val="00893D2C"/>
    <w:pPr>
      <w:spacing w:after="0" w:line="240" w:lineRule="auto"/>
    </w:pPr>
    <w:tblPr>
      <w:tblStyleRowBandSize w:val="1"/>
      <w:tblStyleColBandSize w:val="1"/>
      <w:tblBorders>
        <w:top w:val="single" w:sz="4" w:space="0" w:color="F2F8F8" w:themeColor="accent6"/>
        <w:left w:val="single" w:sz="4" w:space="0" w:color="F2F8F8" w:themeColor="accent6"/>
        <w:bottom w:val="single" w:sz="4" w:space="0" w:color="F2F8F8" w:themeColor="accent6"/>
        <w:right w:val="single" w:sz="4" w:space="0" w:color="F2F8F8" w:themeColor="accent6"/>
      </w:tblBorders>
    </w:tblPr>
    <w:tblStylePr w:type="firstRow">
      <w:rPr>
        <w:b/>
        <w:bCs/>
        <w:color w:val="FFFFFF" w:themeColor="background1"/>
      </w:rPr>
      <w:tblPr/>
      <w:tcPr>
        <w:shd w:val="clear" w:color="auto" w:fill="F2F8F8" w:themeFill="accent6"/>
      </w:tcPr>
    </w:tblStylePr>
    <w:tblStylePr w:type="lastRow">
      <w:rPr>
        <w:b/>
        <w:bCs/>
      </w:rPr>
      <w:tblPr/>
      <w:tcPr>
        <w:tcBorders>
          <w:top w:val="double" w:sz="4" w:space="0" w:color="F2F8F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2F8F8" w:themeColor="accent6"/>
          <w:right w:val="single" w:sz="4" w:space="0" w:color="F2F8F8" w:themeColor="accent6"/>
        </w:tcBorders>
      </w:tcPr>
    </w:tblStylePr>
    <w:tblStylePr w:type="band1Horz">
      <w:tblPr/>
      <w:tcPr>
        <w:tcBorders>
          <w:top w:val="single" w:sz="4" w:space="0" w:color="F2F8F8" w:themeColor="accent6"/>
          <w:bottom w:val="single" w:sz="4" w:space="0" w:color="F2F8F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2F8F8" w:themeColor="accent6"/>
          <w:left w:val="nil"/>
        </w:tcBorders>
      </w:tcPr>
    </w:tblStylePr>
    <w:tblStylePr w:type="swCell">
      <w:tblPr/>
      <w:tcPr>
        <w:tcBorders>
          <w:top w:val="double" w:sz="4" w:space="0" w:color="F2F8F8" w:themeColor="accent6"/>
          <w:right w:val="nil"/>
        </w:tcBorders>
      </w:tcPr>
    </w:tblStylePr>
  </w:style>
  <w:style w:type="table" w:styleId="Listetabell4">
    <w:name w:val="List Table 4"/>
    <w:basedOn w:val="Vanligtabell"/>
    <w:uiPriority w:val="49"/>
    <w:rsid w:val="00893D2C"/>
    <w:pPr>
      <w:spacing w:after="0" w:line="240" w:lineRule="auto"/>
    </w:pPr>
    <w:tblPr>
      <w:tblStyleRowBandSize w:val="1"/>
      <w:tblStyleColBandSize w:val="1"/>
      <w:tblBorders>
        <w:top w:val="single" w:sz="4" w:space="0" w:color="88886C" w:themeColor="text1" w:themeTint="99"/>
        <w:left w:val="single" w:sz="4" w:space="0" w:color="88886C" w:themeColor="text1" w:themeTint="99"/>
        <w:bottom w:val="single" w:sz="4" w:space="0" w:color="88886C" w:themeColor="text1" w:themeTint="99"/>
        <w:right w:val="single" w:sz="4" w:space="0" w:color="88886C" w:themeColor="text1" w:themeTint="99"/>
        <w:insideH w:val="single" w:sz="4" w:space="0" w:color="88886C" w:themeColor="text1" w:themeTint="99"/>
      </w:tblBorders>
    </w:tblPr>
    <w:tblStylePr w:type="firstRow">
      <w:rPr>
        <w:b/>
        <w:bCs/>
        <w:color w:val="FFFFFF" w:themeColor="background1"/>
      </w:rPr>
      <w:tblPr/>
      <w:tcPr>
        <w:tcBorders>
          <w:top w:val="single" w:sz="4" w:space="0" w:color="26261E" w:themeColor="text1"/>
          <w:left w:val="single" w:sz="4" w:space="0" w:color="26261E" w:themeColor="text1"/>
          <w:bottom w:val="single" w:sz="4" w:space="0" w:color="26261E" w:themeColor="text1"/>
          <w:right w:val="single" w:sz="4" w:space="0" w:color="26261E" w:themeColor="text1"/>
          <w:insideH w:val="nil"/>
        </w:tcBorders>
        <w:shd w:val="clear" w:color="auto" w:fill="26261E" w:themeFill="text1"/>
      </w:tcPr>
    </w:tblStylePr>
    <w:tblStylePr w:type="lastRow">
      <w:rPr>
        <w:b/>
        <w:bCs/>
      </w:rPr>
      <w:tblPr/>
      <w:tcPr>
        <w:tcBorders>
          <w:top w:val="double" w:sz="4" w:space="0" w:color="88886C" w:themeColor="text1" w:themeTint="99"/>
        </w:tcBorders>
      </w:tcPr>
    </w:tblStylePr>
    <w:tblStylePr w:type="firstCol">
      <w:rPr>
        <w:b/>
        <w:bCs/>
      </w:rPr>
    </w:tblStylePr>
    <w:tblStylePr w:type="lastCol">
      <w:rPr>
        <w:b/>
        <w:bCs/>
      </w:rPr>
    </w:tblStylePr>
    <w:tblStylePr w:type="band1Vert">
      <w:tblPr/>
      <w:tcPr>
        <w:shd w:val="clear" w:color="auto" w:fill="D8D8CD" w:themeFill="text1" w:themeFillTint="33"/>
      </w:tcPr>
    </w:tblStylePr>
    <w:tblStylePr w:type="band1Horz">
      <w:tblPr/>
      <w:tcPr>
        <w:shd w:val="clear" w:color="auto" w:fill="D8D8CD" w:themeFill="text1" w:themeFillTint="33"/>
      </w:tcPr>
    </w:tblStylePr>
  </w:style>
  <w:style w:type="table" w:styleId="Listetabell4uthevingsfarge1">
    <w:name w:val="List Table 4 Accent 1"/>
    <w:basedOn w:val="Vanligtabell"/>
    <w:uiPriority w:val="49"/>
    <w:rsid w:val="00893D2C"/>
    <w:pPr>
      <w:spacing w:after="0" w:line="240" w:lineRule="auto"/>
    </w:pPr>
    <w:tblPr>
      <w:tblStyleRowBandSize w:val="1"/>
      <w:tblStyleColBandSize w:val="1"/>
      <w:tblBorders>
        <w:top w:val="single" w:sz="4" w:space="0" w:color="6060D0" w:themeColor="accent1" w:themeTint="99"/>
        <w:left w:val="single" w:sz="4" w:space="0" w:color="6060D0" w:themeColor="accent1" w:themeTint="99"/>
        <w:bottom w:val="single" w:sz="4" w:space="0" w:color="6060D0" w:themeColor="accent1" w:themeTint="99"/>
        <w:right w:val="single" w:sz="4" w:space="0" w:color="6060D0" w:themeColor="accent1" w:themeTint="99"/>
        <w:insideH w:val="single" w:sz="4" w:space="0" w:color="6060D0" w:themeColor="accent1" w:themeTint="99"/>
      </w:tblBorders>
    </w:tblPr>
    <w:tblStylePr w:type="firstRow">
      <w:rPr>
        <w:b/>
        <w:bCs/>
        <w:color w:val="FFFFFF" w:themeColor="background1"/>
      </w:rPr>
      <w:tblPr/>
      <w:tcPr>
        <w:tcBorders>
          <w:top w:val="single" w:sz="4" w:space="0" w:color="262682" w:themeColor="accent1"/>
          <w:left w:val="single" w:sz="4" w:space="0" w:color="262682" w:themeColor="accent1"/>
          <w:bottom w:val="single" w:sz="4" w:space="0" w:color="262682" w:themeColor="accent1"/>
          <w:right w:val="single" w:sz="4" w:space="0" w:color="262682" w:themeColor="accent1"/>
          <w:insideH w:val="nil"/>
        </w:tcBorders>
        <w:shd w:val="clear" w:color="auto" w:fill="262682" w:themeFill="accent1"/>
      </w:tcPr>
    </w:tblStylePr>
    <w:tblStylePr w:type="lastRow">
      <w:rPr>
        <w:b/>
        <w:bCs/>
      </w:rPr>
      <w:tblPr/>
      <w:tcPr>
        <w:tcBorders>
          <w:top w:val="double" w:sz="4" w:space="0" w:color="6060D0" w:themeColor="accent1" w:themeTint="99"/>
        </w:tcBorders>
      </w:tcPr>
    </w:tblStylePr>
    <w:tblStylePr w:type="firstCol">
      <w:rPr>
        <w:b/>
        <w:bCs/>
      </w:rPr>
    </w:tblStylePr>
    <w:tblStylePr w:type="lastCol">
      <w:rPr>
        <w:b/>
        <w:bCs/>
      </w:rPr>
    </w:tblStylePr>
    <w:tblStylePr w:type="band1Vert">
      <w:tblPr/>
      <w:tcPr>
        <w:shd w:val="clear" w:color="auto" w:fill="C9C9EF" w:themeFill="accent1" w:themeFillTint="33"/>
      </w:tcPr>
    </w:tblStylePr>
    <w:tblStylePr w:type="band1Horz">
      <w:tblPr/>
      <w:tcPr>
        <w:shd w:val="clear" w:color="auto" w:fill="C9C9EF" w:themeFill="accent1" w:themeFillTint="33"/>
      </w:tcPr>
    </w:tblStylePr>
  </w:style>
  <w:style w:type="table" w:styleId="Listetabell4uthevingsfarge2">
    <w:name w:val="List Table 4 Accent 2"/>
    <w:basedOn w:val="Vanligtabell"/>
    <w:uiPriority w:val="49"/>
    <w:rsid w:val="00893D2C"/>
    <w:pPr>
      <w:spacing w:after="0" w:line="240" w:lineRule="auto"/>
    </w:pPr>
    <w:tblPr>
      <w:tblStyleRowBandSize w:val="1"/>
      <w:tblStyleColBandSize w:val="1"/>
      <w:tblBorders>
        <w:top w:val="single" w:sz="4" w:space="0" w:color="FFD0A7" w:themeColor="accent2" w:themeTint="99"/>
        <w:left w:val="single" w:sz="4" w:space="0" w:color="FFD0A7" w:themeColor="accent2" w:themeTint="99"/>
        <w:bottom w:val="single" w:sz="4" w:space="0" w:color="FFD0A7" w:themeColor="accent2" w:themeTint="99"/>
        <w:right w:val="single" w:sz="4" w:space="0" w:color="FFD0A7" w:themeColor="accent2" w:themeTint="99"/>
        <w:insideH w:val="single" w:sz="4" w:space="0" w:color="FFD0A7" w:themeColor="accent2" w:themeTint="99"/>
      </w:tblBorders>
    </w:tblPr>
    <w:tblStylePr w:type="firstRow">
      <w:rPr>
        <w:b/>
        <w:bCs/>
        <w:color w:val="FFFFFF" w:themeColor="background1"/>
      </w:rPr>
      <w:tblPr/>
      <w:tcPr>
        <w:tcBorders>
          <w:top w:val="single" w:sz="4" w:space="0" w:color="FFB26D" w:themeColor="accent2"/>
          <w:left w:val="single" w:sz="4" w:space="0" w:color="FFB26D" w:themeColor="accent2"/>
          <w:bottom w:val="single" w:sz="4" w:space="0" w:color="FFB26D" w:themeColor="accent2"/>
          <w:right w:val="single" w:sz="4" w:space="0" w:color="FFB26D" w:themeColor="accent2"/>
          <w:insideH w:val="nil"/>
        </w:tcBorders>
        <w:shd w:val="clear" w:color="auto" w:fill="FFB26D" w:themeFill="accent2"/>
      </w:tcPr>
    </w:tblStylePr>
    <w:tblStylePr w:type="lastRow">
      <w:rPr>
        <w:b/>
        <w:bCs/>
      </w:rPr>
      <w:tblPr/>
      <w:tcPr>
        <w:tcBorders>
          <w:top w:val="double" w:sz="4" w:space="0" w:color="FFD0A7" w:themeColor="accent2" w:themeTint="99"/>
        </w:tcBorders>
      </w:tcPr>
    </w:tblStylePr>
    <w:tblStylePr w:type="firstCol">
      <w:rPr>
        <w:b/>
        <w:bCs/>
      </w:rPr>
    </w:tblStylePr>
    <w:tblStylePr w:type="lastCol">
      <w:rPr>
        <w:b/>
        <w:bCs/>
      </w:rPr>
    </w:tblStylePr>
    <w:tblStylePr w:type="band1Vert">
      <w:tblPr/>
      <w:tcPr>
        <w:shd w:val="clear" w:color="auto" w:fill="FFEFE1" w:themeFill="accent2" w:themeFillTint="33"/>
      </w:tcPr>
    </w:tblStylePr>
    <w:tblStylePr w:type="band1Horz">
      <w:tblPr/>
      <w:tcPr>
        <w:shd w:val="clear" w:color="auto" w:fill="FFEFE1" w:themeFill="accent2" w:themeFillTint="33"/>
      </w:tcPr>
    </w:tblStylePr>
  </w:style>
  <w:style w:type="table" w:styleId="Listetabell4uthevingsfarge3">
    <w:name w:val="List Table 4 Accent 3"/>
    <w:basedOn w:val="Vanligtabell"/>
    <w:uiPriority w:val="49"/>
    <w:rsid w:val="00893D2C"/>
    <w:pPr>
      <w:spacing w:after="0" w:line="240" w:lineRule="auto"/>
    </w:pPr>
    <w:tblPr>
      <w:tblStyleRowBandSize w:val="1"/>
      <w:tblStyleColBandSize w:val="1"/>
      <w:tblBorders>
        <w:top w:val="single" w:sz="4" w:space="0" w:color="80C3CB" w:themeColor="accent3" w:themeTint="99"/>
        <w:left w:val="single" w:sz="4" w:space="0" w:color="80C3CB" w:themeColor="accent3" w:themeTint="99"/>
        <w:bottom w:val="single" w:sz="4" w:space="0" w:color="80C3CB" w:themeColor="accent3" w:themeTint="99"/>
        <w:right w:val="single" w:sz="4" w:space="0" w:color="80C3CB" w:themeColor="accent3" w:themeTint="99"/>
        <w:insideH w:val="single" w:sz="4" w:space="0" w:color="80C3CB" w:themeColor="accent3" w:themeTint="99"/>
      </w:tblBorders>
    </w:tblPr>
    <w:tblStylePr w:type="firstRow">
      <w:rPr>
        <w:b/>
        <w:bCs/>
        <w:color w:val="FFFFFF" w:themeColor="background1"/>
      </w:rPr>
      <w:tblPr/>
      <w:tcPr>
        <w:tcBorders>
          <w:top w:val="single" w:sz="4" w:space="0" w:color="3E8F98" w:themeColor="accent3"/>
          <w:left w:val="single" w:sz="4" w:space="0" w:color="3E8F98" w:themeColor="accent3"/>
          <w:bottom w:val="single" w:sz="4" w:space="0" w:color="3E8F98" w:themeColor="accent3"/>
          <w:right w:val="single" w:sz="4" w:space="0" w:color="3E8F98" w:themeColor="accent3"/>
          <w:insideH w:val="nil"/>
        </w:tcBorders>
        <w:shd w:val="clear" w:color="auto" w:fill="3E8F98" w:themeFill="accent3"/>
      </w:tcPr>
    </w:tblStylePr>
    <w:tblStylePr w:type="lastRow">
      <w:rPr>
        <w:b/>
        <w:bCs/>
      </w:rPr>
      <w:tblPr/>
      <w:tcPr>
        <w:tcBorders>
          <w:top w:val="double" w:sz="4" w:space="0" w:color="80C3CB" w:themeColor="accent3" w:themeTint="99"/>
        </w:tcBorders>
      </w:tcPr>
    </w:tblStylePr>
    <w:tblStylePr w:type="firstCol">
      <w:rPr>
        <w:b/>
        <w:bCs/>
      </w:rPr>
    </w:tblStylePr>
    <w:tblStylePr w:type="lastCol">
      <w:rPr>
        <w:b/>
        <w:bCs/>
      </w:rPr>
    </w:tblStylePr>
    <w:tblStylePr w:type="band1Vert">
      <w:tblPr/>
      <w:tcPr>
        <w:shd w:val="clear" w:color="auto" w:fill="D4EBED" w:themeFill="accent3" w:themeFillTint="33"/>
      </w:tcPr>
    </w:tblStylePr>
    <w:tblStylePr w:type="band1Horz">
      <w:tblPr/>
      <w:tcPr>
        <w:shd w:val="clear" w:color="auto" w:fill="D4EBED" w:themeFill="accent3" w:themeFillTint="33"/>
      </w:tcPr>
    </w:tblStylePr>
  </w:style>
  <w:style w:type="table" w:styleId="Listetabell4uthevingsfarge4">
    <w:name w:val="List Table 4 Accent 4"/>
    <w:basedOn w:val="Vanligtabell"/>
    <w:uiPriority w:val="49"/>
    <w:rsid w:val="00893D2C"/>
    <w:pPr>
      <w:spacing w:after="0" w:line="240" w:lineRule="auto"/>
    </w:pPr>
    <w:tblPr>
      <w:tblStyleRowBandSize w:val="1"/>
      <w:tblStyleColBandSize w:val="1"/>
      <w:tblBorders>
        <w:top w:val="single" w:sz="4" w:space="0" w:color="88886C" w:themeColor="accent4" w:themeTint="99"/>
        <w:left w:val="single" w:sz="4" w:space="0" w:color="88886C" w:themeColor="accent4" w:themeTint="99"/>
        <w:bottom w:val="single" w:sz="4" w:space="0" w:color="88886C" w:themeColor="accent4" w:themeTint="99"/>
        <w:right w:val="single" w:sz="4" w:space="0" w:color="88886C" w:themeColor="accent4" w:themeTint="99"/>
        <w:insideH w:val="single" w:sz="4" w:space="0" w:color="88886C" w:themeColor="accent4" w:themeTint="99"/>
      </w:tblBorders>
    </w:tblPr>
    <w:tblStylePr w:type="firstRow">
      <w:rPr>
        <w:b/>
        <w:bCs/>
        <w:color w:val="FFFFFF" w:themeColor="background1"/>
      </w:rPr>
      <w:tblPr/>
      <w:tcPr>
        <w:tcBorders>
          <w:top w:val="single" w:sz="4" w:space="0" w:color="26261E" w:themeColor="accent4"/>
          <w:left w:val="single" w:sz="4" w:space="0" w:color="26261E" w:themeColor="accent4"/>
          <w:bottom w:val="single" w:sz="4" w:space="0" w:color="26261E" w:themeColor="accent4"/>
          <w:right w:val="single" w:sz="4" w:space="0" w:color="26261E" w:themeColor="accent4"/>
          <w:insideH w:val="nil"/>
        </w:tcBorders>
        <w:shd w:val="clear" w:color="auto" w:fill="26261E" w:themeFill="accent4"/>
      </w:tcPr>
    </w:tblStylePr>
    <w:tblStylePr w:type="lastRow">
      <w:rPr>
        <w:b/>
        <w:bCs/>
      </w:rPr>
      <w:tblPr/>
      <w:tcPr>
        <w:tcBorders>
          <w:top w:val="double" w:sz="4" w:space="0" w:color="88886C" w:themeColor="accent4" w:themeTint="99"/>
        </w:tcBorders>
      </w:tcPr>
    </w:tblStylePr>
    <w:tblStylePr w:type="firstCol">
      <w:rPr>
        <w:b/>
        <w:bCs/>
      </w:rPr>
    </w:tblStylePr>
    <w:tblStylePr w:type="lastCol">
      <w:rPr>
        <w:b/>
        <w:bCs/>
      </w:rPr>
    </w:tblStylePr>
    <w:tblStylePr w:type="band1Vert">
      <w:tblPr/>
      <w:tcPr>
        <w:shd w:val="clear" w:color="auto" w:fill="D8D8CD" w:themeFill="accent4" w:themeFillTint="33"/>
      </w:tcPr>
    </w:tblStylePr>
    <w:tblStylePr w:type="band1Horz">
      <w:tblPr/>
      <w:tcPr>
        <w:shd w:val="clear" w:color="auto" w:fill="D8D8CD" w:themeFill="accent4" w:themeFillTint="33"/>
      </w:tcPr>
    </w:tblStylePr>
  </w:style>
  <w:style w:type="table" w:styleId="Listetabell4uthevingsfarge5">
    <w:name w:val="List Table 4 Accent 5"/>
    <w:basedOn w:val="Vanligtabell"/>
    <w:uiPriority w:val="49"/>
    <w:rsid w:val="00893D2C"/>
    <w:pPr>
      <w:spacing w:after="0" w:line="240" w:lineRule="auto"/>
    </w:pPr>
    <w:tblPr>
      <w:tblStyleRowBandSize w:val="1"/>
      <w:tblStyleColBandSize w:val="1"/>
      <w:tblBorders>
        <w:top w:val="single" w:sz="4" w:space="0" w:color="FDF3EB" w:themeColor="accent5" w:themeTint="99"/>
        <w:left w:val="single" w:sz="4" w:space="0" w:color="FDF3EB" w:themeColor="accent5" w:themeTint="99"/>
        <w:bottom w:val="single" w:sz="4" w:space="0" w:color="FDF3EB" w:themeColor="accent5" w:themeTint="99"/>
        <w:right w:val="single" w:sz="4" w:space="0" w:color="FDF3EB" w:themeColor="accent5" w:themeTint="99"/>
        <w:insideH w:val="single" w:sz="4" w:space="0" w:color="FDF3EB" w:themeColor="accent5" w:themeTint="99"/>
      </w:tblBorders>
    </w:tblPr>
    <w:tblStylePr w:type="firstRow">
      <w:rPr>
        <w:b/>
        <w:bCs/>
        <w:color w:val="FFFFFF" w:themeColor="background1"/>
      </w:rPr>
      <w:tblPr/>
      <w:tcPr>
        <w:tcBorders>
          <w:top w:val="single" w:sz="4" w:space="0" w:color="FCECDE" w:themeColor="accent5"/>
          <w:left w:val="single" w:sz="4" w:space="0" w:color="FCECDE" w:themeColor="accent5"/>
          <w:bottom w:val="single" w:sz="4" w:space="0" w:color="FCECDE" w:themeColor="accent5"/>
          <w:right w:val="single" w:sz="4" w:space="0" w:color="FCECDE" w:themeColor="accent5"/>
          <w:insideH w:val="nil"/>
        </w:tcBorders>
        <w:shd w:val="clear" w:color="auto" w:fill="FCECDE" w:themeFill="accent5"/>
      </w:tcPr>
    </w:tblStylePr>
    <w:tblStylePr w:type="lastRow">
      <w:rPr>
        <w:b/>
        <w:bCs/>
      </w:rPr>
      <w:tblPr/>
      <w:tcPr>
        <w:tcBorders>
          <w:top w:val="double" w:sz="4" w:space="0" w:color="FDF3EB" w:themeColor="accent5" w:themeTint="99"/>
        </w:tcBorders>
      </w:tcPr>
    </w:tblStylePr>
    <w:tblStylePr w:type="firstCol">
      <w:rPr>
        <w:b/>
        <w:bCs/>
      </w:rPr>
    </w:tblStylePr>
    <w:tblStylePr w:type="lastCol">
      <w:rPr>
        <w:b/>
        <w:bCs/>
      </w:rPr>
    </w:tblStylePr>
    <w:tblStylePr w:type="band1Vert">
      <w:tblPr/>
      <w:tcPr>
        <w:shd w:val="clear" w:color="auto" w:fill="FEFBF8" w:themeFill="accent5" w:themeFillTint="33"/>
      </w:tcPr>
    </w:tblStylePr>
    <w:tblStylePr w:type="band1Horz">
      <w:tblPr/>
      <w:tcPr>
        <w:shd w:val="clear" w:color="auto" w:fill="FEFBF8" w:themeFill="accent5" w:themeFillTint="33"/>
      </w:tcPr>
    </w:tblStylePr>
  </w:style>
  <w:style w:type="table" w:styleId="Listetabell4uthevingsfarge6">
    <w:name w:val="List Table 4 Accent 6"/>
    <w:basedOn w:val="Vanligtabell"/>
    <w:uiPriority w:val="49"/>
    <w:rsid w:val="00893D2C"/>
    <w:pPr>
      <w:spacing w:after="0" w:line="240" w:lineRule="auto"/>
    </w:pPr>
    <w:tblPr>
      <w:tblStyleRowBandSize w:val="1"/>
      <w:tblStyleColBandSize w:val="1"/>
      <w:tblBorders>
        <w:top w:val="single" w:sz="4" w:space="0" w:color="F7FAFA" w:themeColor="accent6" w:themeTint="99"/>
        <w:left w:val="single" w:sz="4" w:space="0" w:color="F7FAFA" w:themeColor="accent6" w:themeTint="99"/>
        <w:bottom w:val="single" w:sz="4" w:space="0" w:color="F7FAFA" w:themeColor="accent6" w:themeTint="99"/>
        <w:right w:val="single" w:sz="4" w:space="0" w:color="F7FAFA" w:themeColor="accent6" w:themeTint="99"/>
        <w:insideH w:val="single" w:sz="4" w:space="0" w:color="F7FAFA" w:themeColor="accent6" w:themeTint="99"/>
      </w:tblBorders>
    </w:tblPr>
    <w:tblStylePr w:type="firstRow">
      <w:rPr>
        <w:b/>
        <w:bCs/>
        <w:color w:val="FFFFFF" w:themeColor="background1"/>
      </w:rPr>
      <w:tblPr/>
      <w:tcPr>
        <w:tcBorders>
          <w:top w:val="single" w:sz="4" w:space="0" w:color="F2F8F8" w:themeColor="accent6"/>
          <w:left w:val="single" w:sz="4" w:space="0" w:color="F2F8F8" w:themeColor="accent6"/>
          <w:bottom w:val="single" w:sz="4" w:space="0" w:color="F2F8F8" w:themeColor="accent6"/>
          <w:right w:val="single" w:sz="4" w:space="0" w:color="F2F8F8" w:themeColor="accent6"/>
          <w:insideH w:val="nil"/>
        </w:tcBorders>
        <w:shd w:val="clear" w:color="auto" w:fill="F2F8F8" w:themeFill="accent6"/>
      </w:tcPr>
    </w:tblStylePr>
    <w:tblStylePr w:type="lastRow">
      <w:rPr>
        <w:b/>
        <w:bCs/>
      </w:rPr>
      <w:tblPr/>
      <w:tcPr>
        <w:tcBorders>
          <w:top w:val="double" w:sz="4" w:space="0" w:color="F7FAFA" w:themeColor="accent6" w:themeTint="99"/>
        </w:tcBorders>
      </w:tcPr>
    </w:tblStylePr>
    <w:tblStylePr w:type="firstCol">
      <w:rPr>
        <w:b/>
        <w:bCs/>
      </w:rPr>
    </w:tblStylePr>
    <w:tblStylePr w:type="lastCol">
      <w:rPr>
        <w:b/>
        <w:bCs/>
      </w:rPr>
    </w:tblStylePr>
    <w:tblStylePr w:type="band1Vert">
      <w:tblPr/>
      <w:tcPr>
        <w:shd w:val="clear" w:color="auto" w:fill="FCFDFD" w:themeFill="accent6" w:themeFillTint="33"/>
      </w:tcPr>
    </w:tblStylePr>
    <w:tblStylePr w:type="band1Horz">
      <w:tblPr/>
      <w:tcPr>
        <w:shd w:val="clear" w:color="auto" w:fill="FCFDFD" w:themeFill="accent6" w:themeFillTint="33"/>
      </w:tcPr>
    </w:tblStylePr>
  </w:style>
  <w:style w:type="table" w:styleId="Listetabell5mrk">
    <w:name w:val="List Table 5 Dark"/>
    <w:basedOn w:val="Vanligtabell"/>
    <w:uiPriority w:val="50"/>
    <w:rsid w:val="00893D2C"/>
    <w:pPr>
      <w:spacing w:after="0" w:line="240" w:lineRule="auto"/>
    </w:pPr>
    <w:rPr>
      <w:color w:val="FFFFFF" w:themeColor="background1"/>
    </w:rPr>
    <w:tblPr>
      <w:tblStyleRowBandSize w:val="1"/>
      <w:tblStyleColBandSize w:val="1"/>
      <w:tblBorders>
        <w:top w:val="single" w:sz="24" w:space="0" w:color="26261E" w:themeColor="text1"/>
        <w:left w:val="single" w:sz="24" w:space="0" w:color="26261E" w:themeColor="text1"/>
        <w:bottom w:val="single" w:sz="24" w:space="0" w:color="26261E" w:themeColor="text1"/>
        <w:right w:val="single" w:sz="24" w:space="0" w:color="26261E" w:themeColor="text1"/>
      </w:tblBorders>
    </w:tblPr>
    <w:tcPr>
      <w:shd w:val="clear" w:color="auto" w:fill="26261E"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1">
    <w:name w:val="List Table 5 Dark Accent 1"/>
    <w:basedOn w:val="Vanligtabell"/>
    <w:uiPriority w:val="50"/>
    <w:rsid w:val="00893D2C"/>
    <w:pPr>
      <w:spacing w:after="0" w:line="240" w:lineRule="auto"/>
    </w:pPr>
    <w:rPr>
      <w:color w:val="FFFFFF" w:themeColor="background1"/>
    </w:rPr>
    <w:tblPr>
      <w:tblStyleRowBandSize w:val="1"/>
      <w:tblStyleColBandSize w:val="1"/>
      <w:tblBorders>
        <w:top w:val="single" w:sz="24" w:space="0" w:color="262682" w:themeColor="accent1"/>
        <w:left w:val="single" w:sz="24" w:space="0" w:color="262682" w:themeColor="accent1"/>
        <w:bottom w:val="single" w:sz="24" w:space="0" w:color="262682" w:themeColor="accent1"/>
        <w:right w:val="single" w:sz="24" w:space="0" w:color="262682" w:themeColor="accent1"/>
      </w:tblBorders>
    </w:tblPr>
    <w:tcPr>
      <w:shd w:val="clear" w:color="auto" w:fill="2626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2">
    <w:name w:val="List Table 5 Dark Accent 2"/>
    <w:basedOn w:val="Vanligtabell"/>
    <w:uiPriority w:val="50"/>
    <w:rsid w:val="00893D2C"/>
    <w:pPr>
      <w:spacing w:after="0" w:line="240" w:lineRule="auto"/>
    </w:pPr>
    <w:rPr>
      <w:color w:val="FFFFFF" w:themeColor="background1"/>
    </w:rPr>
    <w:tblPr>
      <w:tblStyleRowBandSize w:val="1"/>
      <w:tblStyleColBandSize w:val="1"/>
      <w:tblBorders>
        <w:top w:val="single" w:sz="24" w:space="0" w:color="FFB26D" w:themeColor="accent2"/>
        <w:left w:val="single" w:sz="24" w:space="0" w:color="FFB26D" w:themeColor="accent2"/>
        <w:bottom w:val="single" w:sz="24" w:space="0" w:color="FFB26D" w:themeColor="accent2"/>
        <w:right w:val="single" w:sz="24" w:space="0" w:color="FFB26D" w:themeColor="accent2"/>
      </w:tblBorders>
    </w:tblPr>
    <w:tcPr>
      <w:shd w:val="clear" w:color="auto" w:fill="FFB26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3">
    <w:name w:val="List Table 5 Dark Accent 3"/>
    <w:basedOn w:val="Vanligtabell"/>
    <w:uiPriority w:val="50"/>
    <w:rsid w:val="00893D2C"/>
    <w:pPr>
      <w:spacing w:after="0" w:line="240" w:lineRule="auto"/>
    </w:pPr>
    <w:rPr>
      <w:color w:val="FFFFFF" w:themeColor="background1"/>
    </w:rPr>
    <w:tblPr>
      <w:tblStyleRowBandSize w:val="1"/>
      <w:tblStyleColBandSize w:val="1"/>
      <w:tblBorders>
        <w:top w:val="single" w:sz="24" w:space="0" w:color="3E8F98" w:themeColor="accent3"/>
        <w:left w:val="single" w:sz="24" w:space="0" w:color="3E8F98" w:themeColor="accent3"/>
        <w:bottom w:val="single" w:sz="24" w:space="0" w:color="3E8F98" w:themeColor="accent3"/>
        <w:right w:val="single" w:sz="24" w:space="0" w:color="3E8F98" w:themeColor="accent3"/>
      </w:tblBorders>
    </w:tblPr>
    <w:tcPr>
      <w:shd w:val="clear" w:color="auto" w:fill="3E8F9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4">
    <w:name w:val="List Table 5 Dark Accent 4"/>
    <w:basedOn w:val="Vanligtabell"/>
    <w:uiPriority w:val="50"/>
    <w:rsid w:val="00893D2C"/>
    <w:pPr>
      <w:spacing w:after="0" w:line="240" w:lineRule="auto"/>
    </w:pPr>
    <w:rPr>
      <w:color w:val="FFFFFF" w:themeColor="background1"/>
    </w:rPr>
    <w:tblPr>
      <w:tblStyleRowBandSize w:val="1"/>
      <w:tblStyleColBandSize w:val="1"/>
      <w:tblBorders>
        <w:top w:val="single" w:sz="24" w:space="0" w:color="26261E" w:themeColor="accent4"/>
        <w:left w:val="single" w:sz="24" w:space="0" w:color="26261E" w:themeColor="accent4"/>
        <w:bottom w:val="single" w:sz="24" w:space="0" w:color="26261E" w:themeColor="accent4"/>
        <w:right w:val="single" w:sz="24" w:space="0" w:color="26261E" w:themeColor="accent4"/>
      </w:tblBorders>
    </w:tblPr>
    <w:tcPr>
      <w:shd w:val="clear" w:color="auto" w:fill="26261E"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5">
    <w:name w:val="List Table 5 Dark Accent 5"/>
    <w:basedOn w:val="Vanligtabell"/>
    <w:uiPriority w:val="50"/>
    <w:rsid w:val="00893D2C"/>
    <w:pPr>
      <w:spacing w:after="0" w:line="240" w:lineRule="auto"/>
    </w:pPr>
    <w:rPr>
      <w:color w:val="FFFFFF" w:themeColor="background1"/>
    </w:rPr>
    <w:tblPr>
      <w:tblStyleRowBandSize w:val="1"/>
      <w:tblStyleColBandSize w:val="1"/>
      <w:tblBorders>
        <w:top w:val="single" w:sz="24" w:space="0" w:color="FCECDE" w:themeColor="accent5"/>
        <w:left w:val="single" w:sz="24" w:space="0" w:color="FCECDE" w:themeColor="accent5"/>
        <w:bottom w:val="single" w:sz="24" w:space="0" w:color="FCECDE" w:themeColor="accent5"/>
        <w:right w:val="single" w:sz="24" w:space="0" w:color="FCECDE" w:themeColor="accent5"/>
      </w:tblBorders>
    </w:tblPr>
    <w:tcPr>
      <w:shd w:val="clear" w:color="auto" w:fill="FCECDE"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6">
    <w:name w:val="List Table 5 Dark Accent 6"/>
    <w:basedOn w:val="Vanligtabell"/>
    <w:uiPriority w:val="50"/>
    <w:rsid w:val="00893D2C"/>
    <w:pPr>
      <w:spacing w:after="0" w:line="240" w:lineRule="auto"/>
    </w:pPr>
    <w:rPr>
      <w:color w:val="FFFFFF" w:themeColor="background1"/>
    </w:rPr>
    <w:tblPr>
      <w:tblStyleRowBandSize w:val="1"/>
      <w:tblStyleColBandSize w:val="1"/>
      <w:tblBorders>
        <w:top w:val="single" w:sz="24" w:space="0" w:color="F2F8F8" w:themeColor="accent6"/>
        <w:left w:val="single" w:sz="24" w:space="0" w:color="F2F8F8" w:themeColor="accent6"/>
        <w:bottom w:val="single" w:sz="24" w:space="0" w:color="F2F8F8" w:themeColor="accent6"/>
        <w:right w:val="single" w:sz="24" w:space="0" w:color="F2F8F8" w:themeColor="accent6"/>
      </w:tblBorders>
    </w:tblPr>
    <w:tcPr>
      <w:shd w:val="clear" w:color="auto" w:fill="F2F8F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6fargerik">
    <w:name w:val="List Table 6 Colorful"/>
    <w:basedOn w:val="Vanligtabell"/>
    <w:uiPriority w:val="51"/>
    <w:rsid w:val="00893D2C"/>
    <w:pPr>
      <w:spacing w:after="0" w:line="240" w:lineRule="auto"/>
    </w:pPr>
    <w:rPr>
      <w:color w:val="26261E" w:themeColor="text1"/>
    </w:rPr>
    <w:tblPr>
      <w:tblStyleRowBandSize w:val="1"/>
      <w:tblStyleColBandSize w:val="1"/>
      <w:tblBorders>
        <w:top w:val="single" w:sz="4" w:space="0" w:color="26261E" w:themeColor="text1"/>
        <w:bottom w:val="single" w:sz="4" w:space="0" w:color="26261E" w:themeColor="text1"/>
      </w:tblBorders>
    </w:tblPr>
    <w:tblStylePr w:type="firstRow">
      <w:rPr>
        <w:b/>
        <w:bCs/>
      </w:rPr>
      <w:tblPr/>
      <w:tcPr>
        <w:tcBorders>
          <w:bottom w:val="single" w:sz="4" w:space="0" w:color="26261E" w:themeColor="text1"/>
        </w:tcBorders>
      </w:tcPr>
    </w:tblStylePr>
    <w:tblStylePr w:type="lastRow">
      <w:rPr>
        <w:b/>
        <w:bCs/>
      </w:rPr>
      <w:tblPr/>
      <w:tcPr>
        <w:tcBorders>
          <w:top w:val="double" w:sz="4" w:space="0" w:color="26261E" w:themeColor="text1"/>
        </w:tcBorders>
      </w:tcPr>
    </w:tblStylePr>
    <w:tblStylePr w:type="firstCol">
      <w:rPr>
        <w:b/>
        <w:bCs/>
      </w:rPr>
    </w:tblStylePr>
    <w:tblStylePr w:type="lastCol">
      <w:rPr>
        <w:b/>
        <w:bCs/>
      </w:rPr>
    </w:tblStylePr>
    <w:tblStylePr w:type="band1Vert">
      <w:tblPr/>
      <w:tcPr>
        <w:shd w:val="clear" w:color="auto" w:fill="D8D8CD" w:themeFill="text1" w:themeFillTint="33"/>
      </w:tcPr>
    </w:tblStylePr>
    <w:tblStylePr w:type="band1Horz">
      <w:tblPr/>
      <w:tcPr>
        <w:shd w:val="clear" w:color="auto" w:fill="D8D8CD" w:themeFill="text1" w:themeFillTint="33"/>
      </w:tcPr>
    </w:tblStylePr>
  </w:style>
  <w:style w:type="table" w:styleId="Listetabell6fargerikuthevingsfarge1">
    <w:name w:val="List Table 6 Colorful Accent 1"/>
    <w:basedOn w:val="Vanligtabell"/>
    <w:uiPriority w:val="51"/>
    <w:rsid w:val="00893D2C"/>
    <w:pPr>
      <w:spacing w:after="0" w:line="240" w:lineRule="auto"/>
    </w:pPr>
    <w:rPr>
      <w:color w:val="1C1C61" w:themeColor="accent1" w:themeShade="BF"/>
    </w:rPr>
    <w:tblPr>
      <w:tblStyleRowBandSize w:val="1"/>
      <w:tblStyleColBandSize w:val="1"/>
      <w:tblBorders>
        <w:top w:val="single" w:sz="4" w:space="0" w:color="262682" w:themeColor="accent1"/>
        <w:bottom w:val="single" w:sz="4" w:space="0" w:color="262682" w:themeColor="accent1"/>
      </w:tblBorders>
    </w:tblPr>
    <w:tblStylePr w:type="firstRow">
      <w:rPr>
        <w:b/>
        <w:bCs/>
      </w:rPr>
      <w:tblPr/>
      <w:tcPr>
        <w:tcBorders>
          <w:bottom w:val="single" w:sz="4" w:space="0" w:color="262682" w:themeColor="accent1"/>
        </w:tcBorders>
      </w:tcPr>
    </w:tblStylePr>
    <w:tblStylePr w:type="lastRow">
      <w:rPr>
        <w:b/>
        <w:bCs/>
      </w:rPr>
      <w:tblPr/>
      <w:tcPr>
        <w:tcBorders>
          <w:top w:val="double" w:sz="4" w:space="0" w:color="262682" w:themeColor="accent1"/>
        </w:tcBorders>
      </w:tcPr>
    </w:tblStylePr>
    <w:tblStylePr w:type="firstCol">
      <w:rPr>
        <w:b/>
        <w:bCs/>
      </w:rPr>
    </w:tblStylePr>
    <w:tblStylePr w:type="lastCol">
      <w:rPr>
        <w:b/>
        <w:bCs/>
      </w:rPr>
    </w:tblStylePr>
    <w:tblStylePr w:type="band1Vert">
      <w:tblPr/>
      <w:tcPr>
        <w:shd w:val="clear" w:color="auto" w:fill="C9C9EF" w:themeFill="accent1" w:themeFillTint="33"/>
      </w:tcPr>
    </w:tblStylePr>
    <w:tblStylePr w:type="band1Horz">
      <w:tblPr/>
      <w:tcPr>
        <w:shd w:val="clear" w:color="auto" w:fill="C9C9EF" w:themeFill="accent1" w:themeFillTint="33"/>
      </w:tcPr>
    </w:tblStylePr>
  </w:style>
  <w:style w:type="table" w:styleId="Listetabell6fargerikuthevingsfarge2">
    <w:name w:val="List Table 6 Colorful Accent 2"/>
    <w:basedOn w:val="Vanligtabell"/>
    <w:uiPriority w:val="51"/>
    <w:rsid w:val="00893D2C"/>
    <w:pPr>
      <w:spacing w:after="0" w:line="240" w:lineRule="auto"/>
    </w:pPr>
    <w:rPr>
      <w:color w:val="FF8111" w:themeColor="accent2" w:themeShade="BF"/>
    </w:rPr>
    <w:tblPr>
      <w:tblStyleRowBandSize w:val="1"/>
      <w:tblStyleColBandSize w:val="1"/>
      <w:tblBorders>
        <w:top w:val="single" w:sz="4" w:space="0" w:color="FFB26D" w:themeColor="accent2"/>
        <w:bottom w:val="single" w:sz="4" w:space="0" w:color="FFB26D" w:themeColor="accent2"/>
      </w:tblBorders>
    </w:tblPr>
    <w:tblStylePr w:type="firstRow">
      <w:rPr>
        <w:b/>
        <w:bCs/>
      </w:rPr>
      <w:tblPr/>
      <w:tcPr>
        <w:tcBorders>
          <w:bottom w:val="single" w:sz="4" w:space="0" w:color="FFB26D" w:themeColor="accent2"/>
        </w:tcBorders>
      </w:tcPr>
    </w:tblStylePr>
    <w:tblStylePr w:type="lastRow">
      <w:rPr>
        <w:b/>
        <w:bCs/>
      </w:rPr>
      <w:tblPr/>
      <w:tcPr>
        <w:tcBorders>
          <w:top w:val="double" w:sz="4" w:space="0" w:color="FFB26D" w:themeColor="accent2"/>
        </w:tcBorders>
      </w:tcPr>
    </w:tblStylePr>
    <w:tblStylePr w:type="firstCol">
      <w:rPr>
        <w:b/>
        <w:bCs/>
      </w:rPr>
    </w:tblStylePr>
    <w:tblStylePr w:type="lastCol">
      <w:rPr>
        <w:b/>
        <w:bCs/>
      </w:rPr>
    </w:tblStylePr>
    <w:tblStylePr w:type="band1Vert">
      <w:tblPr/>
      <w:tcPr>
        <w:shd w:val="clear" w:color="auto" w:fill="FFEFE1" w:themeFill="accent2" w:themeFillTint="33"/>
      </w:tcPr>
    </w:tblStylePr>
    <w:tblStylePr w:type="band1Horz">
      <w:tblPr/>
      <w:tcPr>
        <w:shd w:val="clear" w:color="auto" w:fill="FFEFE1" w:themeFill="accent2" w:themeFillTint="33"/>
      </w:tcPr>
    </w:tblStylePr>
  </w:style>
  <w:style w:type="table" w:styleId="Listetabell6fargerikuthevingsfarge3">
    <w:name w:val="List Table 6 Colorful Accent 3"/>
    <w:basedOn w:val="Vanligtabell"/>
    <w:uiPriority w:val="51"/>
    <w:rsid w:val="00893D2C"/>
    <w:pPr>
      <w:spacing w:after="0" w:line="240" w:lineRule="auto"/>
    </w:pPr>
    <w:rPr>
      <w:color w:val="2E6A71" w:themeColor="accent3" w:themeShade="BF"/>
    </w:rPr>
    <w:tblPr>
      <w:tblStyleRowBandSize w:val="1"/>
      <w:tblStyleColBandSize w:val="1"/>
      <w:tblBorders>
        <w:top w:val="single" w:sz="4" w:space="0" w:color="3E8F98" w:themeColor="accent3"/>
        <w:bottom w:val="single" w:sz="4" w:space="0" w:color="3E8F98" w:themeColor="accent3"/>
      </w:tblBorders>
    </w:tblPr>
    <w:tblStylePr w:type="firstRow">
      <w:rPr>
        <w:b/>
        <w:bCs/>
      </w:rPr>
      <w:tblPr/>
      <w:tcPr>
        <w:tcBorders>
          <w:bottom w:val="single" w:sz="4" w:space="0" w:color="3E8F98" w:themeColor="accent3"/>
        </w:tcBorders>
      </w:tcPr>
    </w:tblStylePr>
    <w:tblStylePr w:type="lastRow">
      <w:rPr>
        <w:b/>
        <w:bCs/>
      </w:rPr>
      <w:tblPr/>
      <w:tcPr>
        <w:tcBorders>
          <w:top w:val="double" w:sz="4" w:space="0" w:color="3E8F98" w:themeColor="accent3"/>
        </w:tcBorders>
      </w:tcPr>
    </w:tblStylePr>
    <w:tblStylePr w:type="firstCol">
      <w:rPr>
        <w:b/>
        <w:bCs/>
      </w:rPr>
    </w:tblStylePr>
    <w:tblStylePr w:type="lastCol">
      <w:rPr>
        <w:b/>
        <w:bCs/>
      </w:rPr>
    </w:tblStylePr>
    <w:tblStylePr w:type="band1Vert">
      <w:tblPr/>
      <w:tcPr>
        <w:shd w:val="clear" w:color="auto" w:fill="D4EBED" w:themeFill="accent3" w:themeFillTint="33"/>
      </w:tcPr>
    </w:tblStylePr>
    <w:tblStylePr w:type="band1Horz">
      <w:tblPr/>
      <w:tcPr>
        <w:shd w:val="clear" w:color="auto" w:fill="D4EBED" w:themeFill="accent3" w:themeFillTint="33"/>
      </w:tcPr>
    </w:tblStylePr>
  </w:style>
  <w:style w:type="table" w:styleId="Listetabell6fargerikuthevingsfarge4">
    <w:name w:val="List Table 6 Colorful Accent 4"/>
    <w:basedOn w:val="Vanligtabell"/>
    <w:uiPriority w:val="51"/>
    <w:rsid w:val="00893D2C"/>
    <w:pPr>
      <w:spacing w:after="0" w:line="240" w:lineRule="auto"/>
    </w:pPr>
    <w:rPr>
      <w:color w:val="1C1C16" w:themeColor="accent4" w:themeShade="BF"/>
    </w:rPr>
    <w:tblPr>
      <w:tblStyleRowBandSize w:val="1"/>
      <w:tblStyleColBandSize w:val="1"/>
      <w:tblBorders>
        <w:top w:val="single" w:sz="4" w:space="0" w:color="26261E" w:themeColor="accent4"/>
        <w:bottom w:val="single" w:sz="4" w:space="0" w:color="26261E" w:themeColor="accent4"/>
      </w:tblBorders>
    </w:tblPr>
    <w:tblStylePr w:type="firstRow">
      <w:rPr>
        <w:b/>
        <w:bCs/>
      </w:rPr>
      <w:tblPr/>
      <w:tcPr>
        <w:tcBorders>
          <w:bottom w:val="single" w:sz="4" w:space="0" w:color="26261E" w:themeColor="accent4"/>
        </w:tcBorders>
      </w:tcPr>
    </w:tblStylePr>
    <w:tblStylePr w:type="lastRow">
      <w:rPr>
        <w:b/>
        <w:bCs/>
      </w:rPr>
      <w:tblPr/>
      <w:tcPr>
        <w:tcBorders>
          <w:top w:val="double" w:sz="4" w:space="0" w:color="26261E" w:themeColor="accent4"/>
        </w:tcBorders>
      </w:tcPr>
    </w:tblStylePr>
    <w:tblStylePr w:type="firstCol">
      <w:rPr>
        <w:b/>
        <w:bCs/>
      </w:rPr>
    </w:tblStylePr>
    <w:tblStylePr w:type="lastCol">
      <w:rPr>
        <w:b/>
        <w:bCs/>
      </w:rPr>
    </w:tblStylePr>
    <w:tblStylePr w:type="band1Vert">
      <w:tblPr/>
      <w:tcPr>
        <w:shd w:val="clear" w:color="auto" w:fill="D8D8CD" w:themeFill="accent4" w:themeFillTint="33"/>
      </w:tcPr>
    </w:tblStylePr>
    <w:tblStylePr w:type="band1Horz">
      <w:tblPr/>
      <w:tcPr>
        <w:shd w:val="clear" w:color="auto" w:fill="D8D8CD" w:themeFill="accent4" w:themeFillTint="33"/>
      </w:tcPr>
    </w:tblStylePr>
  </w:style>
  <w:style w:type="table" w:styleId="Listetabell6fargerikuthevingsfarge5">
    <w:name w:val="List Table 6 Colorful Accent 5"/>
    <w:basedOn w:val="Vanligtabell"/>
    <w:uiPriority w:val="51"/>
    <w:rsid w:val="00893D2C"/>
    <w:pPr>
      <w:spacing w:after="0" w:line="240" w:lineRule="auto"/>
    </w:pPr>
    <w:rPr>
      <w:color w:val="F2AD70" w:themeColor="accent5" w:themeShade="BF"/>
    </w:rPr>
    <w:tblPr>
      <w:tblStyleRowBandSize w:val="1"/>
      <w:tblStyleColBandSize w:val="1"/>
      <w:tblBorders>
        <w:top w:val="single" w:sz="4" w:space="0" w:color="FCECDE" w:themeColor="accent5"/>
        <w:bottom w:val="single" w:sz="4" w:space="0" w:color="FCECDE" w:themeColor="accent5"/>
      </w:tblBorders>
    </w:tblPr>
    <w:tblStylePr w:type="firstRow">
      <w:rPr>
        <w:b/>
        <w:bCs/>
      </w:rPr>
      <w:tblPr/>
      <w:tcPr>
        <w:tcBorders>
          <w:bottom w:val="single" w:sz="4" w:space="0" w:color="FCECDE" w:themeColor="accent5"/>
        </w:tcBorders>
      </w:tcPr>
    </w:tblStylePr>
    <w:tblStylePr w:type="lastRow">
      <w:rPr>
        <w:b/>
        <w:bCs/>
      </w:rPr>
      <w:tblPr/>
      <w:tcPr>
        <w:tcBorders>
          <w:top w:val="double" w:sz="4" w:space="0" w:color="FCECDE" w:themeColor="accent5"/>
        </w:tcBorders>
      </w:tcPr>
    </w:tblStylePr>
    <w:tblStylePr w:type="firstCol">
      <w:rPr>
        <w:b/>
        <w:bCs/>
      </w:rPr>
    </w:tblStylePr>
    <w:tblStylePr w:type="lastCol">
      <w:rPr>
        <w:b/>
        <w:bCs/>
      </w:rPr>
    </w:tblStylePr>
    <w:tblStylePr w:type="band1Vert">
      <w:tblPr/>
      <w:tcPr>
        <w:shd w:val="clear" w:color="auto" w:fill="FEFBF8" w:themeFill="accent5" w:themeFillTint="33"/>
      </w:tcPr>
    </w:tblStylePr>
    <w:tblStylePr w:type="band1Horz">
      <w:tblPr/>
      <w:tcPr>
        <w:shd w:val="clear" w:color="auto" w:fill="FEFBF8" w:themeFill="accent5" w:themeFillTint="33"/>
      </w:tcPr>
    </w:tblStylePr>
  </w:style>
  <w:style w:type="table" w:styleId="Listetabell6fargerikuthevingsfarge6">
    <w:name w:val="List Table 6 Colorful Accent 6"/>
    <w:basedOn w:val="Vanligtabell"/>
    <w:uiPriority w:val="51"/>
    <w:rsid w:val="00893D2C"/>
    <w:pPr>
      <w:spacing w:after="0" w:line="240" w:lineRule="auto"/>
    </w:pPr>
    <w:rPr>
      <w:color w:val="A2CDCD" w:themeColor="accent6" w:themeShade="BF"/>
    </w:rPr>
    <w:tblPr>
      <w:tblStyleRowBandSize w:val="1"/>
      <w:tblStyleColBandSize w:val="1"/>
      <w:tblBorders>
        <w:top w:val="single" w:sz="4" w:space="0" w:color="F2F8F8" w:themeColor="accent6"/>
        <w:bottom w:val="single" w:sz="4" w:space="0" w:color="F2F8F8" w:themeColor="accent6"/>
      </w:tblBorders>
    </w:tblPr>
    <w:tblStylePr w:type="firstRow">
      <w:rPr>
        <w:b/>
        <w:bCs/>
      </w:rPr>
      <w:tblPr/>
      <w:tcPr>
        <w:tcBorders>
          <w:bottom w:val="single" w:sz="4" w:space="0" w:color="F2F8F8" w:themeColor="accent6"/>
        </w:tcBorders>
      </w:tcPr>
    </w:tblStylePr>
    <w:tblStylePr w:type="lastRow">
      <w:rPr>
        <w:b/>
        <w:bCs/>
      </w:rPr>
      <w:tblPr/>
      <w:tcPr>
        <w:tcBorders>
          <w:top w:val="double" w:sz="4" w:space="0" w:color="F2F8F8" w:themeColor="accent6"/>
        </w:tcBorders>
      </w:tcPr>
    </w:tblStylePr>
    <w:tblStylePr w:type="firstCol">
      <w:rPr>
        <w:b/>
        <w:bCs/>
      </w:rPr>
    </w:tblStylePr>
    <w:tblStylePr w:type="lastCol">
      <w:rPr>
        <w:b/>
        <w:bCs/>
      </w:rPr>
    </w:tblStylePr>
    <w:tblStylePr w:type="band1Vert">
      <w:tblPr/>
      <w:tcPr>
        <w:shd w:val="clear" w:color="auto" w:fill="FCFDFD" w:themeFill="accent6" w:themeFillTint="33"/>
      </w:tcPr>
    </w:tblStylePr>
    <w:tblStylePr w:type="band1Horz">
      <w:tblPr/>
      <w:tcPr>
        <w:shd w:val="clear" w:color="auto" w:fill="FCFDFD" w:themeFill="accent6" w:themeFillTint="33"/>
      </w:tcPr>
    </w:tblStylePr>
  </w:style>
  <w:style w:type="table" w:styleId="Listetabell7fargerik">
    <w:name w:val="List Table 7 Colorful"/>
    <w:basedOn w:val="Vanligtabell"/>
    <w:uiPriority w:val="52"/>
    <w:rsid w:val="00893D2C"/>
    <w:pPr>
      <w:spacing w:after="0" w:line="240" w:lineRule="auto"/>
    </w:pPr>
    <w:rPr>
      <w:color w:val="26261E"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6261E"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6261E"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6261E"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6261E" w:themeColor="text1"/>
        </w:tcBorders>
        <w:shd w:val="clear" w:color="auto" w:fill="FFFFFF" w:themeFill="background1"/>
      </w:tcPr>
    </w:tblStylePr>
    <w:tblStylePr w:type="band1Vert">
      <w:tblPr/>
      <w:tcPr>
        <w:shd w:val="clear" w:color="auto" w:fill="D8D8CD" w:themeFill="text1" w:themeFillTint="33"/>
      </w:tcPr>
    </w:tblStylePr>
    <w:tblStylePr w:type="band1Horz">
      <w:tblPr/>
      <w:tcPr>
        <w:shd w:val="clear" w:color="auto" w:fill="D8D8CD"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1">
    <w:name w:val="List Table 7 Colorful Accent 1"/>
    <w:basedOn w:val="Vanligtabell"/>
    <w:uiPriority w:val="52"/>
    <w:rsid w:val="00893D2C"/>
    <w:pPr>
      <w:spacing w:after="0" w:line="240" w:lineRule="auto"/>
    </w:pPr>
    <w:rPr>
      <w:color w:val="1C1C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626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626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626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62682" w:themeColor="accent1"/>
        </w:tcBorders>
        <w:shd w:val="clear" w:color="auto" w:fill="FFFFFF" w:themeFill="background1"/>
      </w:tcPr>
    </w:tblStylePr>
    <w:tblStylePr w:type="band1Vert">
      <w:tblPr/>
      <w:tcPr>
        <w:shd w:val="clear" w:color="auto" w:fill="C9C9EF" w:themeFill="accent1" w:themeFillTint="33"/>
      </w:tcPr>
    </w:tblStylePr>
    <w:tblStylePr w:type="band1Horz">
      <w:tblPr/>
      <w:tcPr>
        <w:shd w:val="clear" w:color="auto" w:fill="C9C9E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2">
    <w:name w:val="List Table 7 Colorful Accent 2"/>
    <w:basedOn w:val="Vanligtabell"/>
    <w:uiPriority w:val="52"/>
    <w:rsid w:val="00893D2C"/>
    <w:pPr>
      <w:spacing w:after="0" w:line="240" w:lineRule="auto"/>
    </w:pPr>
    <w:rPr>
      <w:color w:val="FF81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B26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B26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B26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B26D" w:themeColor="accent2"/>
        </w:tcBorders>
        <w:shd w:val="clear" w:color="auto" w:fill="FFFFFF" w:themeFill="background1"/>
      </w:tcPr>
    </w:tblStylePr>
    <w:tblStylePr w:type="band1Vert">
      <w:tblPr/>
      <w:tcPr>
        <w:shd w:val="clear" w:color="auto" w:fill="FFEFE1" w:themeFill="accent2" w:themeFillTint="33"/>
      </w:tcPr>
    </w:tblStylePr>
    <w:tblStylePr w:type="band1Horz">
      <w:tblPr/>
      <w:tcPr>
        <w:shd w:val="clear" w:color="auto" w:fill="FFEFE1"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3">
    <w:name w:val="List Table 7 Colorful Accent 3"/>
    <w:basedOn w:val="Vanligtabell"/>
    <w:uiPriority w:val="52"/>
    <w:rsid w:val="00893D2C"/>
    <w:pPr>
      <w:spacing w:after="0" w:line="240" w:lineRule="auto"/>
    </w:pPr>
    <w:rPr>
      <w:color w:val="2E6A71"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E8F9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E8F9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E8F9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E8F98" w:themeColor="accent3"/>
        </w:tcBorders>
        <w:shd w:val="clear" w:color="auto" w:fill="FFFFFF" w:themeFill="background1"/>
      </w:tcPr>
    </w:tblStylePr>
    <w:tblStylePr w:type="band1Vert">
      <w:tblPr/>
      <w:tcPr>
        <w:shd w:val="clear" w:color="auto" w:fill="D4EBED" w:themeFill="accent3" w:themeFillTint="33"/>
      </w:tcPr>
    </w:tblStylePr>
    <w:tblStylePr w:type="band1Horz">
      <w:tblPr/>
      <w:tcPr>
        <w:shd w:val="clear" w:color="auto" w:fill="D4EB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4">
    <w:name w:val="List Table 7 Colorful Accent 4"/>
    <w:basedOn w:val="Vanligtabell"/>
    <w:uiPriority w:val="52"/>
    <w:rsid w:val="00893D2C"/>
    <w:pPr>
      <w:spacing w:after="0" w:line="240" w:lineRule="auto"/>
    </w:pPr>
    <w:rPr>
      <w:color w:val="1C1C16"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6261E"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6261E"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6261E"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6261E" w:themeColor="accent4"/>
        </w:tcBorders>
        <w:shd w:val="clear" w:color="auto" w:fill="FFFFFF" w:themeFill="background1"/>
      </w:tcPr>
    </w:tblStylePr>
    <w:tblStylePr w:type="band1Vert">
      <w:tblPr/>
      <w:tcPr>
        <w:shd w:val="clear" w:color="auto" w:fill="D8D8CD" w:themeFill="accent4" w:themeFillTint="33"/>
      </w:tcPr>
    </w:tblStylePr>
    <w:tblStylePr w:type="band1Horz">
      <w:tblPr/>
      <w:tcPr>
        <w:shd w:val="clear" w:color="auto" w:fill="D8D8C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5">
    <w:name w:val="List Table 7 Colorful Accent 5"/>
    <w:basedOn w:val="Vanligtabell"/>
    <w:uiPriority w:val="52"/>
    <w:rsid w:val="00893D2C"/>
    <w:pPr>
      <w:spacing w:after="0" w:line="240" w:lineRule="auto"/>
    </w:pPr>
    <w:rPr>
      <w:color w:val="F2AD7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CECDE"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CECDE"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CECDE"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CECDE" w:themeColor="accent5"/>
        </w:tcBorders>
        <w:shd w:val="clear" w:color="auto" w:fill="FFFFFF" w:themeFill="background1"/>
      </w:tcPr>
    </w:tblStylePr>
    <w:tblStylePr w:type="band1Vert">
      <w:tblPr/>
      <w:tcPr>
        <w:shd w:val="clear" w:color="auto" w:fill="FEFBF8" w:themeFill="accent5" w:themeFillTint="33"/>
      </w:tcPr>
    </w:tblStylePr>
    <w:tblStylePr w:type="band1Horz">
      <w:tblPr/>
      <w:tcPr>
        <w:shd w:val="clear" w:color="auto" w:fill="FEFBF8"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6">
    <w:name w:val="List Table 7 Colorful Accent 6"/>
    <w:basedOn w:val="Vanligtabell"/>
    <w:uiPriority w:val="52"/>
    <w:rsid w:val="00893D2C"/>
    <w:pPr>
      <w:spacing w:after="0" w:line="240" w:lineRule="auto"/>
    </w:pPr>
    <w:rPr>
      <w:color w:val="A2CDCD"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2F8F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2F8F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2F8F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2F8F8" w:themeColor="accent6"/>
        </w:tcBorders>
        <w:shd w:val="clear" w:color="auto" w:fill="FFFFFF" w:themeFill="background1"/>
      </w:tcPr>
    </w:tblStylePr>
    <w:tblStylePr w:type="band1Vert">
      <w:tblPr/>
      <w:tcPr>
        <w:shd w:val="clear" w:color="auto" w:fill="FCFDFD" w:themeFill="accent6" w:themeFillTint="33"/>
      </w:tcPr>
    </w:tblStylePr>
    <w:tblStylePr w:type="band1Horz">
      <w:tblPr/>
      <w:tcPr>
        <w:shd w:val="clear" w:color="auto" w:fill="FCFDF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ysliste">
    <w:name w:val="Light List"/>
    <w:basedOn w:val="Vanligtabell"/>
    <w:uiPriority w:val="61"/>
    <w:semiHidden/>
    <w:unhideWhenUsed/>
    <w:rsid w:val="00893D2C"/>
    <w:pPr>
      <w:spacing w:after="0" w:line="240" w:lineRule="auto"/>
    </w:pPr>
    <w:tblPr>
      <w:tblStyleRowBandSize w:val="1"/>
      <w:tblStyleColBandSize w:val="1"/>
      <w:tblBorders>
        <w:top w:val="single" w:sz="8" w:space="0" w:color="26261E" w:themeColor="text1"/>
        <w:left w:val="single" w:sz="8" w:space="0" w:color="26261E" w:themeColor="text1"/>
        <w:bottom w:val="single" w:sz="8" w:space="0" w:color="26261E" w:themeColor="text1"/>
        <w:right w:val="single" w:sz="8" w:space="0" w:color="26261E" w:themeColor="text1"/>
      </w:tblBorders>
    </w:tblPr>
    <w:tblStylePr w:type="firstRow">
      <w:pPr>
        <w:spacing w:before="0" w:after="0" w:line="240" w:lineRule="auto"/>
      </w:pPr>
      <w:rPr>
        <w:b/>
        <w:bCs/>
        <w:color w:val="FFFFFF" w:themeColor="background1"/>
      </w:rPr>
      <w:tblPr/>
      <w:tcPr>
        <w:shd w:val="clear" w:color="auto" w:fill="26261E" w:themeFill="text1"/>
      </w:tcPr>
    </w:tblStylePr>
    <w:tblStylePr w:type="lastRow">
      <w:pPr>
        <w:spacing w:before="0" w:after="0" w:line="240" w:lineRule="auto"/>
      </w:pPr>
      <w:rPr>
        <w:b/>
        <w:bCs/>
      </w:rPr>
      <w:tblPr/>
      <w:tcPr>
        <w:tcBorders>
          <w:top w:val="double" w:sz="6" w:space="0" w:color="26261E" w:themeColor="text1"/>
          <w:left w:val="single" w:sz="8" w:space="0" w:color="26261E" w:themeColor="text1"/>
          <w:bottom w:val="single" w:sz="8" w:space="0" w:color="26261E" w:themeColor="text1"/>
          <w:right w:val="single" w:sz="8" w:space="0" w:color="26261E" w:themeColor="text1"/>
        </w:tcBorders>
      </w:tcPr>
    </w:tblStylePr>
    <w:tblStylePr w:type="firstCol">
      <w:rPr>
        <w:b/>
        <w:bCs/>
      </w:rPr>
    </w:tblStylePr>
    <w:tblStylePr w:type="lastCol">
      <w:rPr>
        <w:b/>
        <w:bCs/>
      </w:rPr>
    </w:tblStylePr>
    <w:tblStylePr w:type="band1Vert">
      <w:tblPr/>
      <w:tcPr>
        <w:tcBorders>
          <w:top w:val="single" w:sz="8" w:space="0" w:color="26261E" w:themeColor="text1"/>
          <w:left w:val="single" w:sz="8" w:space="0" w:color="26261E" w:themeColor="text1"/>
          <w:bottom w:val="single" w:sz="8" w:space="0" w:color="26261E" w:themeColor="text1"/>
          <w:right w:val="single" w:sz="8" w:space="0" w:color="26261E" w:themeColor="text1"/>
        </w:tcBorders>
      </w:tcPr>
    </w:tblStylePr>
    <w:tblStylePr w:type="band1Horz">
      <w:tblPr/>
      <w:tcPr>
        <w:tcBorders>
          <w:top w:val="single" w:sz="8" w:space="0" w:color="26261E" w:themeColor="text1"/>
          <w:left w:val="single" w:sz="8" w:space="0" w:color="26261E" w:themeColor="text1"/>
          <w:bottom w:val="single" w:sz="8" w:space="0" w:color="26261E" w:themeColor="text1"/>
          <w:right w:val="single" w:sz="8" w:space="0" w:color="26261E" w:themeColor="text1"/>
        </w:tcBorders>
      </w:tcPr>
    </w:tblStylePr>
  </w:style>
  <w:style w:type="table" w:styleId="Lyslisteuthevingsfarge1">
    <w:name w:val="Light List Accent 1"/>
    <w:basedOn w:val="Vanligtabell"/>
    <w:uiPriority w:val="61"/>
    <w:semiHidden/>
    <w:unhideWhenUsed/>
    <w:rsid w:val="00893D2C"/>
    <w:pPr>
      <w:spacing w:after="0" w:line="240" w:lineRule="auto"/>
    </w:pPr>
    <w:tblPr>
      <w:tblStyleRowBandSize w:val="1"/>
      <w:tblStyleColBandSize w:val="1"/>
      <w:tblBorders>
        <w:top w:val="single" w:sz="8" w:space="0" w:color="262682" w:themeColor="accent1"/>
        <w:left w:val="single" w:sz="8" w:space="0" w:color="262682" w:themeColor="accent1"/>
        <w:bottom w:val="single" w:sz="8" w:space="0" w:color="262682" w:themeColor="accent1"/>
        <w:right w:val="single" w:sz="8" w:space="0" w:color="262682" w:themeColor="accent1"/>
      </w:tblBorders>
    </w:tblPr>
    <w:tblStylePr w:type="firstRow">
      <w:pPr>
        <w:spacing w:before="0" w:after="0" w:line="240" w:lineRule="auto"/>
      </w:pPr>
      <w:rPr>
        <w:b/>
        <w:bCs/>
        <w:color w:val="FFFFFF" w:themeColor="background1"/>
      </w:rPr>
      <w:tblPr/>
      <w:tcPr>
        <w:shd w:val="clear" w:color="auto" w:fill="262682" w:themeFill="accent1"/>
      </w:tcPr>
    </w:tblStylePr>
    <w:tblStylePr w:type="lastRow">
      <w:pPr>
        <w:spacing w:before="0" w:after="0" w:line="240" w:lineRule="auto"/>
      </w:pPr>
      <w:rPr>
        <w:b/>
        <w:bCs/>
      </w:rPr>
      <w:tblPr/>
      <w:tcPr>
        <w:tcBorders>
          <w:top w:val="double" w:sz="6" w:space="0" w:color="262682" w:themeColor="accent1"/>
          <w:left w:val="single" w:sz="8" w:space="0" w:color="262682" w:themeColor="accent1"/>
          <w:bottom w:val="single" w:sz="8" w:space="0" w:color="262682" w:themeColor="accent1"/>
          <w:right w:val="single" w:sz="8" w:space="0" w:color="262682" w:themeColor="accent1"/>
        </w:tcBorders>
      </w:tcPr>
    </w:tblStylePr>
    <w:tblStylePr w:type="firstCol">
      <w:rPr>
        <w:b/>
        <w:bCs/>
      </w:rPr>
    </w:tblStylePr>
    <w:tblStylePr w:type="lastCol">
      <w:rPr>
        <w:b/>
        <w:bCs/>
      </w:rPr>
    </w:tblStylePr>
    <w:tblStylePr w:type="band1Vert">
      <w:tblPr/>
      <w:tcPr>
        <w:tcBorders>
          <w:top w:val="single" w:sz="8" w:space="0" w:color="262682" w:themeColor="accent1"/>
          <w:left w:val="single" w:sz="8" w:space="0" w:color="262682" w:themeColor="accent1"/>
          <w:bottom w:val="single" w:sz="8" w:space="0" w:color="262682" w:themeColor="accent1"/>
          <w:right w:val="single" w:sz="8" w:space="0" w:color="262682" w:themeColor="accent1"/>
        </w:tcBorders>
      </w:tcPr>
    </w:tblStylePr>
    <w:tblStylePr w:type="band1Horz">
      <w:tblPr/>
      <w:tcPr>
        <w:tcBorders>
          <w:top w:val="single" w:sz="8" w:space="0" w:color="262682" w:themeColor="accent1"/>
          <w:left w:val="single" w:sz="8" w:space="0" w:color="262682" w:themeColor="accent1"/>
          <w:bottom w:val="single" w:sz="8" w:space="0" w:color="262682" w:themeColor="accent1"/>
          <w:right w:val="single" w:sz="8" w:space="0" w:color="262682" w:themeColor="accent1"/>
        </w:tcBorders>
      </w:tcPr>
    </w:tblStylePr>
  </w:style>
  <w:style w:type="table" w:styleId="Lyslisteuthevingsfarge2">
    <w:name w:val="Light List Accent 2"/>
    <w:basedOn w:val="Vanligtabell"/>
    <w:uiPriority w:val="61"/>
    <w:semiHidden/>
    <w:unhideWhenUsed/>
    <w:rsid w:val="00893D2C"/>
    <w:pPr>
      <w:spacing w:after="0" w:line="240" w:lineRule="auto"/>
    </w:pPr>
    <w:tblPr>
      <w:tblStyleRowBandSize w:val="1"/>
      <w:tblStyleColBandSize w:val="1"/>
      <w:tblBorders>
        <w:top w:val="single" w:sz="8" w:space="0" w:color="FFB26D" w:themeColor="accent2"/>
        <w:left w:val="single" w:sz="8" w:space="0" w:color="FFB26D" w:themeColor="accent2"/>
        <w:bottom w:val="single" w:sz="8" w:space="0" w:color="FFB26D" w:themeColor="accent2"/>
        <w:right w:val="single" w:sz="8" w:space="0" w:color="FFB26D" w:themeColor="accent2"/>
      </w:tblBorders>
    </w:tblPr>
    <w:tblStylePr w:type="firstRow">
      <w:pPr>
        <w:spacing w:before="0" w:after="0" w:line="240" w:lineRule="auto"/>
      </w:pPr>
      <w:rPr>
        <w:b/>
        <w:bCs/>
        <w:color w:val="FFFFFF" w:themeColor="background1"/>
      </w:rPr>
      <w:tblPr/>
      <w:tcPr>
        <w:shd w:val="clear" w:color="auto" w:fill="FFB26D" w:themeFill="accent2"/>
      </w:tcPr>
    </w:tblStylePr>
    <w:tblStylePr w:type="lastRow">
      <w:pPr>
        <w:spacing w:before="0" w:after="0" w:line="240" w:lineRule="auto"/>
      </w:pPr>
      <w:rPr>
        <w:b/>
        <w:bCs/>
      </w:rPr>
      <w:tblPr/>
      <w:tcPr>
        <w:tcBorders>
          <w:top w:val="double" w:sz="6" w:space="0" w:color="FFB26D" w:themeColor="accent2"/>
          <w:left w:val="single" w:sz="8" w:space="0" w:color="FFB26D" w:themeColor="accent2"/>
          <w:bottom w:val="single" w:sz="8" w:space="0" w:color="FFB26D" w:themeColor="accent2"/>
          <w:right w:val="single" w:sz="8" w:space="0" w:color="FFB26D" w:themeColor="accent2"/>
        </w:tcBorders>
      </w:tcPr>
    </w:tblStylePr>
    <w:tblStylePr w:type="firstCol">
      <w:rPr>
        <w:b/>
        <w:bCs/>
      </w:rPr>
    </w:tblStylePr>
    <w:tblStylePr w:type="lastCol">
      <w:rPr>
        <w:b/>
        <w:bCs/>
      </w:rPr>
    </w:tblStylePr>
    <w:tblStylePr w:type="band1Vert">
      <w:tblPr/>
      <w:tcPr>
        <w:tcBorders>
          <w:top w:val="single" w:sz="8" w:space="0" w:color="FFB26D" w:themeColor="accent2"/>
          <w:left w:val="single" w:sz="8" w:space="0" w:color="FFB26D" w:themeColor="accent2"/>
          <w:bottom w:val="single" w:sz="8" w:space="0" w:color="FFB26D" w:themeColor="accent2"/>
          <w:right w:val="single" w:sz="8" w:space="0" w:color="FFB26D" w:themeColor="accent2"/>
        </w:tcBorders>
      </w:tcPr>
    </w:tblStylePr>
    <w:tblStylePr w:type="band1Horz">
      <w:tblPr/>
      <w:tcPr>
        <w:tcBorders>
          <w:top w:val="single" w:sz="8" w:space="0" w:color="FFB26D" w:themeColor="accent2"/>
          <w:left w:val="single" w:sz="8" w:space="0" w:color="FFB26D" w:themeColor="accent2"/>
          <w:bottom w:val="single" w:sz="8" w:space="0" w:color="FFB26D" w:themeColor="accent2"/>
          <w:right w:val="single" w:sz="8" w:space="0" w:color="FFB26D" w:themeColor="accent2"/>
        </w:tcBorders>
      </w:tcPr>
    </w:tblStylePr>
  </w:style>
  <w:style w:type="table" w:styleId="Lyslisteuthevingsfarge3">
    <w:name w:val="Light List Accent 3"/>
    <w:basedOn w:val="Vanligtabell"/>
    <w:uiPriority w:val="61"/>
    <w:semiHidden/>
    <w:unhideWhenUsed/>
    <w:rsid w:val="00893D2C"/>
    <w:pPr>
      <w:spacing w:after="0" w:line="240" w:lineRule="auto"/>
    </w:pPr>
    <w:tblPr>
      <w:tblStyleRowBandSize w:val="1"/>
      <w:tblStyleColBandSize w:val="1"/>
      <w:tblBorders>
        <w:top w:val="single" w:sz="8" w:space="0" w:color="3E8F98" w:themeColor="accent3"/>
        <w:left w:val="single" w:sz="8" w:space="0" w:color="3E8F98" w:themeColor="accent3"/>
        <w:bottom w:val="single" w:sz="8" w:space="0" w:color="3E8F98" w:themeColor="accent3"/>
        <w:right w:val="single" w:sz="8" w:space="0" w:color="3E8F98" w:themeColor="accent3"/>
      </w:tblBorders>
    </w:tblPr>
    <w:tblStylePr w:type="firstRow">
      <w:pPr>
        <w:spacing w:before="0" w:after="0" w:line="240" w:lineRule="auto"/>
      </w:pPr>
      <w:rPr>
        <w:b/>
        <w:bCs/>
        <w:color w:val="FFFFFF" w:themeColor="background1"/>
      </w:rPr>
      <w:tblPr/>
      <w:tcPr>
        <w:shd w:val="clear" w:color="auto" w:fill="3E8F98" w:themeFill="accent3"/>
      </w:tcPr>
    </w:tblStylePr>
    <w:tblStylePr w:type="lastRow">
      <w:pPr>
        <w:spacing w:before="0" w:after="0" w:line="240" w:lineRule="auto"/>
      </w:pPr>
      <w:rPr>
        <w:b/>
        <w:bCs/>
      </w:rPr>
      <w:tblPr/>
      <w:tcPr>
        <w:tcBorders>
          <w:top w:val="double" w:sz="6" w:space="0" w:color="3E8F98" w:themeColor="accent3"/>
          <w:left w:val="single" w:sz="8" w:space="0" w:color="3E8F98" w:themeColor="accent3"/>
          <w:bottom w:val="single" w:sz="8" w:space="0" w:color="3E8F98" w:themeColor="accent3"/>
          <w:right w:val="single" w:sz="8" w:space="0" w:color="3E8F98" w:themeColor="accent3"/>
        </w:tcBorders>
      </w:tcPr>
    </w:tblStylePr>
    <w:tblStylePr w:type="firstCol">
      <w:rPr>
        <w:b/>
        <w:bCs/>
      </w:rPr>
    </w:tblStylePr>
    <w:tblStylePr w:type="lastCol">
      <w:rPr>
        <w:b/>
        <w:bCs/>
      </w:rPr>
    </w:tblStylePr>
    <w:tblStylePr w:type="band1Vert">
      <w:tblPr/>
      <w:tcPr>
        <w:tcBorders>
          <w:top w:val="single" w:sz="8" w:space="0" w:color="3E8F98" w:themeColor="accent3"/>
          <w:left w:val="single" w:sz="8" w:space="0" w:color="3E8F98" w:themeColor="accent3"/>
          <w:bottom w:val="single" w:sz="8" w:space="0" w:color="3E8F98" w:themeColor="accent3"/>
          <w:right w:val="single" w:sz="8" w:space="0" w:color="3E8F98" w:themeColor="accent3"/>
        </w:tcBorders>
      </w:tcPr>
    </w:tblStylePr>
    <w:tblStylePr w:type="band1Horz">
      <w:tblPr/>
      <w:tcPr>
        <w:tcBorders>
          <w:top w:val="single" w:sz="8" w:space="0" w:color="3E8F98" w:themeColor="accent3"/>
          <w:left w:val="single" w:sz="8" w:space="0" w:color="3E8F98" w:themeColor="accent3"/>
          <w:bottom w:val="single" w:sz="8" w:space="0" w:color="3E8F98" w:themeColor="accent3"/>
          <w:right w:val="single" w:sz="8" w:space="0" w:color="3E8F98" w:themeColor="accent3"/>
        </w:tcBorders>
      </w:tcPr>
    </w:tblStylePr>
  </w:style>
  <w:style w:type="table" w:styleId="Lyslisteuthevingsfarge4">
    <w:name w:val="Light List Accent 4"/>
    <w:basedOn w:val="Vanligtabell"/>
    <w:uiPriority w:val="61"/>
    <w:semiHidden/>
    <w:unhideWhenUsed/>
    <w:rsid w:val="00893D2C"/>
    <w:pPr>
      <w:spacing w:after="0" w:line="240" w:lineRule="auto"/>
    </w:pPr>
    <w:tblPr>
      <w:tblStyleRowBandSize w:val="1"/>
      <w:tblStyleColBandSize w:val="1"/>
      <w:tblBorders>
        <w:top w:val="single" w:sz="8" w:space="0" w:color="26261E" w:themeColor="accent4"/>
        <w:left w:val="single" w:sz="8" w:space="0" w:color="26261E" w:themeColor="accent4"/>
        <w:bottom w:val="single" w:sz="8" w:space="0" w:color="26261E" w:themeColor="accent4"/>
        <w:right w:val="single" w:sz="8" w:space="0" w:color="26261E" w:themeColor="accent4"/>
      </w:tblBorders>
    </w:tblPr>
    <w:tblStylePr w:type="firstRow">
      <w:pPr>
        <w:spacing w:before="0" w:after="0" w:line="240" w:lineRule="auto"/>
      </w:pPr>
      <w:rPr>
        <w:b/>
        <w:bCs/>
        <w:color w:val="FFFFFF" w:themeColor="background1"/>
      </w:rPr>
      <w:tblPr/>
      <w:tcPr>
        <w:shd w:val="clear" w:color="auto" w:fill="26261E" w:themeFill="accent4"/>
      </w:tcPr>
    </w:tblStylePr>
    <w:tblStylePr w:type="lastRow">
      <w:pPr>
        <w:spacing w:before="0" w:after="0" w:line="240" w:lineRule="auto"/>
      </w:pPr>
      <w:rPr>
        <w:b/>
        <w:bCs/>
      </w:rPr>
      <w:tblPr/>
      <w:tcPr>
        <w:tcBorders>
          <w:top w:val="double" w:sz="6" w:space="0" w:color="26261E" w:themeColor="accent4"/>
          <w:left w:val="single" w:sz="8" w:space="0" w:color="26261E" w:themeColor="accent4"/>
          <w:bottom w:val="single" w:sz="8" w:space="0" w:color="26261E" w:themeColor="accent4"/>
          <w:right w:val="single" w:sz="8" w:space="0" w:color="26261E" w:themeColor="accent4"/>
        </w:tcBorders>
      </w:tcPr>
    </w:tblStylePr>
    <w:tblStylePr w:type="firstCol">
      <w:rPr>
        <w:b/>
        <w:bCs/>
      </w:rPr>
    </w:tblStylePr>
    <w:tblStylePr w:type="lastCol">
      <w:rPr>
        <w:b/>
        <w:bCs/>
      </w:rPr>
    </w:tblStylePr>
    <w:tblStylePr w:type="band1Vert">
      <w:tblPr/>
      <w:tcPr>
        <w:tcBorders>
          <w:top w:val="single" w:sz="8" w:space="0" w:color="26261E" w:themeColor="accent4"/>
          <w:left w:val="single" w:sz="8" w:space="0" w:color="26261E" w:themeColor="accent4"/>
          <w:bottom w:val="single" w:sz="8" w:space="0" w:color="26261E" w:themeColor="accent4"/>
          <w:right w:val="single" w:sz="8" w:space="0" w:color="26261E" w:themeColor="accent4"/>
        </w:tcBorders>
      </w:tcPr>
    </w:tblStylePr>
    <w:tblStylePr w:type="band1Horz">
      <w:tblPr/>
      <w:tcPr>
        <w:tcBorders>
          <w:top w:val="single" w:sz="8" w:space="0" w:color="26261E" w:themeColor="accent4"/>
          <w:left w:val="single" w:sz="8" w:space="0" w:color="26261E" w:themeColor="accent4"/>
          <w:bottom w:val="single" w:sz="8" w:space="0" w:color="26261E" w:themeColor="accent4"/>
          <w:right w:val="single" w:sz="8" w:space="0" w:color="26261E" w:themeColor="accent4"/>
        </w:tcBorders>
      </w:tcPr>
    </w:tblStylePr>
  </w:style>
  <w:style w:type="table" w:styleId="Lyslisteuthevingsfarge5">
    <w:name w:val="Light List Accent 5"/>
    <w:basedOn w:val="Vanligtabell"/>
    <w:uiPriority w:val="61"/>
    <w:semiHidden/>
    <w:unhideWhenUsed/>
    <w:rsid w:val="00893D2C"/>
    <w:pPr>
      <w:spacing w:after="0" w:line="240" w:lineRule="auto"/>
    </w:pPr>
    <w:tblPr>
      <w:tblStyleRowBandSize w:val="1"/>
      <w:tblStyleColBandSize w:val="1"/>
      <w:tblBorders>
        <w:top w:val="single" w:sz="8" w:space="0" w:color="FCECDE" w:themeColor="accent5"/>
        <w:left w:val="single" w:sz="8" w:space="0" w:color="FCECDE" w:themeColor="accent5"/>
        <w:bottom w:val="single" w:sz="8" w:space="0" w:color="FCECDE" w:themeColor="accent5"/>
        <w:right w:val="single" w:sz="8" w:space="0" w:color="FCECDE" w:themeColor="accent5"/>
      </w:tblBorders>
    </w:tblPr>
    <w:tblStylePr w:type="firstRow">
      <w:pPr>
        <w:spacing w:before="0" w:after="0" w:line="240" w:lineRule="auto"/>
      </w:pPr>
      <w:rPr>
        <w:b/>
        <w:bCs/>
        <w:color w:val="FFFFFF" w:themeColor="background1"/>
      </w:rPr>
      <w:tblPr/>
      <w:tcPr>
        <w:shd w:val="clear" w:color="auto" w:fill="FCECDE" w:themeFill="accent5"/>
      </w:tcPr>
    </w:tblStylePr>
    <w:tblStylePr w:type="lastRow">
      <w:pPr>
        <w:spacing w:before="0" w:after="0" w:line="240" w:lineRule="auto"/>
      </w:pPr>
      <w:rPr>
        <w:b/>
        <w:bCs/>
      </w:rPr>
      <w:tblPr/>
      <w:tcPr>
        <w:tcBorders>
          <w:top w:val="double" w:sz="6" w:space="0" w:color="FCECDE" w:themeColor="accent5"/>
          <w:left w:val="single" w:sz="8" w:space="0" w:color="FCECDE" w:themeColor="accent5"/>
          <w:bottom w:val="single" w:sz="8" w:space="0" w:color="FCECDE" w:themeColor="accent5"/>
          <w:right w:val="single" w:sz="8" w:space="0" w:color="FCECDE" w:themeColor="accent5"/>
        </w:tcBorders>
      </w:tcPr>
    </w:tblStylePr>
    <w:tblStylePr w:type="firstCol">
      <w:rPr>
        <w:b/>
        <w:bCs/>
      </w:rPr>
    </w:tblStylePr>
    <w:tblStylePr w:type="lastCol">
      <w:rPr>
        <w:b/>
        <w:bCs/>
      </w:rPr>
    </w:tblStylePr>
    <w:tblStylePr w:type="band1Vert">
      <w:tblPr/>
      <w:tcPr>
        <w:tcBorders>
          <w:top w:val="single" w:sz="8" w:space="0" w:color="FCECDE" w:themeColor="accent5"/>
          <w:left w:val="single" w:sz="8" w:space="0" w:color="FCECDE" w:themeColor="accent5"/>
          <w:bottom w:val="single" w:sz="8" w:space="0" w:color="FCECDE" w:themeColor="accent5"/>
          <w:right w:val="single" w:sz="8" w:space="0" w:color="FCECDE" w:themeColor="accent5"/>
        </w:tcBorders>
      </w:tcPr>
    </w:tblStylePr>
    <w:tblStylePr w:type="band1Horz">
      <w:tblPr/>
      <w:tcPr>
        <w:tcBorders>
          <w:top w:val="single" w:sz="8" w:space="0" w:color="FCECDE" w:themeColor="accent5"/>
          <w:left w:val="single" w:sz="8" w:space="0" w:color="FCECDE" w:themeColor="accent5"/>
          <w:bottom w:val="single" w:sz="8" w:space="0" w:color="FCECDE" w:themeColor="accent5"/>
          <w:right w:val="single" w:sz="8" w:space="0" w:color="FCECDE" w:themeColor="accent5"/>
        </w:tcBorders>
      </w:tcPr>
    </w:tblStylePr>
  </w:style>
  <w:style w:type="table" w:styleId="Lyslisteuthevingsfarge6">
    <w:name w:val="Light List Accent 6"/>
    <w:basedOn w:val="Vanligtabell"/>
    <w:uiPriority w:val="61"/>
    <w:semiHidden/>
    <w:unhideWhenUsed/>
    <w:rsid w:val="00893D2C"/>
    <w:pPr>
      <w:spacing w:after="0" w:line="240" w:lineRule="auto"/>
    </w:pPr>
    <w:tblPr>
      <w:tblStyleRowBandSize w:val="1"/>
      <w:tblStyleColBandSize w:val="1"/>
      <w:tblBorders>
        <w:top w:val="single" w:sz="8" w:space="0" w:color="F2F8F8" w:themeColor="accent6"/>
        <w:left w:val="single" w:sz="8" w:space="0" w:color="F2F8F8" w:themeColor="accent6"/>
        <w:bottom w:val="single" w:sz="8" w:space="0" w:color="F2F8F8" w:themeColor="accent6"/>
        <w:right w:val="single" w:sz="8" w:space="0" w:color="F2F8F8" w:themeColor="accent6"/>
      </w:tblBorders>
    </w:tblPr>
    <w:tblStylePr w:type="firstRow">
      <w:pPr>
        <w:spacing w:before="0" w:after="0" w:line="240" w:lineRule="auto"/>
      </w:pPr>
      <w:rPr>
        <w:b/>
        <w:bCs/>
        <w:color w:val="FFFFFF" w:themeColor="background1"/>
      </w:rPr>
      <w:tblPr/>
      <w:tcPr>
        <w:shd w:val="clear" w:color="auto" w:fill="F2F8F8" w:themeFill="accent6"/>
      </w:tcPr>
    </w:tblStylePr>
    <w:tblStylePr w:type="lastRow">
      <w:pPr>
        <w:spacing w:before="0" w:after="0" w:line="240" w:lineRule="auto"/>
      </w:pPr>
      <w:rPr>
        <w:b/>
        <w:bCs/>
      </w:rPr>
      <w:tblPr/>
      <w:tcPr>
        <w:tcBorders>
          <w:top w:val="double" w:sz="6" w:space="0" w:color="F2F8F8" w:themeColor="accent6"/>
          <w:left w:val="single" w:sz="8" w:space="0" w:color="F2F8F8" w:themeColor="accent6"/>
          <w:bottom w:val="single" w:sz="8" w:space="0" w:color="F2F8F8" w:themeColor="accent6"/>
          <w:right w:val="single" w:sz="8" w:space="0" w:color="F2F8F8" w:themeColor="accent6"/>
        </w:tcBorders>
      </w:tcPr>
    </w:tblStylePr>
    <w:tblStylePr w:type="firstCol">
      <w:rPr>
        <w:b/>
        <w:bCs/>
      </w:rPr>
    </w:tblStylePr>
    <w:tblStylePr w:type="lastCol">
      <w:rPr>
        <w:b/>
        <w:bCs/>
      </w:rPr>
    </w:tblStylePr>
    <w:tblStylePr w:type="band1Vert">
      <w:tblPr/>
      <w:tcPr>
        <w:tcBorders>
          <w:top w:val="single" w:sz="8" w:space="0" w:color="F2F8F8" w:themeColor="accent6"/>
          <w:left w:val="single" w:sz="8" w:space="0" w:color="F2F8F8" w:themeColor="accent6"/>
          <w:bottom w:val="single" w:sz="8" w:space="0" w:color="F2F8F8" w:themeColor="accent6"/>
          <w:right w:val="single" w:sz="8" w:space="0" w:color="F2F8F8" w:themeColor="accent6"/>
        </w:tcBorders>
      </w:tcPr>
    </w:tblStylePr>
    <w:tblStylePr w:type="band1Horz">
      <w:tblPr/>
      <w:tcPr>
        <w:tcBorders>
          <w:top w:val="single" w:sz="8" w:space="0" w:color="F2F8F8" w:themeColor="accent6"/>
          <w:left w:val="single" w:sz="8" w:space="0" w:color="F2F8F8" w:themeColor="accent6"/>
          <w:bottom w:val="single" w:sz="8" w:space="0" w:color="F2F8F8" w:themeColor="accent6"/>
          <w:right w:val="single" w:sz="8" w:space="0" w:color="F2F8F8" w:themeColor="accent6"/>
        </w:tcBorders>
      </w:tcPr>
    </w:tblStylePr>
  </w:style>
  <w:style w:type="table" w:styleId="Lysskyggelegging">
    <w:name w:val="Light Shading"/>
    <w:basedOn w:val="Vanligtabell"/>
    <w:uiPriority w:val="60"/>
    <w:semiHidden/>
    <w:unhideWhenUsed/>
    <w:rsid w:val="00893D2C"/>
    <w:pPr>
      <w:spacing w:after="0" w:line="240" w:lineRule="auto"/>
    </w:pPr>
    <w:rPr>
      <w:color w:val="1C1C16" w:themeColor="text1" w:themeShade="BF"/>
    </w:rPr>
    <w:tblPr>
      <w:tblStyleRowBandSize w:val="1"/>
      <w:tblStyleColBandSize w:val="1"/>
      <w:tblBorders>
        <w:top w:val="single" w:sz="8" w:space="0" w:color="26261E" w:themeColor="text1"/>
        <w:bottom w:val="single" w:sz="8" w:space="0" w:color="26261E" w:themeColor="text1"/>
      </w:tblBorders>
    </w:tblPr>
    <w:tblStylePr w:type="firstRow">
      <w:pPr>
        <w:spacing w:before="0" w:after="0" w:line="240" w:lineRule="auto"/>
      </w:pPr>
      <w:rPr>
        <w:b/>
        <w:bCs/>
      </w:rPr>
      <w:tblPr/>
      <w:tcPr>
        <w:tcBorders>
          <w:top w:val="single" w:sz="8" w:space="0" w:color="26261E" w:themeColor="text1"/>
          <w:left w:val="nil"/>
          <w:bottom w:val="single" w:sz="8" w:space="0" w:color="26261E" w:themeColor="text1"/>
          <w:right w:val="nil"/>
          <w:insideH w:val="nil"/>
          <w:insideV w:val="nil"/>
        </w:tcBorders>
      </w:tcPr>
    </w:tblStylePr>
    <w:tblStylePr w:type="lastRow">
      <w:pPr>
        <w:spacing w:before="0" w:after="0" w:line="240" w:lineRule="auto"/>
      </w:pPr>
      <w:rPr>
        <w:b/>
        <w:bCs/>
      </w:rPr>
      <w:tblPr/>
      <w:tcPr>
        <w:tcBorders>
          <w:top w:val="single" w:sz="8" w:space="0" w:color="26261E" w:themeColor="text1"/>
          <w:left w:val="nil"/>
          <w:bottom w:val="single" w:sz="8" w:space="0" w:color="26261E"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EC1" w:themeFill="text1" w:themeFillTint="3F"/>
      </w:tcPr>
    </w:tblStylePr>
    <w:tblStylePr w:type="band1Horz">
      <w:tblPr/>
      <w:tcPr>
        <w:tcBorders>
          <w:left w:val="nil"/>
          <w:right w:val="nil"/>
          <w:insideH w:val="nil"/>
          <w:insideV w:val="nil"/>
        </w:tcBorders>
        <w:shd w:val="clear" w:color="auto" w:fill="CECEC1" w:themeFill="text1" w:themeFillTint="3F"/>
      </w:tcPr>
    </w:tblStylePr>
  </w:style>
  <w:style w:type="table" w:styleId="Lysskyggelegginguthevingsfarge1">
    <w:name w:val="Light Shading Accent 1"/>
    <w:basedOn w:val="Vanligtabell"/>
    <w:uiPriority w:val="60"/>
    <w:semiHidden/>
    <w:unhideWhenUsed/>
    <w:rsid w:val="00893D2C"/>
    <w:pPr>
      <w:spacing w:after="0" w:line="240" w:lineRule="auto"/>
    </w:pPr>
    <w:rPr>
      <w:color w:val="1C1C61" w:themeColor="accent1" w:themeShade="BF"/>
    </w:rPr>
    <w:tblPr>
      <w:tblStyleRowBandSize w:val="1"/>
      <w:tblStyleColBandSize w:val="1"/>
      <w:tblBorders>
        <w:top w:val="single" w:sz="8" w:space="0" w:color="262682" w:themeColor="accent1"/>
        <w:bottom w:val="single" w:sz="8" w:space="0" w:color="262682" w:themeColor="accent1"/>
      </w:tblBorders>
    </w:tblPr>
    <w:tblStylePr w:type="firstRow">
      <w:pPr>
        <w:spacing w:before="0" w:after="0" w:line="240" w:lineRule="auto"/>
      </w:pPr>
      <w:rPr>
        <w:b/>
        <w:bCs/>
      </w:rPr>
      <w:tblPr/>
      <w:tcPr>
        <w:tcBorders>
          <w:top w:val="single" w:sz="8" w:space="0" w:color="262682" w:themeColor="accent1"/>
          <w:left w:val="nil"/>
          <w:bottom w:val="single" w:sz="8" w:space="0" w:color="262682" w:themeColor="accent1"/>
          <w:right w:val="nil"/>
          <w:insideH w:val="nil"/>
          <w:insideV w:val="nil"/>
        </w:tcBorders>
      </w:tcPr>
    </w:tblStylePr>
    <w:tblStylePr w:type="lastRow">
      <w:pPr>
        <w:spacing w:before="0" w:after="0" w:line="240" w:lineRule="auto"/>
      </w:pPr>
      <w:rPr>
        <w:b/>
        <w:bCs/>
      </w:rPr>
      <w:tblPr/>
      <w:tcPr>
        <w:tcBorders>
          <w:top w:val="single" w:sz="8" w:space="0" w:color="262682" w:themeColor="accent1"/>
          <w:left w:val="nil"/>
          <w:bottom w:val="single" w:sz="8" w:space="0" w:color="2626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BDEB" w:themeFill="accent1" w:themeFillTint="3F"/>
      </w:tcPr>
    </w:tblStylePr>
    <w:tblStylePr w:type="band1Horz">
      <w:tblPr/>
      <w:tcPr>
        <w:tcBorders>
          <w:left w:val="nil"/>
          <w:right w:val="nil"/>
          <w:insideH w:val="nil"/>
          <w:insideV w:val="nil"/>
        </w:tcBorders>
        <w:shd w:val="clear" w:color="auto" w:fill="BDBDEB" w:themeFill="accent1" w:themeFillTint="3F"/>
      </w:tcPr>
    </w:tblStylePr>
  </w:style>
  <w:style w:type="table" w:styleId="Lysskyggelegginguthevingsfarge2">
    <w:name w:val="Light Shading Accent 2"/>
    <w:basedOn w:val="Vanligtabell"/>
    <w:uiPriority w:val="60"/>
    <w:semiHidden/>
    <w:unhideWhenUsed/>
    <w:rsid w:val="00893D2C"/>
    <w:pPr>
      <w:spacing w:after="0" w:line="240" w:lineRule="auto"/>
    </w:pPr>
    <w:rPr>
      <w:color w:val="FF8111" w:themeColor="accent2" w:themeShade="BF"/>
    </w:rPr>
    <w:tblPr>
      <w:tblStyleRowBandSize w:val="1"/>
      <w:tblStyleColBandSize w:val="1"/>
      <w:tblBorders>
        <w:top w:val="single" w:sz="8" w:space="0" w:color="FFB26D" w:themeColor="accent2"/>
        <w:bottom w:val="single" w:sz="8" w:space="0" w:color="FFB26D" w:themeColor="accent2"/>
      </w:tblBorders>
    </w:tblPr>
    <w:tblStylePr w:type="firstRow">
      <w:pPr>
        <w:spacing w:before="0" w:after="0" w:line="240" w:lineRule="auto"/>
      </w:pPr>
      <w:rPr>
        <w:b/>
        <w:bCs/>
      </w:rPr>
      <w:tblPr/>
      <w:tcPr>
        <w:tcBorders>
          <w:top w:val="single" w:sz="8" w:space="0" w:color="FFB26D" w:themeColor="accent2"/>
          <w:left w:val="nil"/>
          <w:bottom w:val="single" w:sz="8" w:space="0" w:color="FFB26D" w:themeColor="accent2"/>
          <w:right w:val="nil"/>
          <w:insideH w:val="nil"/>
          <w:insideV w:val="nil"/>
        </w:tcBorders>
      </w:tcPr>
    </w:tblStylePr>
    <w:tblStylePr w:type="lastRow">
      <w:pPr>
        <w:spacing w:before="0" w:after="0" w:line="240" w:lineRule="auto"/>
      </w:pPr>
      <w:rPr>
        <w:b/>
        <w:bCs/>
      </w:rPr>
      <w:tblPr/>
      <w:tcPr>
        <w:tcBorders>
          <w:top w:val="single" w:sz="8" w:space="0" w:color="FFB26D" w:themeColor="accent2"/>
          <w:left w:val="nil"/>
          <w:bottom w:val="single" w:sz="8" w:space="0" w:color="FFB26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BDA" w:themeFill="accent2" w:themeFillTint="3F"/>
      </w:tcPr>
    </w:tblStylePr>
    <w:tblStylePr w:type="band1Horz">
      <w:tblPr/>
      <w:tcPr>
        <w:tcBorders>
          <w:left w:val="nil"/>
          <w:right w:val="nil"/>
          <w:insideH w:val="nil"/>
          <w:insideV w:val="nil"/>
        </w:tcBorders>
        <w:shd w:val="clear" w:color="auto" w:fill="FFEBDA" w:themeFill="accent2" w:themeFillTint="3F"/>
      </w:tcPr>
    </w:tblStylePr>
  </w:style>
  <w:style w:type="table" w:styleId="Lysskyggelegginguthevingsfarge3">
    <w:name w:val="Light Shading Accent 3"/>
    <w:basedOn w:val="Vanligtabell"/>
    <w:uiPriority w:val="60"/>
    <w:semiHidden/>
    <w:unhideWhenUsed/>
    <w:rsid w:val="00893D2C"/>
    <w:pPr>
      <w:spacing w:after="0" w:line="240" w:lineRule="auto"/>
    </w:pPr>
    <w:rPr>
      <w:color w:val="2E6A71" w:themeColor="accent3" w:themeShade="BF"/>
    </w:rPr>
    <w:tblPr>
      <w:tblStyleRowBandSize w:val="1"/>
      <w:tblStyleColBandSize w:val="1"/>
      <w:tblBorders>
        <w:top w:val="single" w:sz="8" w:space="0" w:color="3E8F98" w:themeColor="accent3"/>
        <w:bottom w:val="single" w:sz="8" w:space="0" w:color="3E8F98" w:themeColor="accent3"/>
      </w:tblBorders>
    </w:tblPr>
    <w:tblStylePr w:type="firstRow">
      <w:pPr>
        <w:spacing w:before="0" w:after="0" w:line="240" w:lineRule="auto"/>
      </w:pPr>
      <w:rPr>
        <w:b/>
        <w:bCs/>
      </w:rPr>
      <w:tblPr/>
      <w:tcPr>
        <w:tcBorders>
          <w:top w:val="single" w:sz="8" w:space="0" w:color="3E8F98" w:themeColor="accent3"/>
          <w:left w:val="nil"/>
          <w:bottom w:val="single" w:sz="8" w:space="0" w:color="3E8F98" w:themeColor="accent3"/>
          <w:right w:val="nil"/>
          <w:insideH w:val="nil"/>
          <w:insideV w:val="nil"/>
        </w:tcBorders>
      </w:tcPr>
    </w:tblStylePr>
    <w:tblStylePr w:type="lastRow">
      <w:pPr>
        <w:spacing w:before="0" w:after="0" w:line="240" w:lineRule="auto"/>
      </w:pPr>
      <w:rPr>
        <w:b/>
        <w:bCs/>
      </w:rPr>
      <w:tblPr/>
      <w:tcPr>
        <w:tcBorders>
          <w:top w:val="single" w:sz="8" w:space="0" w:color="3E8F98" w:themeColor="accent3"/>
          <w:left w:val="nil"/>
          <w:bottom w:val="single" w:sz="8" w:space="0" w:color="3E8F9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AE6E9" w:themeFill="accent3" w:themeFillTint="3F"/>
      </w:tcPr>
    </w:tblStylePr>
    <w:tblStylePr w:type="band1Horz">
      <w:tblPr/>
      <w:tcPr>
        <w:tcBorders>
          <w:left w:val="nil"/>
          <w:right w:val="nil"/>
          <w:insideH w:val="nil"/>
          <w:insideV w:val="nil"/>
        </w:tcBorders>
        <w:shd w:val="clear" w:color="auto" w:fill="CAE6E9" w:themeFill="accent3" w:themeFillTint="3F"/>
      </w:tcPr>
    </w:tblStylePr>
  </w:style>
  <w:style w:type="table" w:styleId="Lysskyggelegginguthevingsfarge4">
    <w:name w:val="Light Shading Accent 4"/>
    <w:basedOn w:val="Vanligtabell"/>
    <w:uiPriority w:val="60"/>
    <w:semiHidden/>
    <w:unhideWhenUsed/>
    <w:rsid w:val="00893D2C"/>
    <w:pPr>
      <w:spacing w:after="0" w:line="240" w:lineRule="auto"/>
    </w:pPr>
    <w:rPr>
      <w:color w:val="1C1C16" w:themeColor="accent4" w:themeShade="BF"/>
    </w:rPr>
    <w:tblPr>
      <w:tblStyleRowBandSize w:val="1"/>
      <w:tblStyleColBandSize w:val="1"/>
      <w:tblBorders>
        <w:top w:val="single" w:sz="8" w:space="0" w:color="26261E" w:themeColor="accent4"/>
        <w:bottom w:val="single" w:sz="8" w:space="0" w:color="26261E" w:themeColor="accent4"/>
      </w:tblBorders>
    </w:tblPr>
    <w:tblStylePr w:type="firstRow">
      <w:pPr>
        <w:spacing w:before="0" w:after="0" w:line="240" w:lineRule="auto"/>
      </w:pPr>
      <w:rPr>
        <w:b/>
        <w:bCs/>
      </w:rPr>
      <w:tblPr/>
      <w:tcPr>
        <w:tcBorders>
          <w:top w:val="single" w:sz="8" w:space="0" w:color="26261E" w:themeColor="accent4"/>
          <w:left w:val="nil"/>
          <w:bottom w:val="single" w:sz="8" w:space="0" w:color="26261E" w:themeColor="accent4"/>
          <w:right w:val="nil"/>
          <w:insideH w:val="nil"/>
          <w:insideV w:val="nil"/>
        </w:tcBorders>
      </w:tcPr>
    </w:tblStylePr>
    <w:tblStylePr w:type="lastRow">
      <w:pPr>
        <w:spacing w:before="0" w:after="0" w:line="240" w:lineRule="auto"/>
      </w:pPr>
      <w:rPr>
        <w:b/>
        <w:bCs/>
      </w:rPr>
      <w:tblPr/>
      <w:tcPr>
        <w:tcBorders>
          <w:top w:val="single" w:sz="8" w:space="0" w:color="26261E" w:themeColor="accent4"/>
          <w:left w:val="nil"/>
          <w:bottom w:val="single" w:sz="8" w:space="0" w:color="26261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EC1" w:themeFill="accent4" w:themeFillTint="3F"/>
      </w:tcPr>
    </w:tblStylePr>
    <w:tblStylePr w:type="band1Horz">
      <w:tblPr/>
      <w:tcPr>
        <w:tcBorders>
          <w:left w:val="nil"/>
          <w:right w:val="nil"/>
          <w:insideH w:val="nil"/>
          <w:insideV w:val="nil"/>
        </w:tcBorders>
        <w:shd w:val="clear" w:color="auto" w:fill="CECEC1" w:themeFill="accent4" w:themeFillTint="3F"/>
      </w:tcPr>
    </w:tblStylePr>
  </w:style>
  <w:style w:type="table" w:styleId="Lysskyggelegginguthevingsfarge5">
    <w:name w:val="Light Shading Accent 5"/>
    <w:basedOn w:val="Vanligtabell"/>
    <w:uiPriority w:val="60"/>
    <w:semiHidden/>
    <w:unhideWhenUsed/>
    <w:rsid w:val="00893D2C"/>
    <w:pPr>
      <w:spacing w:after="0" w:line="240" w:lineRule="auto"/>
    </w:pPr>
    <w:rPr>
      <w:color w:val="F2AD70" w:themeColor="accent5" w:themeShade="BF"/>
    </w:rPr>
    <w:tblPr>
      <w:tblStyleRowBandSize w:val="1"/>
      <w:tblStyleColBandSize w:val="1"/>
      <w:tblBorders>
        <w:top w:val="single" w:sz="8" w:space="0" w:color="FCECDE" w:themeColor="accent5"/>
        <w:bottom w:val="single" w:sz="8" w:space="0" w:color="FCECDE" w:themeColor="accent5"/>
      </w:tblBorders>
    </w:tblPr>
    <w:tblStylePr w:type="firstRow">
      <w:pPr>
        <w:spacing w:before="0" w:after="0" w:line="240" w:lineRule="auto"/>
      </w:pPr>
      <w:rPr>
        <w:b/>
        <w:bCs/>
      </w:rPr>
      <w:tblPr/>
      <w:tcPr>
        <w:tcBorders>
          <w:top w:val="single" w:sz="8" w:space="0" w:color="FCECDE" w:themeColor="accent5"/>
          <w:left w:val="nil"/>
          <w:bottom w:val="single" w:sz="8" w:space="0" w:color="FCECDE" w:themeColor="accent5"/>
          <w:right w:val="nil"/>
          <w:insideH w:val="nil"/>
          <w:insideV w:val="nil"/>
        </w:tcBorders>
      </w:tcPr>
    </w:tblStylePr>
    <w:tblStylePr w:type="lastRow">
      <w:pPr>
        <w:spacing w:before="0" w:after="0" w:line="240" w:lineRule="auto"/>
      </w:pPr>
      <w:rPr>
        <w:b/>
        <w:bCs/>
      </w:rPr>
      <w:tblPr/>
      <w:tcPr>
        <w:tcBorders>
          <w:top w:val="single" w:sz="8" w:space="0" w:color="FCECDE" w:themeColor="accent5"/>
          <w:left w:val="nil"/>
          <w:bottom w:val="single" w:sz="8" w:space="0" w:color="FCECD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FAF6" w:themeFill="accent5" w:themeFillTint="3F"/>
      </w:tcPr>
    </w:tblStylePr>
    <w:tblStylePr w:type="band1Horz">
      <w:tblPr/>
      <w:tcPr>
        <w:tcBorders>
          <w:left w:val="nil"/>
          <w:right w:val="nil"/>
          <w:insideH w:val="nil"/>
          <w:insideV w:val="nil"/>
        </w:tcBorders>
        <w:shd w:val="clear" w:color="auto" w:fill="FEFAF6" w:themeFill="accent5" w:themeFillTint="3F"/>
      </w:tcPr>
    </w:tblStylePr>
  </w:style>
  <w:style w:type="table" w:styleId="Lysskyggelegginguthevingsfarge6">
    <w:name w:val="Light Shading Accent 6"/>
    <w:basedOn w:val="Vanligtabell"/>
    <w:uiPriority w:val="60"/>
    <w:semiHidden/>
    <w:unhideWhenUsed/>
    <w:rsid w:val="00893D2C"/>
    <w:pPr>
      <w:spacing w:after="0" w:line="240" w:lineRule="auto"/>
    </w:pPr>
    <w:rPr>
      <w:color w:val="A2CDCD" w:themeColor="accent6" w:themeShade="BF"/>
    </w:rPr>
    <w:tblPr>
      <w:tblStyleRowBandSize w:val="1"/>
      <w:tblStyleColBandSize w:val="1"/>
      <w:tblBorders>
        <w:top w:val="single" w:sz="8" w:space="0" w:color="F2F8F8" w:themeColor="accent6"/>
        <w:bottom w:val="single" w:sz="8" w:space="0" w:color="F2F8F8" w:themeColor="accent6"/>
      </w:tblBorders>
    </w:tblPr>
    <w:tblStylePr w:type="firstRow">
      <w:pPr>
        <w:spacing w:before="0" w:after="0" w:line="240" w:lineRule="auto"/>
      </w:pPr>
      <w:rPr>
        <w:b/>
        <w:bCs/>
      </w:rPr>
      <w:tblPr/>
      <w:tcPr>
        <w:tcBorders>
          <w:top w:val="single" w:sz="8" w:space="0" w:color="F2F8F8" w:themeColor="accent6"/>
          <w:left w:val="nil"/>
          <w:bottom w:val="single" w:sz="8" w:space="0" w:color="F2F8F8" w:themeColor="accent6"/>
          <w:right w:val="nil"/>
          <w:insideH w:val="nil"/>
          <w:insideV w:val="nil"/>
        </w:tcBorders>
      </w:tcPr>
    </w:tblStylePr>
    <w:tblStylePr w:type="lastRow">
      <w:pPr>
        <w:spacing w:before="0" w:after="0" w:line="240" w:lineRule="auto"/>
      </w:pPr>
      <w:rPr>
        <w:b/>
        <w:bCs/>
      </w:rPr>
      <w:tblPr/>
      <w:tcPr>
        <w:tcBorders>
          <w:top w:val="single" w:sz="8" w:space="0" w:color="F2F8F8" w:themeColor="accent6"/>
          <w:left w:val="nil"/>
          <w:bottom w:val="single" w:sz="8" w:space="0" w:color="F2F8F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FDFD" w:themeFill="accent6" w:themeFillTint="3F"/>
      </w:tcPr>
    </w:tblStylePr>
    <w:tblStylePr w:type="band1Horz">
      <w:tblPr/>
      <w:tcPr>
        <w:tcBorders>
          <w:left w:val="nil"/>
          <w:right w:val="nil"/>
          <w:insideH w:val="nil"/>
          <w:insideV w:val="nil"/>
        </w:tcBorders>
        <w:shd w:val="clear" w:color="auto" w:fill="FBFDFD" w:themeFill="accent6" w:themeFillTint="3F"/>
      </w:tcPr>
    </w:tblStylePr>
  </w:style>
  <w:style w:type="table" w:styleId="Lystrutenett">
    <w:name w:val="Light Grid"/>
    <w:basedOn w:val="Vanligtabell"/>
    <w:uiPriority w:val="62"/>
    <w:semiHidden/>
    <w:unhideWhenUsed/>
    <w:rsid w:val="00893D2C"/>
    <w:pPr>
      <w:spacing w:after="0" w:line="240" w:lineRule="auto"/>
    </w:pPr>
    <w:tblPr>
      <w:tblStyleRowBandSize w:val="1"/>
      <w:tblStyleColBandSize w:val="1"/>
      <w:tblBorders>
        <w:top w:val="single" w:sz="8" w:space="0" w:color="26261E" w:themeColor="text1"/>
        <w:left w:val="single" w:sz="8" w:space="0" w:color="26261E" w:themeColor="text1"/>
        <w:bottom w:val="single" w:sz="8" w:space="0" w:color="26261E" w:themeColor="text1"/>
        <w:right w:val="single" w:sz="8" w:space="0" w:color="26261E" w:themeColor="text1"/>
        <w:insideH w:val="single" w:sz="8" w:space="0" w:color="26261E" w:themeColor="text1"/>
        <w:insideV w:val="single" w:sz="8" w:space="0" w:color="26261E"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6261E" w:themeColor="text1"/>
          <w:left w:val="single" w:sz="8" w:space="0" w:color="26261E" w:themeColor="text1"/>
          <w:bottom w:val="single" w:sz="18" w:space="0" w:color="26261E" w:themeColor="text1"/>
          <w:right w:val="single" w:sz="8" w:space="0" w:color="26261E" w:themeColor="text1"/>
          <w:insideH w:val="nil"/>
          <w:insideV w:val="single" w:sz="8" w:space="0" w:color="26261E"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6261E" w:themeColor="text1"/>
          <w:left w:val="single" w:sz="8" w:space="0" w:color="26261E" w:themeColor="text1"/>
          <w:bottom w:val="single" w:sz="8" w:space="0" w:color="26261E" w:themeColor="text1"/>
          <w:right w:val="single" w:sz="8" w:space="0" w:color="26261E" w:themeColor="text1"/>
          <w:insideH w:val="nil"/>
          <w:insideV w:val="single" w:sz="8" w:space="0" w:color="26261E"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6261E" w:themeColor="text1"/>
          <w:left w:val="single" w:sz="8" w:space="0" w:color="26261E" w:themeColor="text1"/>
          <w:bottom w:val="single" w:sz="8" w:space="0" w:color="26261E" w:themeColor="text1"/>
          <w:right w:val="single" w:sz="8" w:space="0" w:color="26261E" w:themeColor="text1"/>
        </w:tcBorders>
      </w:tcPr>
    </w:tblStylePr>
    <w:tblStylePr w:type="band1Vert">
      <w:tblPr/>
      <w:tcPr>
        <w:tcBorders>
          <w:top w:val="single" w:sz="8" w:space="0" w:color="26261E" w:themeColor="text1"/>
          <w:left w:val="single" w:sz="8" w:space="0" w:color="26261E" w:themeColor="text1"/>
          <w:bottom w:val="single" w:sz="8" w:space="0" w:color="26261E" w:themeColor="text1"/>
          <w:right w:val="single" w:sz="8" w:space="0" w:color="26261E" w:themeColor="text1"/>
        </w:tcBorders>
        <w:shd w:val="clear" w:color="auto" w:fill="CECEC1" w:themeFill="text1" w:themeFillTint="3F"/>
      </w:tcPr>
    </w:tblStylePr>
    <w:tblStylePr w:type="band1Horz">
      <w:tblPr/>
      <w:tcPr>
        <w:tcBorders>
          <w:top w:val="single" w:sz="8" w:space="0" w:color="26261E" w:themeColor="text1"/>
          <w:left w:val="single" w:sz="8" w:space="0" w:color="26261E" w:themeColor="text1"/>
          <w:bottom w:val="single" w:sz="8" w:space="0" w:color="26261E" w:themeColor="text1"/>
          <w:right w:val="single" w:sz="8" w:space="0" w:color="26261E" w:themeColor="text1"/>
          <w:insideV w:val="single" w:sz="8" w:space="0" w:color="26261E" w:themeColor="text1"/>
        </w:tcBorders>
        <w:shd w:val="clear" w:color="auto" w:fill="CECEC1" w:themeFill="text1" w:themeFillTint="3F"/>
      </w:tcPr>
    </w:tblStylePr>
    <w:tblStylePr w:type="band2Horz">
      <w:tblPr/>
      <w:tcPr>
        <w:tcBorders>
          <w:top w:val="single" w:sz="8" w:space="0" w:color="26261E" w:themeColor="text1"/>
          <w:left w:val="single" w:sz="8" w:space="0" w:color="26261E" w:themeColor="text1"/>
          <w:bottom w:val="single" w:sz="8" w:space="0" w:color="26261E" w:themeColor="text1"/>
          <w:right w:val="single" w:sz="8" w:space="0" w:color="26261E" w:themeColor="text1"/>
          <w:insideV w:val="single" w:sz="8" w:space="0" w:color="26261E" w:themeColor="text1"/>
        </w:tcBorders>
      </w:tcPr>
    </w:tblStylePr>
  </w:style>
  <w:style w:type="table" w:styleId="Lystrutenettuthevingsfarge1">
    <w:name w:val="Light Grid Accent 1"/>
    <w:basedOn w:val="Vanligtabell"/>
    <w:uiPriority w:val="62"/>
    <w:semiHidden/>
    <w:unhideWhenUsed/>
    <w:rsid w:val="00893D2C"/>
    <w:pPr>
      <w:spacing w:after="0" w:line="240" w:lineRule="auto"/>
    </w:pPr>
    <w:tblPr>
      <w:tblStyleRowBandSize w:val="1"/>
      <w:tblStyleColBandSize w:val="1"/>
      <w:tblBorders>
        <w:top w:val="single" w:sz="8" w:space="0" w:color="262682" w:themeColor="accent1"/>
        <w:left w:val="single" w:sz="8" w:space="0" w:color="262682" w:themeColor="accent1"/>
        <w:bottom w:val="single" w:sz="8" w:space="0" w:color="262682" w:themeColor="accent1"/>
        <w:right w:val="single" w:sz="8" w:space="0" w:color="262682" w:themeColor="accent1"/>
        <w:insideH w:val="single" w:sz="8" w:space="0" w:color="262682" w:themeColor="accent1"/>
        <w:insideV w:val="single" w:sz="8" w:space="0" w:color="2626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62682" w:themeColor="accent1"/>
          <w:left w:val="single" w:sz="8" w:space="0" w:color="262682" w:themeColor="accent1"/>
          <w:bottom w:val="single" w:sz="18" w:space="0" w:color="262682" w:themeColor="accent1"/>
          <w:right w:val="single" w:sz="8" w:space="0" w:color="262682" w:themeColor="accent1"/>
          <w:insideH w:val="nil"/>
          <w:insideV w:val="single" w:sz="8" w:space="0" w:color="2626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62682" w:themeColor="accent1"/>
          <w:left w:val="single" w:sz="8" w:space="0" w:color="262682" w:themeColor="accent1"/>
          <w:bottom w:val="single" w:sz="8" w:space="0" w:color="262682" w:themeColor="accent1"/>
          <w:right w:val="single" w:sz="8" w:space="0" w:color="262682" w:themeColor="accent1"/>
          <w:insideH w:val="nil"/>
          <w:insideV w:val="single" w:sz="8" w:space="0" w:color="2626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62682" w:themeColor="accent1"/>
          <w:left w:val="single" w:sz="8" w:space="0" w:color="262682" w:themeColor="accent1"/>
          <w:bottom w:val="single" w:sz="8" w:space="0" w:color="262682" w:themeColor="accent1"/>
          <w:right w:val="single" w:sz="8" w:space="0" w:color="262682" w:themeColor="accent1"/>
        </w:tcBorders>
      </w:tcPr>
    </w:tblStylePr>
    <w:tblStylePr w:type="band1Vert">
      <w:tblPr/>
      <w:tcPr>
        <w:tcBorders>
          <w:top w:val="single" w:sz="8" w:space="0" w:color="262682" w:themeColor="accent1"/>
          <w:left w:val="single" w:sz="8" w:space="0" w:color="262682" w:themeColor="accent1"/>
          <w:bottom w:val="single" w:sz="8" w:space="0" w:color="262682" w:themeColor="accent1"/>
          <w:right w:val="single" w:sz="8" w:space="0" w:color="262682" w:themeColor="accent1"/>
        </w:tcBorders>
        <w:shd w:val="clear" w:color="auto" w:fill="BDBDEB" w:themeFill="accent1" w:themeFillTint="3F"/>
      </w:tcPr>
    </w:tblStylePr>
    <w:tblStylePr w:type="band1Horz">
      <w:tblPr/>
      <w:tcPr>
        <w:tcBorders>
          <w:top w:val="single" w:sz="8" w:space="0" w:color="262682" w:themeColor="accent1"/>
          <w:left w:val="single" w:sz="8" w:space="0" w:color="262682" w:themeColor="accent1"/>
          <w:bottom w:val="single" w:sz="8" w:space="0" w:color="262682" w:themeColor="accent1"/>
          <w:right w:val="single" w:sz="8" w:space="0" w:color="262682" w:themeColor="accent1"/>
          <w:insideV w:val="single" w:sz="8" w:space="0" w:color="262682" w:themeColor="accent1"/>
        </w:tcBorders>
        <w:shd w:val="clear" w:color="auto" w:fill="BDBDEB" w:themeFill="accent1" w:themeFillTint="3F"/>
      </w:tcPr>
    </w:tblStylePr>
    <w:tblStylePr w:type="band2Horz">
      <w:tblPr/>
      <w:tcPr>
        <w:tcBorders>
          <w:top w:val="single" w:sz="8" w:space="0" w:color="262682" w:themeColor="accent1"/>
          <w:left w:val="single" w:sz="8" w:space="0" w:color="262682" w:themeColor="accent1"/>
          <w:bottom w:val="single" w:sz="8" w:space="0" w:color="262682" w:themeColor="accent1"/>
          <w:right w:val="single" w:sz="8" w:space="0" w:color="262682" w:themeColor="accent1"/>
          <w:insideV w:val="single" w:sz="8" w:space="0" w:color="262682" w:themeColor="accent1"/>
        </w:tcBorders>
      </w:tcPr>
    </w:tblStylePr>
  </w:style>
  <w:style w:type="table" w:styleId="Lystrutenettuthevingsfarge2">
    <w:name w:val="Light Grid Accent 2"/>
    <w:basedOn w:val="Vanligtabell"/>
    <w:uiPriority w:val="62"/>
    <w:semiHidden/>
    <w:unhideWhenUsed/>
    <w:rsid w:val="00893D2C"/>
    <w:pPr>
      <w:spacing w:after="0" w:line="240" w:lineRule="auto"/>
    </w:pPr>
    <w:tblPr>
      <w:tblStyleRowBandSize w:val="1"/>
      <w:tblStyleColBandSize w:val="1"/>
      <w:tblBorders>
        <w:top w:val="single" w:sz="8" w:space="0" w:color="FFB26D" w:themeColor="accent2"/>
        <w:left w:val="single" w:sz="8" w:space="0" w:color="FFB26D" w:themeColor="accent2"/>
        <w:bottom w:val="single" w:sz="8" w:space="0" w:color="FFB26D" w:themeColor="accent2"/>
        <w:right w:val="single" w:sz="8" w:space="0" w:color="FFB26D" w:themeColor="accent2"/>
        <w:insideH w:val="single" w:sz="8" w:space="0" w:color="FFB26D" w:themeColor="accent2"/>
        <w:insideV w:val="single" w:sz="8" w:space="0" w:color="FFB26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B26D" w:themeColor="accent2"/>
          <w:left w:val="single" w:sz="8" w:space="0" w:color="FFB26D" w:themeColor="accent2"/>
          <w:bottom w:val="single" w:sz="18" w:space="0" w:color="FFB26D" w:themeColor="accent2"/>
          <w:right w:val="single" w:sz="8" w:space="0" w:color="FFB26D" w:themeColor="accent2"/>
          <w:insideH w:val="nil"/>
          <w:insideV w:val="single" w:sz="8" w:space="0" w:color="FFB26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B26D" w:themeColor="accent2"/>
          <w:left w:val="single" w:sz="8" w:space="0" w:color="FFB26D" w:themeColor="accent2"/>
          <w:bottom w:val="single" w:sz="8" w:space="0" w:color="FFB26D" w:themeColor="accent2"/>
          <w:right w:val="single" w:sz="8" w:space="0" w:color="FFB26D" w:themeColor="accent2"/>
          <w:insideH w:val="nil"/>
          <w:insideV w:val="single" w:sz="8" w:space="0" w:color="FFB26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B26D" w:themeColor="accent2"/>
          <w:left w:val="single" w:sz="8" w:space="0" w:color="FFB26D" w:themeColor="accent2"/>
          <w:bottom w:val="single" w:sz="8" w:space="0" w:color="FFB26D" w:themeColor="accent2"/>
          <w:right w:val="single" w:sz="8" w:space="0" w:color="FFB26D" w:themeColor="accent2"/>
        </w:tcBorders>
      </w:tcPr>
    </w:tblStylePr>
    <w:tblStylePr w:type="band1Vert">
      <w:tblPr/>
      <w:tcPr>
        <w:tcBorders>
          <w:top w:val="single" w:sz="8" w:space="0" w:color="FFB26D" w:themeColor="accent2"/>
          <w:left w:val="single" w:sz="8" w:space="0" w:color="FFB26D" w:themeColor="accent2"/>
          <w:bottom w:val="single" w:sz="8" w:space="0" w:color="FFB26D" w:themeColor="accent2"/>
          <w:right w:val="single" w:sz="8" w:space="0" w:color="FFB26D" w:themeColor="accent2"/>
        </w:tcBorders>
        <w:shd w:val="clear" w:color="auto" w:fill="FFEBDA" w:themeFill="accent2" w:themeFillTint="3F"/>
      </w:tcPr>
    </w:tblStylePr>
    <w:tblStylePr w:type="band1Horz">
      <w:tblPr/>
      <w:tcPr>
        <w:tcBorders>
          <w:top w:val="single" w:sz="8" w:space="0" w:color="FFB26D" w:themeColor="accent2"/>
          <w:left w:val="single" w:sz="8" w:space="0" w:color="FFB26D" w:themeColor="accent2"/>
          <w:bottom w:val="single" w:sz="8" w:space="0" w:color="FFB26D" w:themeColor="accent2"/>
          <w:right w:val="single" w:sz="8" w:space="0" w:color="FFB26D" w:themeColor="accent2"/>
          <w:insideV w:val="single" w:sz="8" w:space="0" w:color="FFB26D" w:themeColor="accent2"/>
        </w:tcBorders>
        <w:shd w:val="clear" w:color="auto" w:fill="FFEBDA" w:themeFill="accent2" w:themeFillTint="3F"/>
      </w:tcPr>
    </w:tblStylePr>
    <w:tblStylePr w:type="band2Horz">
      <w:tblPr/>
      <w:tcPr>
        <w:tcBorders>
          <w:top w:val="single" w:sz="8" w:space="0" w:color="FFB26D" w:themeColor="accent2"/>
          <w:left w:val="single" w:sz="8" w:space="0" w:color="FFB26D" w:themeColor="accent2"/>
          <w:bottom w:val="single" w:sz="8" w:space="0" w:color="FFB26D" w:themeColor="accent2"/>
          <w:right w:val="single" w:sz="8" w:space="0" w:color="FFB26D" w:themeColor="accent2"/>
          <w:insideV w:val="single" w:sz="8" w:space="0" w:color="FFB26D" w:themeColor="accent2"/>
        </w:tcBorders>
      </w:tcPr>
    </w:tblStylePr>
  </w:style>
  <w:style w:type="table" w:styleId="Lystrutenettuthevingsfarge3">
    <w:name w:val="Light Grid Accent 3"/>
    <w:basedOn w:val="Vanligtabell"/>
    <w:uiPriority w:val="62"/>
    <w:semiHidden/>
    <w:unhideWhenUsed/>
    <w:rsid w:val="00893D2C"/>
    <w:pPr>
      <w:spacing w:after="0" w:line="240" w:lineRule="auto"/>
    </w:pPr>
    <w:tblPr>
      <w:tblStyleRowBandSize w:val="1"/>
      <w:tblStyleColBandSize w:val="1"/>
      <w:tblBorders>
        <w:top w:val="single" w:sz="8" w:space="0" w:color="3E8F98" w:themeColor="accent3"/>
        <w:left w:val="single" w:sz="8" w:space="0" w:color="3E8F98" w:themeColor="accent3"/>
        <w:bottom w:val="single" w:sz="8" w:space="0" w:color="3E8F98" w:themeColor="accent3"/>
        <w:right w:val="single" w:sz="8" w:space="0" w:color="3E8F98" w:themeColor="accent3"/>
        <w:insideH w:val="single" w:sz="8" w:space="0" w:color="3E8F98" w:themeColor="accent3"/>
        <w:insideV w:val="single" w:sz="8" w:space="0" w:color="3E8F9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E8F98" w:themeColor="accent3"/>
          <w:left w:val="single" w:sz="8" w:space="0" w:color="3E8F98" w:themeColor="accent3"/>
          <w:bottom w:val="single" w:sz="18" w:space="0" w:color="3E8F98" w:themeColor="accent3"/>
          <w:right w:val="single" w:sz="8" w:space="0" w:color="3E8F98" w:themeColor="accent3"/>
          <w:insideH w:val="nil"/>
          <w:insideV w:val="single" w:sz="8" w:space="0" w:color="3E8F9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E8F98" w:themeColor="accent3"/>
          <w:left w:val="single" w:sz="8" w:space="0" w:color="3E8F98" w:themeColor="accent3"/>
          <w:bottom w:val="single" w:sz="8" w:space="0" w:color="3E8F98" w:themeColor="accent3"/>
          <w:right w:val="single" w:sz="8" w:space="0" w:color="3E8F98" w:themeColor="accent3"/>
          <w:insideH w:val="nil"/>
          <w:insideV w:val="single" w:sz="8" w:space="0" w:color="3E8F9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E8F98" w:themeColor="accent3"/>
          <w:left w:val="single" w:sz="8" w:space="0" w:color="3E8F98" w:themeColor="accent3"/>
          <w:bottom w:val="single" w:sz="8" w:space="0" w:color="3E8F98" w:themeColor="accent3"/>
          <w:right w:val="single" w:sz="8" w:space="0" w:color="3E8F98" w:themeColor="accent3"/>
        </w:tcBorders>
      </w:tcPr>
    </w:tblStylePr>
    <w:tblStylePr w:type="band1Vert">
      <w:tblPr/>
      <w:tcPr>
        <w:tcBorders>
          <w:top w:val="single" w:sz="8" w:space="0" w:color="3E8F98" w:themeColor="accent3"/>
          <w:left w:val="single" w:sz="8" w:space="0" w:color="3E8F98" w:themeColor="accent3"/>
          <w:bottom w:val="single" w:sz="8" w:space="0" w:color="3E8F98" w:themeColor="accent3"/>
          <w:right w:val="single" w:sz="8" w:space="0" w:color="3E8F98" w:themeColor="accent3"/>
        </w:tcBorders>
        <w:shd w:val="clear" w:color="auto" w:fill="CAE6E9" w:themeFill="accent3" w:themeFillTint="3F"/>
      </w:tcPr>
    </w:tblStylePr>
    <w:tblStylePr w:type="band1Horz">
      <w:tblPr/>
      <w:tcPr>
        <w:tcBorders>
          <w:top w:val="single" w:sz="8" w:space="0" w:color="3E8F98" w:themeColor="accent3"/>
          <w:left w:val="single" w:sz="8" w:space="0" w:color="3E8F98" w:themeColor="accent3"/>
          <w:bottom w:val="single" w:sz="8" w:space="0" w:color="3E8F98" w:themeColor="accent3"/>
          <w:right w:val="single" w:sz="8" w:space="0" w:color="3E8F98" w:themeColor="accent3"/>
          <w:insideV w:val="single" w:sz="8" w:space="0" w:color="3E8F98" w:themeColor="accent3"/>
        </w:tcBorders>
        <w:shd w:val="clear" w:color="auto" w:fill="CAE6E9" w:themeFill="accent3" w:themeFillTint="3F"/>
      </w:tcPr>
    </w:tblStylePr>
    <w:tblStylePr w:type="band2Horz">
      <w:tblPr/>
      <w:tcPr>
        <w:tcBorders>
          <w:top w:val="single" w:sz="8" w:space="0" w:color="3E8F98" w:themeColor="accent3"/>
          <w:left w:val="single" w:sz="8" w:space="0" w:color="3E8F98" w:themeColor="accent3"/>
          <w:bottom w:val="single" w:sz="8" w:space="0" w:color="3E8F98" w:themeColor="accent3"/>
          <w:right w:val="single" w:sz="8" w:space="0" w:color="3E8F98" w:themeColor="accent3"/>
          <w:insideV w:val="single" w:sz="8" w:space="0" w:color="3E8F98" w:themeColor="accent3"/>
        </w:tcBorders>
      </w:tcPr>
    </w:tblStylePr>
  </w:style>
  <w:style w:type="table" w:styleId="Lystrutenettuthevingsfarge4">
    <w:name w:val="Light Grid Accent 4"/>
    <w:basedOn w:val="Vanligtabell"/>
    <w:uiPriority w:val="62"/>
    <w:semiHidden/>
    <w:unhideWhenUsed/>
    <w:rsid w:val="00893D2C"/>
    <w:pPr>
      <w:spacing w:after="0" w:line="240" w:lineRule="auto"/>
    </w:pPr>
    <w:tblPr>
      <w:tblStyleRowBandSize w:val="1"/>
      <w:tblStyleColBandSize w:val="1"/>
      <w:tblBorders>
        <w:top w:val="single" w:sz="8" w:space="0" w:color="26261E" w:themeColor="accent4"/>
        <w:left w:val="single" w:sz="8" w:space="0" w:color="26261E" w:themeColor="accent4"/>
        <w:bottom w:val="single" w:sz="8" w:space="0" w:color="26261E" w:themeColor="accent4"/>
        <w:right w:val="single" w:sz="8" w:space="0" w:color="26261E" w:themeColor="accent4"/>
        <w:insideH w:val="single" w:sz="8" w:space="0" w:color="26261E" w:themeColor="accent4"/>
        <w:insideV w:val="single" w:sz="8" w:space="0" w:color="26261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6261E" w:themeColor="accent4"/>
          <w:left w:val="single" w:sz="8" w:space="0" w:color="26261E" w:themeColor="accent4"/>
          <w:bottom w:val="single" w:sz="18" w:space="0" w:color="26261E" w:themeColor="accent4"/>
          <w:right w:val="single" w:sz="8" w:space="0" w:color="26261E" w:themeColor="accent4"/>
          <w:insideH w:val="nil"/>
          <w:insideV w:val="single" w:sz="8" w:space="0" w:color="26261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6261E" w:themeColor="accent4"/>
          <w:left w:val="single" w:sz="8" w:space="0" w:color="26261E" w:themeColor="accent4"/>
          <w:bottom w:val="single" w:sz="8" w:space="0" w:color="26261E" w:themeColor="accent4"/>
          <w:right w:val="single" w:sz="8" w:space="0" w:color="26261E" w:themeColor="accent4"/>
          <w:insideH w:val="nil"/>
          <w:insideV w:val="single" w:sz="8" w:space="0" w:color="26261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6261E" w:themeColor="accent4"/>
          <w:left w:val="single" w:sz="8" w:space="0" w:color="26261E" w:themeColor="accent4"/>
          <w:bottom w:val="single" w:sz="8" w:space="0" w:color="26261E" w:themeColor="accent4"/>
          <w:right w:val="single" w:sz="8" w:space="0" w:color="26261E" w:themeColor="accent4"/>
        </w:tcBorders>
      </w:tcPr>
    </w:tblStylePr>
    <w:tblStylePr w:type="band1Vert">
      <w:tblPr/>
      <w:tcPr>
        <w:tcBorders>
          <w:top w:val="single" w:sz="8" w:space="0" w:color="26261E" w:themeColor="accent4"/>
          <w:left w:val="single" w:sz="8" w:space="0" w:color="26261E" w:themeColor="accent4"/>
          <w:bottom w:val="single" w:sz="8" w:space="0" w:color="26261E" w:themeColor="accent4"/>
          <w:right w:val="single" w:sz="8" w:space="0" w:color="26261E" w:themeColor="accent4"/>
        </w:tcBorders>
        <w:shd w:val="clear" w:color="auto" w:fill="CECEC1" w:themeFill="accent4" w:themeFillTint="3F"/>
      </w:tcPr>
    </w:tblStylePr>
    <w:tblStylePr w:type="band1Horz">
      <w:tblPr/>
      <w:tcPr>
        <w:tcBorders>
          <w:top w:val="single" w:sz="8" w:space="0" w:color="26261E" w:themeColor="accent4"/>
          <w:left w:val="single" w:sz="8" w:space="0" w:color="26261E" w:themeColor="accent4"/>
          <w:bottom w:val="single" w:sz="8" w:space="0" w:color="26261E" w:themeColor="accent4"/>
          <w:right w:val="single" w:sz="8" w:space="0" w:color="26261E" w:themeColor="accent4"/>
          <w:insideV w:val="single" w:sz="8" w:space="0" w:color="26261E" w:themeColor="accent4"/>
        </w:tcBorders>
        <w:shd w:val="clear" w:color="auto" w:fill="CECEC1" w:themeFill="accent4" w:themeFillTint="3F"/>
      </w:tcPr>
    </w:tblStylePr>
    <w:tblStylePr w:type="band2Horz">
      <w:tblPr/>
      <w:tcPr>
        <w:tcBorders>
          <w:top w:val="single" w:sz="8" w:space="0" w:color="26261E" w:themeColor="accent4"/>
          <w:left w:val="single" w:sz="8" w:space="0" w:color="26261E" w:themeColor="accent4"/>
          <w:bottom w:val="single" w:sz="8" w:space="0" w:color="26261E" w:themeColor="accent4"/>
          <w:right w:val="single" w:sz="8" w:space="0" w:color="26261E" w:themeColor="accent4"/>
          <w:insideV w:val="single" w:sz="8" w:space="0" w:color="26261E" w:themeColor="accent4"/>
        </w:tcBorders>
      </w:tcPr>
    </w:tblStylePr>
  </w:style>
  <w:style w:type="table" w:styleId="Lystrutenettuthevingsfarge5">
    <w:name w:val="Light Grid Accent 5"/>
    <w:basedOn w:val="Vanligtabell"/>
    <w:uiPriority w:val="62"/>
    <w:semiHidden/>
    <w:unhideWhenUsed/>
    <w:rsid w:val="00893D2C"/>
    <w:pPr>
      <w:spacing w:after="0" w:line="240" w:lineRule="auto"/>
    </w:pPr>
    <w:tblPr>
      <w:tblStyleRowBandSize w:val="1"/>
      <w:tblStyleColBandSize w:val="1"/>
      <w:tblBorders>
        <w:top w:val="single" w:sz="8" w:space="0" w:color="FCECDE" w:themeColor="accent5"/>
        <w:left w:val="single" w:sz="8" w:space="0" w:color="FCECDE" w:themeColor="accent5"/>
        <w:bottom w:val="single" w:sz="8" w:space="0" w:color="FCECDE" w:themeColor="accent5"/>
        <w:right w:val="single" w:sz="8" w:space="0" w:color="FCECDE" w:themeColor="accent5"/>
        <w:insideH w:val="single" w:sz="8" w:space="0" w:color="FCECDE" w:themeColor="accent5"/>
        <w:insideV w:val="single" w:sz="8" w:space="0" w:color="FCECD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CECDE" w:themeColor="accent5"/>
          <w:left w:val="single" w:sz="8" w:space="0" w:color="FCECDE" w:themeColor="accent5"/>
          <w:bottom w:val="single" w:sz="18" w:space="0" w:color="FCECDE" w:themeColor="accent5"/>
          <w:right w:val="single" w:sz="8" w:space="0" w:color="FCECDE" w:themeColor="accent5"/>
          <w:insideH w:val="nil"/>
          <w:insideV w:val="single" w:sz="8" w:space="0" w:color="FCECD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CECDE" w:themeColor="accent5"/>
          <w:left w:val="single" w:sz="8" w:space="0" w:color="FCECDE" w:themeColor="accent5"/>
          <w:bottom w:val="single" w:sz="8" w:space="0" w:color="FCECDE" w:themeColor="accent5"/>
          <w:right w:val="single" w:sz="8" w:space="0" w:color="FCECDE" w:themeColor="accent5"/>
          <w:insideH w:val="nil"/>
          <w:insideV w:val="single" w:sz="8" w:space="0" w:color="FCECD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CECDE" w:themeColor="accent5"/>
          <w:left w:val="single" w:sz="8" w:space="0" w:color="FCECDE" w:themeColor="accent5"/>
          <w:bottom w:val="single" w:sz="8" w:space="0" w:color="FCECDE" w:themeColor="accent5"/>
          <w:right w:val="single" w:sz="8" w:space="0" w:color="FCECDE" w:themeColor="accent5"/>
        </w:tcBorders>
      </w:tcPr>
    </w:tblStylePr>
    <w:tblStylePr w:type="band1Vert">
      <w:tblPr/>
      <w:tcPr>
        <w:tcBorders>
          <w:top w:val="single" w:sz="8" w:space="0" w:color="FCECDE" w:themeColor="accent5"/>
          <w:left w:val="single" w:sz="8" w:space="0" w:color="FCECDE" w:themeColor="accent5"/>
          <w:bottom w:val="single" w:sz="8" w:space="0" w:color="FCECDE" w:themeColor="accent5"/>
          <w:right w:val="single" w:sz="8" w:space="0" w:color="FCECDE" w:themeColor="accent5"/>
        </w:tcBorders>
        <w:shd w:val="clear" w:color="auto" w:fill="FEFAF6" w:themeFill="accent5" w:themeFillTint="3F"/>
      </w:tcPr>
    </w:tblStylePr>
    <w:tblStylePr w:type="band1Horz">
      <w:tblPr/>
      <w:tcPr>
        <w:tcBorders>
          <w:top w:val="single" w:sz="8" w:space="0" w:color="FCECDE" w:themeColor="accent5"/>
          <w:left w:val="single" w:sz="8" w:space="0" w:color="FCECDE" w:themeColor="accent5"/>
          <w:bottom w:val="single" w:sz="8" w:space="0" w:color="FCECDE" w:themeColor="accent5"/>
          <w:right w:val="single" w:sz="8" w:space="0" w:color="FCECDE" w:themeColor="accent5"/>
          <w:insideV w:val="single" w:sz="8" w:space="0" w:color="FCECDE" w:themeColor="accent5"/>
        </w:tcBorders>
        <w:shd w:val="clear" w:color="auto" w:fill="FEFAF6" w:themeFill="accent5" w:themeFillTint="3F"/>
      </w:tcPr>
    </w:tblStylePr>
    <w:tblStylePr w:type="band2Horz">
      <w:tblPr/>
      <w:tcPr>
        <w:tcBorders>
          <w:top w:val="single" w:sz="8" w:space="0" w:color="FCECDE" w:themeColor="accent5"/>
          <w:left w:val="single" w:sz="8" w:space="0" w:color="FCECDE" w:themeColor="accent5"/>
          <w:bottom w:val="single" w:sz="8" w:space="0" w:color="FCECDE" w:themeColor="accent5"/>
          <w:right w:val="single" w:sz="8" w:space="0" w:color="FCECDE" w:themeColor="accent5"/>
          <w:insideV w:val="single" w:sz="8" w:space="0" w:color="FCECDE" w:themeColor="accent5"/>
        </w:tcBorders>
      </w:tcPr>
    </w:tblStylePr>
  </w:style>
  <w:style w:type="table" w:styleId="Lystrutenettuthevingsfarge6">
    <w:name w:val="Light Grid Accent 6"/>
    <w:basedOn w:val="Vanligtabell"/>
    <w:uiPriority w:val="62"/>
    <w:semiHidden/>
    <w:unhideWhenUsed/>
    <w:rsid w:val="00893D2C"/>
    <w:pPr>
      <w:spacing w:after="0" w:line="240" w:lineRule="auto"/>
    </w:pPr>
    <w:tblPr>
      <w:tblStyleRowBandSize w:val="1"/>
      <w:tblStyleColBandSize w:val="1"/>
      <w:tblBorders>
        <w:top w:val="single" w:sz="8" w:space="0" w:color="F2F8F8" w:themeColor="accent6"/>
        <w:left w:val="single" w:sz="8" w:space="0" w:color="F2F8F8" w:themeColor="accent6"/>
        <w:bottom w:val="single" w:sz="8" w:space="0" w:color="F2F8F8" w:themeColor="accent6"/>
        <w:right w:val="single" w:sz="8" w:space="0" w:color="F2F8F8" w:themeColor="accent6"/>
        <w:insideH w:val="single" w:sz="8" w:space="0" w:color="F2F8F8" w:themeColor="accent6"/>
        <w:insideV w:val="single" w:sz="8" w:space="0" w:color="F2F8F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2F8F8" w:themeColor="accent6"/>
          <w:left w:val="single" w:sz="8" w:space="0" w:color="F2F8F8" w:themeColor="accent6"/>
          <w:bottom w:val="single" w:sz="18" w:space="0" w:color="F2F8F8" w:themeColor="accent6"/>
          <w:right w:val="single" w:sz="8" w:space="0" w:color="F2F8F8" w:themeColor="accent6"/>
          <w:insideH w:val="nil"/>
          <w:insideV w:val="single" w:sz="8" w:space="0" w:color="F2F8F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F8F8" w:themeColor="accent6"/>
          <w:left w:val="single" w:sz="8" w:space="0" w:color="F2F8F8" w:themeColor="accent6"/>
          <w:bottom w:val="single" w:sz="8" w:space="0" w:color="F2F8F8" w:themeColor="accent6"/>
          <w:right w:val="single" w:sz="8" w:space="0" w:color="F2F8F8" w:themeColor="accent6"/>
          <w:insideH w:val="nil"/>
          <w:insideV w:val="single" w:sz="8" w:space="0" w:color="F2F8F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F8F8" w:themeColor="accent6"/>
          <w:left w:val="single" w:sz="8" w:space="0" w:color="F2F8F8" w:themeColor="accent6"/>
          <w:bottom w:val="single" w:sz="8" w:space="0" w:color="F2F8F8" w:themeColor="accent6"/>
          <w:right w:val="single" w:sz="8" w:space="0" w:color="F2F8F8" w:themeColor="accent6"/>
        </w:tcBorders>
      </w:tcPr>
    </w:tblStylePr>
    <w:tblStylePr w:type="band1Vert">
      <w:tblPr/>
      <w:tcPr>
        <w:tcBorders>
          <w:top w:val="single" w:sz="8" w:space="0" w:color="F2F8F8" w:themeColor="accent6"/>
          <w:left w:val="single" w:sz="8" w:space="0" w:color="F2F8F8" w:themeColor="accent6"/>
          <w:bottom w:val="single" w:sz="8" w:space="0" w:color="F2F8F8" w:themeColor="accent6"/>
          <w:right w:val="single" w:sz="8" w:space="0" w:color="F2F8F8" w:themeColor="accent6"/>
        </w:tcBorders>
        <w:shd w:val="clear" w:color="auto" w:fill="FBFDFD" w:themeFill="accent6" w:themeFillTint="3F"/>
      </w:tcPr>
    </w:tblStylePr>
    <w:tblStylePr w:type="band1Horz">
      <w:tblPr/>
      <w:tcPr>
        <w:tcBorders>
          <w:top w:val="single" w:sz="8" w:space="0" w:color="F2F8F8" w:themeColor="accent6"/>
          <w:left w:val="single" w:sz="8" w:space="0" w:color="F2F8F8" w:themeColor="accent6"/>
          <w:bottom w:val="single" w:sz="8" w:space="0" w:color="F2F8F8" w:themeColor="accent6"/>
          <w:right w:val="single" w:sz="8" w:space="0" w:color="F2F8F8" w:themeColor="accent6"/>
          <w:insideV w:val="single" w:sz="8" w:space="0" w:color="F2F8F8" w:themeColor="accent6"/>
        </w:tcBorders>
        <w:shd w:val="clear" w:color="auto" w:fill="FBFDFD" w:themeFill="accent6" w:themeFillTint="3F"/>
      </w:tcPr>
    </w:tblStylePr>
    <w:tblStylePr w:type="band2Horz">
      <w:tblPr/>
      <w:tcPr>
        <w:tcBorders>
          <w:top w:val="single" w:sz="8" w:space="0" w:color="F2F8F8" w:themeColor="accent6"/>
          <w:left w:val="single" w:sz="8" w:space="0" w:color="F2F8F8" w:themeColor="accent6"/>
          <w:bottom w:val="single" w:sz="8" w:space="0" w:color="F2F8F8" w:themeColor="accent6"/>
          <w:right w:val="single" w:sz="8" w:space="0" w:color="F2F8F8" w:themeColor="accent6"/>
          <w:insideV w:val="single" w:sz="8" w:space="0" w:color="F2F8F8" w:themeColor="accent6"/>
        </w:tcBorders>
      </w:tcPr>
    </w:tblStylePr>
  </w:style>
  <w:style w:type="paragraph" w:styleId="Makrotekst">
    <w:name w:val="macro"/>
    <w:link w:val="MakrotekstTegn"/>
    <w:uiPriority w:val="99"/>
    <w:semiHidden/>
    <w:unhideWhenUsed/>
    <w:rsid w:val="00893D2C"/>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kstTegn">
    <w:name w:val="Makrotekst Tegn"/>
    <w:basedOn w:val="Standardskriftforavsnitt"/>
    <w:link w:val="Makrotekst"/>
    <w:uiPriority w:val="99"/>
    <w:semiHidden/>
    <w:rsid w:val="00893D2C"/>
    <w:rPr>
      <w:rFonts w:ascii="Consolas" w:hAnsi="Consolas"/>
      <w:sz w:val="20"/>
      <w:szCs w:val="20"/>
    </w:rPr>
  </w:style>
  <w:style w:type="paragraph" w:styleId="Meldingshode">
    <w:name w:val="Message Header"/>
    <w:basedOn w:val="Normal"/>
    <w:link w:val="MeldingshodeTegn"/>
    <w:uiPriority w:val="99"/>
    <w:semiHidden/>
    <w:unhideWhenUsed/>
    <w:rsid w:val="00893D2C"/>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ldingshodeTegn">
    <w:name w:val="Meldingshode Tegn"/>
    <w:basedOn w:val="Standardskriftforavsnitt"/>
    <w:link w:val="Meldingshode"/>
    <w:uiPriority w:val="99"/>
    <w:semiHidden/>
    <w:rsid w:val="00893D2C"/>
    <w:rPr>
      <w:rFonts w:asciiTheme="majorHAnsi" w:eastAsiaTheme="majorEastAsia" w:hAnsiTheme="majorHAnsi" w:cstheme="majorBidi"/>
      <w:sz w:val="24"/>
      <w:szCs w:val="24"/>
      <w:shd w:val="pct20" w:color="auto" w:fill="auto"/>
    </w:rPr>
  </w:style>
  <w:style w:type="character" w:styleId="Merknadsreferanse">
    <w:name w:val="annotation reference"/>
    <w:basedOn w:val="Standardskriftforavsnitt"/>
    <w:uiPriority w:val="99"/>
    <w:semiHidden/>
    <w:unhideWhenUsed/>
    <w:rsid w:val="00893D2C"/>
    <w:rPr>
      <w:sz w:val="16"/>
      <w:szCs w:val="16"/>
    </w:rPr>
  </w:style>
  <w:style w:type="table" w:styleId="Middelsliste1">
    <w:name w:val="Medium List 1"/>
    <w:basedOn w:val="Vanligtabell"/>
    <w:uiPriority w:val="65"/>
    <w:semiHidden/>
    <w:unhideWhenUsed/>
    <w:rsid w:val="00893D2C"/>
    <w:pPr>
      <w:spacing w:after="0" w:line="240" w:lineRule="auto"/>
    </w:pPr>
    <w:rPr>
      <w:color w:val="26261E" w:themeColor="text1"/>
    </w:rPr>
    <w:tblPr>
      <w:tblStyleRowBandSize w:val="1"/>
      <w:tblStyleColBandSize w:val="1"/>
      <w:tblBorders>
        <w:top w:val="single" w:sz="8" w:space="0" w:color="26261E" w:themeColor="text1"/>
        <w:bottom w:val="single" w:sz="8" w:space="0" w:color="26261E" w:themeColor="text1"/>
      </w:tblBorders>
    </w:tblPr>
    <w:tblStylePr w:type="firstRow">
      <w:rPr>
        <w:rFonts w:asciiTheme="majorHAnsi" w:eastAsiaTheme="majorEastAsia" w:hAnsiTheme="majorHAnsi" w:cstheme="majorBidi"/>
      </w:rPr>
      <w:tblPr/>
      <w:tcPr>
        <w:tcBorders>
          <w:top w:val="nil"/>
          <w:bottom w:val="single" w:sz="8" w:space="0" w:color="26261E" w:themeColor="text1"/>
        </w:tcBorders>
      </w:tcPr>
    </w:tblStylePr>
    <w:tblStylePr w:type="lastRow">
      <w:rPr>
        <w:b/>
        <w:bCs/>
        <w:color w:val="828282" w:themeColor="text2"/>
      </w:rPr>
      <w:tblPr/>
      <w:tcPr>
        <w:tcBorders>
          <w:top w:val="single" w:sz="8" w:space="0" w:color="26261E" w:themeColor="text1"/>
          <w:bottom w:val="single" w:sz="8" w:space="0" w:color="26261E" w:themeColor="text1"/>
        </w:tcBorders>
      </w:tcPr>
    </w:tblStylePr>
    <w:tblStylePr w:type="firstCol">
      <w:rPr>
        <w:b/>
        <w:bCs/>
      </w:rPr>
    </w:tblStylePr>
    <w:tblStylePr w:type="lastCol">
      <w:rPr>
        <w:b/>
        <w:bCs/>
      </w:rPr>
      <w:tblPr/>
      <w:tcPr>
        <w:tcBorders>
          <w:top w:val="single" w:sz="8" w:space="0" w:color="26261E" w:themeColor="text1"/>
          <w:bottom w:val="single" w:sz="8" w:space="0" w:color="26261E" w:themeColor="text1"/>
        </w:tcBorders>
      </w:tcPr>
    </w:tblStylePr>
    <w:tblStylePr w:type="band1Vert">
      <w:tblPr/>
      <w:tcPr>
        <w:shd w:val="clear" w:color="auto" w:fill="CECEC1" w:themeFill="text1" w:themeFillTint="3F"/>
      </w:tcPr>
    </w:tblStylePr>
    <w:tblStylePr w:type="band1Horz">
      <w:tblPr/>
      <w:tcPr>
        <w:shd w:val="clear" w:color="auto" w:fill="CECEC1" w:themeFill="text1" w:themeFillTint="3F"/>
      </w:tcPr>
    </w:tblStylePr>
  </w:style>
  <w:style w:type="table" w:styleId="Middelsliste1uthevingsfarge1">
    <w:name w:val="Medium List 1 Accent 1"/>
    <w:basedOn w:val="Vanligtabell"/>
    <w:uiPriority w:val="65"/>
    <w:semiHidden/>
    <w:unhideWhenUsed/>
    <w:rsid w:val="00893D2C"/>
    <w:pPr>
      <w:spacing w:after="0" w:line="240" w:lineRule="auto"/>
    </w:pPr>
    <w:rPr>
      <w:color w:val="26261E" w:themeColor="text1"/>
    </w:rPr>
    <w:tblPr>
      <w:tblStyleRowBandSize w:val="1"/>
      <w:tblStyleColBandSize w:val="1"/>
      <w:tblBorders>
        <w:top w:val="single" w:sz="8" w:space="0" w:color="262682" w:themeColor="accent1"/>
        <w:bottom w:val="single" w:sz="8" w:space="0" w:color="262682" w:themeColor="accent1"/>
      </w:tblBorders>
    </w:tblPr>
    <w:tblStylePr w:type="firstRow">
      <w:rPr>
        <w:rFonts w:asciiTheme="majorHAnsi" w:eastAsiaTheme="majorEastAsia" w:hAnsiTheme="majorHAnsi" w:cstheme="majorBidi"/>
      </w:rPr>
      <w:tblPr/>
      <w:tcPr>
        <w:tcBorders>
          <w:top w:val="nil"/>
          <w:bottom w:val="single" w:sz="8" w:space="0" w:color="262682" w:themeColor="accent1"/>
        </w:tcBorders>
      </w:tcPr>
    </w:tblStylePr>
    <w:tblStylePr w:type="lastRow">
      <w:rPr>
        <w:b/>
        <w:bCs/>
        <w:color w:val="828282" w:themeColor="text2"/>
      </w:rPr>
      <w:tblPr/>
      <w:tcPr>
        <w:tcBorders>
          <w:top w:val="single" w:sz="8" w:space="0" w:color="262682" w:themeColor="accent1"/>
          <w:bottom w:val="single" w:sz="8" w:space="0" w:color="262682" w:themeColor="accent1"/>
        </w:tcBorders>
      </w:tcPr>
    </w:tblStylePr>
    <w:tblStylePr w:type="firstCol">
      <w:rPr>
        <w:b/>
        <w:bCs/>
      </w:rPr>
    </w:tblStylePr>
    <w:tblStylePr w:type="lastCol">
      <w:rPr>
        <w:b/>
        <w:bCs/>
      </w:rPr>
      <w:tblPr/>
      <w:tcPr>
        <w:tcBorders>
          <w:top w:val="single" w:sz="8" w:space="0" w:color="262682" w:themeColor="accent1"/>
          <w:bottom w:val="single" w:sz="8" w:space="0" w:color="262682" w:themeColor="accent1"/>
        </w:tcBorders>
      </w:tcPr>
    </w:tblStylePr>
    <w:tblStylePr w:type="band1Vert">
      <w:tblPr/>
      <w:tcPr>
        <w:shd w:val="clear" w:color="auto" w:fill="BDBDEB" w:themeFill="accent1" w:themeFillTint="3F"/>
      </w:tcPr>
    </w:tblStylePr>
    <w:tblStylePr w:type="band1Horz">
      <w:tblPr/>
      <w:tcPr>
        <w:shd w:val="clear" w:color="auto" w:fill="BDBDEB" w:themeFill="accent1" w:themeFillTint="3F"/>
      </w:tcPr>
    </w:tblStylePr>
  </w:style>
  <w:style w:type="table" w:styleId="Middelsliste1uthevingsfarge2">
    <w:name w:val="Medium List 1 Accent 2"/>
    <w:basedOn w:val="Vanligtabell"/>
    <w:uiPriority w:val="65"/>
    <w:semiHidden/>
    <w:unhideWhenUsed/>
    <w:rsid w:val="00893D2C"/>
    <w:pPr>
      <w:spacing w:after="0" w:line="240" w:lineRule="auto"/>
    </w:pPr>
    <w:rPr>
      <w:color w:val="26261E" w:themeColor="text1"/>
    </w:rPr>
    <w:tblPr>
      <w:tblStyleRowBandSize w:val="1"/>
      <w:tblStyleColBandSize w:val="1"/>
      <w:tblBorders>
        <w:top w:val="single" w:sz="8" w:space="0" w:color="FFB26D" w:themeColor="accent2"/>
        <w:bottom w:val="single" w:sz="8" w:space="0" w:color="FFB26D" w:themeColor="accent2"/>
      </w:tblBorders>
    </w:tblPr>
    <w:tblStylePr w:type="firstRow">
      <w:rPr>
        <w:rFonts w:asciiTheme="majorHAnsi" w:eastAsiaTheme="majorEastAsia" w:hAnsiTheme="majorHAnsi" w:cstheme="majorBidi"/>
      </w:rPr>
      <w:tblPr/>
      <w:tcPr>
        <w:tcBorders>
          <w:top w:val="nil"/>
          <w:bottom w:val="single" w:sz="8" w:space="0" w:color="FFB26D" w:themeColor="accent2"/>
        </w:tcBorders>
      </w:tcPr>
    </w:tblStylePr>
    <w:tblStylePr w:type="lastRow">
      <w:rPr>
        <w:b/>
        <w:bCs/>
        <w:color w:val="828282" w:themeColor="text2"/>
      </w:rPr>
      <w:tblPr/>
      <w:tcPr>
        <w:tcBorders>
          <w:top w:val="single" w:sz="8" w:space="0" w:color="FFB26D" w:themeColor="accent2"/>
          <w:bottom w:val="single" w:sz="8" w:space="0" w:color="FFB26D" w:themeColor="accent2"/>
        </w:tcBorders>
      </w:tcPr>
    </w:tblStylePr>
    <w:tblStylePr w:type="firstCol">
      <w:rPr>
        <w:b/>
        <w:bCs/>
      </w:rPr>
    </w:tblStylePr>
    <w:tblStylePr w:type="lastCol">
      <w:rPr>
        <w:b/>
        <w:bCs/>
      </w:rPr>
      <w:tblPr/>
      <w:tcPr>
        <w:tcBorders>
          <w:top w:val="single" w:sz="8" w:space="0" w:color="FFB26D" w:themeColor="accent2"/>
          <w:bottom w:val="single" w:sz="8" w:space="0" w:color="FFB26D" w:themeColor="accent2"/>
        </w:tcBorders>
      </w:tcPr>
    </w:tblStylePr>
    <w:tblStylePr w:type="band1Vert">
      <w:tblPr/>
      <w:tcPr>
        <w:shd w:val="clear" w:color="auto" w:fill="FFEBDA" w:themeFill="accent2" w:themeFillTint="3F"/>
      </w:tcPr>
    </w:tblStylePr>
    <w:tblStylePr w:type="band1Horz">
      <w:tblPr/>
      <w:tcPr>
        <w:shd w:val="clear" w:color="auto" w:fill="FFEBDA" w:themeFill="accent2" w:themeFillTint="3F"/>
      </w:tcPr>
    </w:tblStylePr>
  </w:style>
  <w:style w:type="table" w:styleId="Middelsliste1uthevingsfarge3">
    <w:name w:val="Medium List 1 Accent 3"/>
    <w:basedOn w:val="Vanligtabell"/>
    <w:uiPriority w:val="65"/>
    <w:semiHidden/>
    <w:unhideWhenUsed/>
    <w:rsid w:val="00893D2C"/>
    <w:pPr>
      <w:spacing w:after="0" w:line="240" w:lineRule="auto"/>
    </w:pPr>
    <w:rPr>
      <w:color w:val="26261E" w:themeColor="text1"/>
    </w:rPr>
    <w:tblPr>
      <w:tblStyleRowBandSize w:val="1"/>
      <w:tblStyleColBandSize w:val="1"/>
      <w:tblBorders>
        <w:top w:val="single" w:sz="8" w:space="0" w:color="3E8F98" w:themeColor="accent3"/>
        <w:bottom w:val="single" w:sz="8" w:space="0" w:color="3E8F98" w:themeColor="accent3"/>
      </w:tblBorders>
    </w:tblPr>
    <w:tblStylePr w:type="firstRow">
      <w:rPr>
        <w:rFonts w:asciiTheme="majorHAnsi" w:eastAsiaTheme="majorEastAsia" w:hAnsiTheme="majorHAnsi" w:cstheme="majorBidi"/>
      </w:rPr>
      <w:tblPr/>
      <w:tcPr>
        <w:tcBorders>
          <w:top w:val="nil"/>
          <w:bottom w:val="single" w:sz="8" w:space="0" w:color="3E8F98" w:themeColor="accent3"/>
        </w:tcBorders>
      </w:tcPr>
    </w:tblStylePr>
    <w:tblStylePr w:type="lastRow">
      <w:rPr>
        <w:b/>
        <w:bCs/>
        <w:color w:val="828282" w:themeColor="text2"/>
      </w:rPr>
      <w:tblPr/>
      <w:tcPr>
        <w:tcBorders>
          <w:top w:val="single" w:sz="8" w:space="0" w:color="3E8F98" w:themeColor="accent3"/>
          <w:bottom w:val="single" w:sz="8" w:space="0" w:color="3E8F98" w:themeColor="accent3"/>
        </w:tcBorders>
      </w:tcPr>
    </w:tblStylePr>
    <w:tblStylePr w:type="firstCol">
      <w:rPr>
        <w:b/>
        <w:bCs/>
      </w:rPr>
    </w:tblStylePr>
    <w:tblStylePr w:type="lastCol">
      <w:rPr>
        <w:b/>
        <w:bCs/>
      </w:rPr>
      <w:tblPr/>
      <w:tcPr>
        <w:tcBorders>
          <w:top w:val="single" w:sz="8" w:space="0" w:color="3E8F98" w:themeColor="accent3"/>
          <w:bottom w:val="single" w:sz="8" w:space="0" w:color="3E8F98" w:themeColor="accent3"/>
        </w:tcBorders>
      </w:tcPr>
    </w:tblStylePr>
    <w:tblStylePr w:type="band1Vert">
      <w:tblPr/>
      <w:tcPr>
        <w:shd w:val="clear" w:color="auto" w:fill="CAE6E9" w:themeFill="accent3" w:themeFillTint="3F"/>
      </w:tcPr>
    </w:tblStylePr>
    <w:tblStylePr w:type="band1Horz">
      <w:tblPr/>
      <w:tcPr>
        <w:shd w:val="clear" w:color="auto" w:fill="CAE6E9" w:themeFill="accent3" w:themeFillTint="3F"/>
      </w:tcPr>
    </w:tblStylePr>
  </w:style>
  <w:style w:type="table" w:styleId="Middelsliste1uthevingsfarge4">
    <w:name w:val="Medium List 1 Accent 4"/>
    <w:basedOn w:val="Vanligtabell"/>
    <w:uiPriority w:val="65"/>
    <w:semiHidden/>
    <w:unhideWhenUsed/>
    <w:rsid w:val="00893D2C"/>
    <w:pPr>
      <w:spacing w:after="0" w:line="240" w:lineRule="auto"/>
    </w:pPr>
    <w:rPr>
      <w:color w:val="26261E" w:themeColor="text1"/>
    </w:rPr>
    <w:tblPr>
      <w:tblStyleRowBandSize w:val="1"/>
      <w:tblStyleColBandSize w:val="1"/>
      <w:tblBorders>
        <w:top w:val="single" w:sz="8" w:space="0" w:color="26261E" w:themeColor="accent4"/>
        <w:bottom w:val="single" w:sz="8" w:space="0" w:color="26261E" w:themeColor="accent4"/>
      </w:tblBorders>
    </w:tblPr>
    <w:tblStylePr w:type="firstRow">
      <w:rPr>
        <w:rFonts w:asciiTheme="majorHAnsi" w:eastAsiaTheme="majorEastAsia" w:hAnsiTheme="majorHAnsi" w:cstheme="majorBidi"/>
      </w:rPr>
      <w:tblPr/>
      <w:tcPr>
        <w:tcBorders>
          <w:top w:val="nil"/>
          <w:bottom w:val="single" w:sz="8" w:space="0" w:color="26261E" w:themeColor="accent4"/>
        </w:tcBorders>
      </w:tcPr>
    </w:tblStylePr>
    <w:tblStylePr w:type="lastRow">
      <w:rPr>
        <w:b/>
        <w:bCs/>
        <w:color w:val="828282" w:themeColor="text2"/>
      </w:rPr>
      <w:tblPr/>
      <w:tcPr>
        <w:tcBorders>
          <w:top w:val="single" w:sz="8" w:space="0" w:color="26261E" w:themeColor="accent4"/>
          <w:bottom w:val="single" w:sz="8" w:space="0" w:color="26261E" w:themeColor="accent4"/>
        </w:tcBorders>
      </w:tcPr>
    </w:tblStylePr>
    <w:tblStylePr w:type="firstCol">
      <w:rPr>
        <w:b/>
        <w:bCs/>
      </w:rPr>
    </w:tblStylePr>
    <w:tblStylePr w:type="lastCol">
      <w:rPr>
        <w:b/>
        <w:bCs/>
      </w:rPr>
      <w:tblPr/>
      <w:tcPr>
        <w:tcBorders>
          <w:top w:val="single" w:sz="8" w:space="0" w:color="26261E" w:themeColor="accent4"/>
          <w:bottom w:val="single" w:sz="8" w:space="0" w:color="26261E" w:themeColor="accent4"/>
        </w:tcBorders>
      </w:tcPr>
    </w:tblStylePr>
    <w:tblStylePr w:type="band1Vert">
      <w:tblPr/>
      <w:tcPr>
        <w:shd w:val="clear" w:color="auto" w:fill="CECEC1" w:themeFill="accent4" w:themeFillTint="3F"/>
      </w:tcPr>
    </w:tblStylePr>
    <w:tblStylePr w:type="band1Horz">
      <w:tblPr/>
      <w:tcPr>
        <w:shd w:val="clear" w:color="auto" w:fill="CECEC1" w:themeFill="accent4" w:themeFillTint="3F"/>
      </w:tcPr>
    </w:tblStylePr>
  </w:style>
  <w:style w:type="table" w:styleId="Middelsliste1uthevingsfarge5">
    <w:name w:val="Medium List 1 Accent 5"/>
    <w:basedOn w:val="Vanligtabell"/>
    <w:uiPriority w:val="65"/>
    <w:semiHidden/>
    <w:unhideWhenUsed/>
    <w:rsid w:val="00893D2C"/>
    <w:pPr>
      <w:spacing w:after="0" w:line="240" w:lineRule="auto"/>
    </w:pPr>
    <w:rPr>
      <w:color w:val="26261E" w:themeColor="text1"/>
    </w:rPr>
    <w:tblPr>
      <w:tblStyleRowBandSize w:val="1"/>
      <w:tblStyleColBandSize w:val="1"/>
      <w:tblBorders>
        <w:top w:val="single" w:sz="8" w:space="0" w:color="FCECDE" w:themeColor="accent5"/>
        <w:bottom w:val="single" w:sz="8" w:space="0" w:color="FCECDE" w:themeColor="accent5"/>
      </w:tblBorders>
    </w:tblPr>
    <w:tblStylePr w:type="firstRow">
      <w:rPr>
        <w:rFonts w:asciiTheme="majorHAnsi" w:eastAsiaTheme="majorEastAsia" w:hAnsiTheme="majorHAnsi" w:cstheme="majorBidi"/>
      </w:rPr>
      <w:tblPr/>
      <w:tcPr>
        <w:tcBorders>
          <w:top w:val="nil"/>
          <w:bottom w:val="single" w:sz="8" w:space="0" w:color="FCECDE" w:themeColor="accent5"/>
        </w:tcBorders>
      </w:tcPr>
    </w:tblStylePr>
    <w:tblStylePr w:type="lastRow">
      <w:rPr>
        <w:b/>
        <w:bCs/>
        <w:color w:val="828282" w:themeColor="text2"/>
      </w:rPr>
      <w:tblPr/>
      <w:tcPr>
        <w:tcBorders>
          <w:top w:val="single" w:sz="8" w:space="0" w:color="FCECDE" w:themeColor="accent5"/>
          <w:bottom w:val="single" w:sz="8" w:space="0" w:color="FCECDE" w:themeColor="accent5"/>
        </w:tcBorders>
      </w:tcPr>
    </w:tblStylePr>
    <w:tblStylePr w:type="firstCol">
      <w:rPr>
        <w:b/>
        <w:bCs/>
      </w:rPr>
    </w:tblStylePr>
    <w:tblStylePr w:type="lastCol">
      <w:rPr>
        <w:b/>
        <w:bCs/>
      </w:rPr>
      <w:tblPr/>
      <w:tcPr>
        <w:tcBorders>
          <w:top w:val="single" w:sz="8" w:space="0" w:color="FCECDE" w:themeColor="accent5"/>
          <w:bottom w:val="single" w:sz="8" w:space="0" w:color="FCECDE" w:themeColor="accent5"/>
        </w:tcBorders>
      </w:tcPr>
    </w:tblStylePr>
    <w:tblStylePr w:type="band1Vert">
      <w:tblPr/>
      <w:tcPr>
        <w:shd w:val="clear" w:color="auto" w:fill="FEFAF6" w:themeFill="accent5" w:themeFillTint="3F"/>
      </w:tcPr>
    </w:tblStylePr>
    <w:tblStylePr w:type="band1Horz">
      <w:tblPr/>
      <w:tcPr>
        <w:shd w:val="clear" w:color="auto" w:fill="FEFAF6" w:themeFill="accent5" w:themeFillTint="3F"/>
      </w:tcPr>
    </w:tblStylePr>
  </w:style>
  <w:style w:type="table" w:styleId="Middelsliste1uthevingsfarge6">
    <w:name w:val="Medium List 1 Accent 6"/>
    <w:basedOn w:val="Vanligtabell"/>
    <w:uiPriority w:val="65"/>
    <w:semiHidden/>
    <w:unhideWhenUsed/>
    <w:rsid w:val="00893D2C"/>
    <w:pPr>
      <w:spacing w:after="0" w:line="240" w:lineRule="auto"/>
    </w:pPr>
    <w:rPr>
      <w:color w:val="26261E" w:themeColor="text1"/>
    </w:rPr>
    <w:tblPr>
      <w:tblStyleRowBandSize w:val="1"/>
      <w:tblStyleColBandSize w:val="1"/>
      <w:tblBorders>
        <w:top w:val="single" w:sz="8" w:space="0" w:color="F2F8F8" w:themeColor="accent6"/>
        <w:bottom w:val="single" w:sz="8" w:space="0" w:color="F2F8F8" w:themeColor="accent6"/>
      </w:tblBorders>
    </w:tblPr>
    <w:tblStylePr w:type="firstRow">
      <w:rPr>
        <w:rFonts w:asciiTheme="majorHAnsi" w:eastAsiaTheme="majorEastAsia" w:hAnsiTheme="majorHAnsi" w:cstheme="majorBidi"/>
      </w:rPr>
      <w:tblPr/>
      <w:tcPr>
        <w:tcBorders>
          <w:top w:val="nil"/>
          <w:bottom w:val="single" w:sz="8" w:space="0" w:color="F2F8F8" w:themeColor="accent6"/>
        </w:tcBorders>
      </w:tcPr>
    </w:tblStylePr>
    <w:tblStylePr w:type="lastRow">
      <w:rPr>
        <w:b/>
        <w:bCs/>
        <w:color w:val="828282" w:themeColor="text2"/>
      </w:rPr>
      <w:tblPr/>
      <w:tcPr>
        <w:tcBorders>
          <w:top w:val="single" w:sz="8" w:space="0" w:color="F2F8F8" w:themeColor="accent6"/>
          <w:bottom w:val="single" w:sz="8" w:space="0" w:color="F2F8F8" w:themeColor="accent6"/>
        </w:tcBorders>
      </w:tcPr>
    </w:tblStylePr>
    <w:tblStylePr w:type="firstCol">
      <w:rPr>
        <w:b/>
        <w:bCs/>
      </w:rPr>
    </w:tblStylePr>
    <w:tblStylePr w:type="lastCol">
      <w:rPr>
        <w:b/>
        <w:bCs/>
      </w:rPr>
      <w:tblPr/>
      <w:tcPr>
        <w:tcBorders>
          <w:top w:val="single" w:sz="8" w:space="0" w:color="F2F8F8" w:themeColor="accent6"/>
          <w:bottom w:val="single" w:sz="8" w:space="0" w:color="F2F8F8" w:themeColor="accent6"/>
        </w:tcBorders>
      </w:tcPr>
    </w:tblStylePr>
    <w:tblStylePr w:type="band1Vert">
      <w:tblPr/>
      <w:tcPr>
        <w:shd w:val="clear" w:color="auto" w:fill="FBFDFD" w:themeFill="accent6" w:themeFillTint="3F"/>
      </w:tcPr>
    </w:tblStylePr>
    <w:tblStylePr w:type="band1Horz">
      <w:tblPr/>
      <w:tcPr>
        <w:shd w:val="clear" w:color="auto" w:fill="FBFDFD" w:themeFill="accent6" w:themeFillTint="3F"/>
      </w:tcPr>
    </w:tblStylePr>
  </w:style>
  <w:style w:type="table" w:styleId="Middelsliste2">
    <w:name w:val="Medium List 2"/>
    <w:basedOn w:val="Vanligtabell"/>
    <w:uiPriority w:val="66"/>
    <w:semiHidden/>
    <w:unhideWhenUsed/>
    <w:rsid w:val="00893D2C"/>
    <w:pPr>
      <w:spacing w:after="0" w:line="240" w:lineRule="auto"/>
    </w:pPr>
    <w:rPr>
      <w:rFonts w:asciiTheme="majorHAnsi" w:eastAsiaTheme="majorEastAsia" w:hAnsiTheme="majorHAnsi" w:cstheme="majorBidi"/>
      <w:color w:val="26261E" w:themeColor="text1"/>
    </w:rPr>
    <w:tblPr>
      <w:tblStyleRowBandSize w:val="1"/>
      <w:tblStyleColBandSize w:val="1"/>
      <w:tblBorders>
        <w:top w:val="single" w:sz="8" w:space="0" w:color="26261E" w:themeColor="text1"/>
        <w:left w:val="single" w:sz="8" w:space="0" w:color="26261E" w:themeColor="text1"/>
        <w:bottom w:val="single" w:sz="8" w:space="0" w:color="26261E" w:themeColor="text1"/>
        <w:right w:val="single" w:sz="8" w:space="0" w:color="26261E" w:themeColor="text1"/>
      </w:tblBorders>
    </w:tblPr>
    <w:tblStylePr w:type="firstRow">
      <w:rPr>
        <w:sz w:val="24"/>
        <w:szCs w:val="24"/>
      </w:rPr>
      <w:tblPr/>
      <w:tcPr>
        <w:tcBorders>
          <w:top w:val="nil"/>
          <w:left w:val="nil"/>
          <w:bottom w:val="single" w:sz="24" w:space="0" w:color="26261E"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6261E" w:themeColor="text1"/>
          <w:insideH w:val="nil"/>
          <w:insideV w:val="nil"/>
        </w:tcBorders>
        <w:shd w:val="clear" w:color="auto" w:fill="FFFFFF" w:themeFill="background1"/>
      </w:tcPr>
    </w:tblStylePr>
    <w:tblStylePr w:type="lastCol">
      <w:tblPr/>
      <w:tcPr>
        <w:tcBorders>
          <w:top w:val="nil"/>
          <w:left w:val="single" w:sz="8" w:space="0" w:color="26261E"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CEC1" w:themeFill="text1" w:themeFillTint="3F"/>
      </w:tcPr>
    </w:tblStylePr>
    <w:tblStylePr w:type="band1Horz">
      <w:tblPr/>
      <w:tcPr>
        <w:tcBorders>
          <w:top w:val="nil"/>
          <w:bottom w:val="nil"/>
          <w:insideH w:val="nil"/>
          <w:insideV w:val="nil"/>
        </w:tcBorders>
        <w:shd w:val="clear" w:color="auto" w:fill="CECEC1"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semiHidden/>
    <w:unhideWhenUsed/>
    <w:rsid w:val="00893D2C"/>
    <w:pPr>
      <w:spacing w:after="0" w:line="240" w:lineRule="auto"/>
    </w:pPr>
    <w:rPr>
      <w:rFonts w:asciiTheme="majorHAnsi" w:eastAsiaTheme="majorEastAsia" w:hAnsiTheme="majorHAnsi" w:cstheme="majorBidi"/>
      <w:color w:val="26261E" w:themeColor="text1"/>
    </w:rPr>
    <w:tblPr>
      <w:tblStyleRowBandSize w:val="1"/>
      <w:tblStyleColBandSize w:val="1"/>
      <w:tblBorders>
        <w:top w:val="single" w:sz="8" w:space="0" w:color="262682" w:themeColor="accent1"/>
        <w:left w:val="single" w:sz="8" w:space="0" w:color="262682" w:themeColor="accent1"/>
        <w:bottom w:val="single" w:sz="8" w:space="0" w:color="262682" w:themeColor="accent1"/>
        <w:right w:val="single" w:sz="8" w:space="0" w:color="262682" w:themeColor="accent1"/>
      </w:tblBorders>
    </w:tblPr>
    <w:tblStylePr w:type="firstRow">
      <w:rPr>
        <w:sz w:val="24"/>
        <w:szCs w:val="24"/>
      </w:rPr>
      <w:tblPr/>
      <w:tcPr>
        <w:tcBorders>
          <w:top w:val="nil"/>
          <w:left w:val="nil"/>
          <w:bottom w:val="single" w:sz="24" w:space="0" w:color="262682"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62682" w:themeColor="accent1"/>
          <w:insideH w:val="nil"/>
          <w:insideV w:val="nil"/>
        </w:tcBorders>
        <w:shd w:val="clear" w:color="auto" w:fill="FFFFFF" w:themeFill="background1"/>
      </w:tcPr>
    </w:tblStylePr>
    <w:tblStylePr w:type="lastCol">
      <w:tblPr/>
      <w:tcPr>
        <w:tcBorders>
          <w:top w:val="nil"/>
          <w:left w:val="single" w:sz="8" w:space="0" w:color="2626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BDEB" w:themeFill="accent1" w:themeFillTint="3F"/>
      </w:tcPr>
    </w:tblStylePr>
    <w:tblStylePr w:type="band1Horz">
      <w:tblPr/>
      <w:tcPr>
        <w:tcBorders>
          <w:top w:val="nil"/>
          <w:bottom w:val="nil"/>
          <w:insideH w:val="nil"/>
          <w:insideV w:val="nil"/>
        </w:tcBorders>
        <w:shd w:val="clear" w:color="auto" w:fill="BDBDE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semiHidden/>
    <w:unhideWhenUsed/>
    <w:rsid w:val="00893D2C"/>
    <w:pPr>
      <w:spacing w:after="0" w:line="240" w:lineRule="auto"/>
    </w:pPr>
    <w:rPr>
      <w:rFonts w:asciiTheme="majorHAnsi" w:eastAsiaTheme="majorEastAsia" w:hAnsiTheme="majorHAnsi" w:cstheme="majorBidi"/>
      <w:color w:val="26261E" w:themeColor="text1"/>
    </w:rPr>
    <w:tblPr>
      <w:tblStyleRowBandSize w:val="1"/>
      <w:tblStyleColBandSize w:val="1"/>
      <w:tblBorders>
        <w:top w:val="single" w:sz="8" w:space="0" w:color="FFB26D" w:themeColor="accent2"/>
        <w:left w:val="single" w:sz="8" w:space="0" w:color="FFB26D" w:themeColor="accent2"/>
        <w:bottom w:val="single" w:sz="8" w:space="0" w:color="FFB26D" w:themeColor="accent2"/>
        <w:right w:val="single" w:sz="8" w:space="0" w:color="FFB26D" w:themeColor="accent2"/>
      </w:tblBorders>
    </w:tblPr>
    <w:tblStylePr w:type="firstRow">
      <w:rPr>
        <w:sz w:val="24"/>
        <w:szCs w:val="24"/>
      </w:rPr>
      <w:tblPr/>
      <w:tcPr>
        <w:tcBorders>
          <w:top w:val="nil"/>
          <w:left w:val="nil"/>
          <w:bottom w:val="single" w:sz="24" w:space="0" w:color="FFB26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B26D" w:themeColor="accent2"/>
          <w:insideH w:val="nil"/>
          <w:insideV w:val="nil"/>
        </w:tcBorders>
        <w:shd w:val="clear" w:color="auto" w:fill="FFFFFF" w:themeFill="background1"/>
      </w:tcPr>
    </w:tblStylePr>
    <w:tblStylePr w:type="lastCol">
      <w:tblPr/>
      <w:tcPr>
        <w:tcBorders>
          <w:top w:val="nil"/>
          <w:left w:val="single" w:sz="8" w:space="0" w:color="FFB26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BDA" w:themeFill="accent2" w:themeFillTint="3F"/>
      </w:tcPr>
    </w:tblStylePr>
    <w:tblStylePr w:type="band1Horz">
      <w:tblPr/>
      <w:tcPr>
        <w:tcBorders>
          <w:top w:val="nil"/>
          <w:bottom w:val="nil"/>
          <w:insideH w:val="nil"/>
          <w:insideV w:val="nil"/>
        </w:tcBorders>
        <w:shd w:val="clear" w:color="auto" w:fill="FFEBDA"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semiHidden/>
    <w:unhideWhenUsed/>
    <w:rsid w:val="00893D2C"/>
    <w:pPr>
      <w:spacing w:after="0" w:line="240" w:lineRule="auto"/>
    </w:pPr>
    <w:rPr>
      <w:rFonts w:asciiTheme="majorHAnsi" w:eastAsiaTheme="majorEastAsia" w:hAnsiTheme="majorHAnsi" w:cstheme="majorBidi"/>
      <w:color w:val="26261E" w:themeColor="text1"/>
    </w:rPr>
    <w:tblPr>
      <w:tblStyleRowBandSize w:val="1"/>
      <w:tblStyleColBandSize w:val="1"/>
      <w:tblBorders>
        <w:top w:val="single" w:sz="8" w:space="0" w:color="3E8F98" w:themeColor="accent3"/>
        <w:left w:val="single" w:sz="8" w:space="0" w:color="3E8F98" w:themeColor="accent3"/>
        <w:bottom w:val="single" w:sz="8" w:space="0" w:color="3E8F98" w:themeColor="accent3"/>
        <w:right w:val="single" w:sz="8" w:space="0" w:color="3E8F98" w:themeColor="accent3"/>
      </w:tblBorders>
    </w:tblPr>
    <w:tblStylePr w:type="firstRow">
      <w:rPr>
        <w:sz w:val="24"/>
        <w:szCs w:val="24"/>
      </w:rPr>
      <w:tblPr/>
      <w:tcPr>
        <w:tcBorders>
          <w:top w:val="nil"/>
          <w:left w:val="nil"/>
          <w:bottom w:val="single" w:sz="24" w:space="0" w:color="3E8F98"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E8F98" w:themeColor="accent3"/>
          <w:insideH w:val="nil"/>
          <w:insideV w:val="nil"/>
        </w:tcBorders>
        <w:shd w:val="clear" w:color="auto" w:fill="FFFFFF" w:themeFill="background1"/>
      </w:tcPr>
    </w:tblStylePr>
    <w:tblStylePr w:type="lastCol">
      <w:tblPr/>
      <w:tcPr>
        <w:tcBorders>
          <w:top w:val="nil"/>
          <w:left w:val="single" w:sz="8" w:space="0" w:color="3E8F9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AE6E9" w:themeFill="accent3" w:themeFillTint="3F"/>
      </w:tcPr>
    </w:tblStylePr>
    <w:tblStylePr w:type="band1Horz">
      <w:tblPr/>
      <w:tcPr>
        <w:tcBorders>
          <w:top w:val="nil"/>
          <w:bottom w:val="nil"/>
          <w:insideH w:val="nil"/>
          <w:insideV w:val="nil"/>
        </w:tcBorders>
        <w:shd w:val="clear" w:color="auto" w:fill="CAE6E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semiHidden/>
    <w:unhideWhenUsed/>
    <w:rsid w:val="00893D2C"/>
    <w:pPr>
      <w:spacing w:after="0" w:line="240" w:lineRule="auto"/>
    </w:pPr>
    <w:rPr>
      <w:rFonts w:asciiTheme="majorHAnsi" w:eastAsiaTheme="majorEastAsia" w:hAnsiTheme="majorHAnsi" w:cstheme="majorBidi"/>
      <w:color w:val="26261E" w:themeColor="text1"/>
    </w:rPr>
    <w:tblPr>
      <w:tblStyleRowBandSize w:val="1"/>
      <w:tblStyleColBandSize w:val="1"/>
      <w:tblBorders>
        <w:top w:val="single" w:sz="8" w:space="0" w:color="26261E" w:themeColor="accent4"/>
        <w:left w:val="single" w:sz="8" w:space="0" w:color="26261E" w:themeColor="accent4"/>
        <w:bottom w:val="single" w:sz="8" w:space="0" w:color="26261E" w:themeColor="accent4"/>
        <w:right w:val="single" w:sz="8" w:space="0" w:color="26261E" w:themeColor="accent4"/>
      </w:tblBorders>
    </w:tblPr>
    <w:tblStylePr w:type="firstRow">
      <w:rPr>
        <w:sz w:val="24"/>
        <w:szCs w:val="24"/>
      </w:rPr>
      <w:tblPr/>
      <w:tcPr>
        <w:tcBorders>
          <w:top w:val="nil"/>
          <w:left w:val="nil"/>
          <w:bottom w:val="single" w:sz="24" w:space="0" w:color="26261E"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6261E" w:themeColor="accent4"/>
          <w:insideH w:val="nil"/>
          <w:insideV w:val="nil"/>
        </w:tcBorders>
        <w:shd w:val="clear" w:color="auto" w:fill="FFFFFF" w:themeFill="background1"/>
      </w:tcPr>
    </w:tblStylePr>
    <w:tblStylePr w:type="lastCol">
      <w:tblPr/>
      <w:tcPr>
        <w:tcBorders>
          <w:top w:val="nil"/>
          <w:left w:val="single" w:sz="8" w:space="0" w:color="26261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CEC1" w:themeFill="accent4" w:themeFillTint="3F"/>
      </w:tcPr>
    </w:tblStylePr>
    <w:tblStylePr w:type="band1Horz">
      <w:tblPr/>
      <w:tcPr>
        <w:tcBorders>
          <w:top w:val="nil"/>
          <w:bottom w:val="nil"/>
          <w:insideH w:val="nil"/>
          <w:insideV w:val="nil"/>
        </w:tcBorders>
        <w:shd w:val="clear" w:color="auto" w:fill="CECEC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semiHidden/>
    <w:unhideWhenUsed/>
    <w:rsid w:val="00893D2C"/>
    <w:pPr>
      <w:spacing w:after="0" w:line="240" w:lineRule="auto"/>
    </w:pPr>
    <w:rPr>
      <w:rFonts w:asciiTheme="majorHAnsi" w:eastAsiaTheme="majorEastAsia" w:hAnsiTheme="majorHAnsi" w:cstheme="majorBidi"/>
      <w:color w:val="26261E" w:themeColor="text1"/>
    </w:rPr>
    <w:tblPr>
      <w:tblStyleRowBandSize w:val="1"/>
      <w:tblStyleColBandSize w:val="1"/>
      <w:tblBorders>
        <w:top w:val="single" w:sz="8" w:space="0" w:color="FCECDE" w:themeColor="accent5"/>
        <w:left w:val="single" w:sz="8" w:space="0" w:color="FCECDE" w:themeColor="accent5"/>
        <w:bottom w:val="single" w:sz="8" w:space="0" w:color="FCECDE" w:themeColor="accent5"/>
        <w:right w:val="single" w:sz="8" w:space="0" w:color="FCECDE" w:themeColor="accent5"/>
      </w:tblBorders>
    </w:tblPr>
    <w:tblStylePr w:type="firstRow">
      <w:rPr>
        <w:sz w:val="24"/>
        <w:szCs w:val="24"/>
      </w:rPr>
      <w:tblPr/>
      <w:tcPr>
        <w:tcBorders>
          <w:top w:val="nil"/>
          <w:left w:val="nil"/>
          <w:bottom w:val="single" w:sz="24" w:space="0" w:color="FCECDE"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CECDE" w:themeColor="accent5"/>
          <w:insideH w:val="nil"/>
          <w:insideV w:val="nil"/>
        </w:tcBorders>
        <w:shd w:val="clear" w:color="auto" w:fill="FFFFFF" w:themeFill="background1"/>
      </w:tcPr>
    </w:tblStylePr>
    <w:tblStylePr w:type="lastCol">
      <w:tblPr/>
      <w:tcPr>
        <w:tcBorders>
          <w:top w:val="nil"/>
          <w:left w:val="single" w:sz="8" w:space="0" w:color="FCECD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FAF6" w:themeFill="accent5" w:themeFillTint="3F"/>
      </w:tcPr>
    </w:tblStylePr>
    <w:tblStylePr w:type="band1Horz">
      <w:tblPr/>
      <w:tcPr>
        <w:tcBorders>
          <w:top w:val="nil"/>
          <w:bottom w:val="nil"/>
          <w:insideH w:val="nil"/>
          <w:insideV w:val="nil"/>
        </w:tcBorders>
        <w:shd w:val="clear" w:color="auto" w:fill="FEFAF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semiHidden/>
    <w:unhideWhenUsed/>
    <w:rsid w:val="00893D2C"/>
    <w:pPr>
      <w:spacing w:after="0" w:line="240" w:lineRule="auto"/>
    </w:pPr>
    <w:rPr>
      <w:rFonts w:asciiTheme="majorHAnsi" w:eastAsiaTheme="majorEastAsia" w:hAnsiTheme="majorHAnsi" w:cstheme="majorBidi"/>
      <w:color w:val="26261E" w:themeColor="text1"/>
    </w:rPr>
    <w:tblPr>
      <w:tblStyleRowBandSize w:val="1"/>
      <w:tblStyleColBandSize w:val="1"/>
      <w:tblBorders>
        <w:top w:val="single" w:sz="8" w:space="0" w:color="F2F8F8" w:themeColor="accent6"/>
        <w:left w:val="single" w:sz="8" w:space="0" w:color="F2F8F8" w:themeColor="accent6"/>
        <w:bottom w:val="single" w:sz="8" w:space="0" w:color="F2F8F8" w:themeColor="accent6"/>
        <w:right w:val="single" w:sz="8" w:space="0" w:color="F2F8F8" w:themeColor="accent6"/>
      </w:tblBorders>
    </w:tblPr>
    <w:tblStylePr w:type="firstRow">
      <w:rPr>
        <w:sz w:val="24"/>
        <w:szCs w:val="24"/>
      </w:rPr>
      <w:tblPr/>
      <w:tcPr>
        <w:tcBorders>
          <w:top w:val="nil"/>
          <w:left w:val="nil"/>
          <w:bottom w:val="single" w:sz="24" w:space="0" w:color="F2F8F8"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2F8F8" w:themeColor="accent6"/>
          <w:insideH w:val="nil"/>
          <w:insideV w:val="nil"/>
        </w:tcBorders>
        <w:shd w:val="clear" w:color="auto" w:fill="FFFFFF" w:themeFill="background1"/>
      </w:tcPr>
    </w:tblStylePr>
    <w:tblStylePr w:type="lastCol">
      <w:tblPr/>
      <w:tcPr>
        <w:tcBorders>
          <w:top w:val="nil"/>
          <w:left w:val="single" w:sz="8" w:space="0" w:color="F2F8F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FDFD" w:themeFill="accent6" w:themeFillTint="3F"/>
      </w:tcPr>
    </w:tblStylePr>
    <w:tblStylePr w:type="band1Horz">
      <w:tblPr/>
      <w:tcPr>
        <w:tcBorders>
          <w:top w:val="nil"/>
          <w:bottom w:val="nil"/>
          <w:insideH w:val="nil"/>
          <w:insideV w:val="nil"/>
        </w:tcBorders>
        <w:shd w:val="clear" w:color="auto" w:fill="FBFDF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semiHidden/>
    <w:unhideWhenUsed/>
    <w:rsid w:val="00893D2C"/>
    <w:pPr>
      <w:spacing w:after="0" w:line="240" w:lineRule="auto"/>
    </w:pPr>
    <w:tblPr>
      <w:tblStyleRowBandSize w:val="1"/>
      <w:tblStyleColBandSize w:val="1"/>
      <w:tblBorders>
        <w:top w:val="single" w:sz="8" w:space="0" w:color="63634E" w:themeColor="text1" w:themeTint="BF"/>
        <w:left w:val="single" w:sz="8" w:space="0" w:color="63634E" w:themeColor="text1" w:themeTint="BF"/>
        <w:bottom w:val="single" w:sz="8" w:space="0" w:color="63634E" w:themeColor="text1" w:themeTint="BF"/>
        <w:right w:val="single" w:sz="8" w:space="0" w:color="63634E" w:themeColor="text1" w:themeTint="BF"/>
        <w:insideH w:val="single" w:sz="8" w:space="0" w:color="63634E" w:themeColor="text1" w:themeTint="BF"/>
        <w:insideV w:val="single" w:sz="8" w:space="0" w:color="63634E" w:themeColor="text1" w:themeTint="BF"/>
      </w:tblBorders>
    </w:tblPr>
    <w:tcPr>
      <w:shd w:val="clear" w:color="auto" w:fill="CECEC1" w:themeFill="text1" w:themeFillTint="3F"/>
    </w:tcPr>
    <w:tblStylePr w:type="firstRow">
      <w:rPr>
        <w:b/>
        <w:bCs/>
      </w:rPr>
    </w:tblStylePr>
    <w:tblStylePr w:type="lastRow">
      <w:rPr>
        <w:b/>
        <w:bCs/>
      </w:rPr>
      <w:tblPr/>
      <w:tcPr>
        <w:tcBorders>
          <w:top w:val="single" w:sz="18" w:space="0" w:color="63634E" w:themeColor="text1" w:themeTint="BF"/>
        </w:tcBorders>
      </w:tcPr>
    </w:tblStylePr>
    <w:tblStylePr w:type="firstCol">
      <w:rPr>
        <w:b/>
        <w:bCs/>
      </w:rPr>
    </w:tblStylePr>
    <w:tblStylePr w:type="lastCol">
      <w:rPr>
        <w:b/>
        <w:bCs/>
      </w:rPr>
    </w:tblStylePr>
    <w:tblStylePr w:type="band1Vert">
      <w:tblPr/>
      <w:tcPr>
        <w:shd w:val="clear" w:color="auto" w:fill="9D9D83" w:themeFill="text1" w:themeFillTint="7F"/>
      </w:tcPr>
    </w:tblStylePr>
    <w:tblStylePr w:type="band1Horz">
      <w:tblPr/>
      <w:tcPr>
        <w:shd w:val="clear" w:color="auto" w:fill="9D9D83" w:themeFill="text1" w:themeFillTint="7F"/>
      </w:tcPr>
    </w:tblStylePr>
  </w:style>
  <w:style w:type="table" w:styleId="Middelsrutenett1uthevingsfarge1">
    <w:name w:val="Medium Grid 1 Accent 1"/>
    <w:basedOn w:val="Vanligtabell"/>
    <w:uiPriority w:val="67"/>
    <w:semiHidden/>
    <w:unhideWhenUsed/>
    <w:rsid w:val="00893D2C"/>
    <w:pPr>
      <w:spacing w:after="0" w:line="240" w:lineRule="auto"/>
    </w:pPr>
    <w:tblPr>
      <w:tblStyleRowBandSize w:val="1"/>
      <w:tblStyleColBandSize w:val="1"/>
      <w:tblBorders>
        <w:top w:val="single" w:sz="8" w:space="0" w:color="3939C4" w:themeColor="accent1" w:themeTint="BF"/>
        <w:left w:val="single" w:sz="8" w:space="0" w:color="3939C4" w:themeColor="accent1" w:themeTint="BF"/>
        <w:bottom w:val="single" w:sz="8" w:space="0" w:color="3939C4" w:themeColor="accent1" w:themeTint="BF"/>
        <w:right w:val="single" w:sz="8" w:space="0" w:color="3939C4" w:themeColor="accent1" w:themeTint="BF"/>
        <w:insideH w:val="single" w:sz="8" w:space="0" w:color="3939C4" w:themeColor="accent1" w:themeTint="BF"/>
        <w:insideV w:val="single" w:sz="8" w:space="0" w:color="3939C4" w:themeColor="accent1" w:themeTint="BF"/>
      </w:tblBorders>
    </w:tblPr>
    <w:tcPr>
      <w:shd w:val="clear" w:color="auto" w:fill="BDBDEB" w:themeFill="accent1" w:themeFillTint="3F"/>
    </w:tcPr>
    <w:tblStylePr w:type="firstRow">
      <w:rPr>
        <w:b/>
        <w:bCs/>
      </w:rPr>
    </w:tblStylePr>
    <w:tblStylePr w:type="lastRow">
      <w:rPr>
        <w:b/>
        <w:bCs/>
      </w:rPr>
      <w:tblPr/>
      <w:tcPr>
        <w:tcBorders>
          <w:top w:val="single" w:sz="18" w:space="0" w:color="3939C4" w:themeColor="accent1" w:themeTint="BF"/>
        </w:tcBorders>
      </w:tcPr>
    </w:tblStylePr>
    <w:tblStylePr w:type="firstCol">
      <w:rPr>
        <w:b/>
        <w:bCs/>
      </w:rPr>
    </w:tblStylePr>
    <w:tblStylePr w:type="lastCol">
      <w:rPr>
        <w:b/>
        <w:bCs/>
      </w:rPr>
    </w:tblStylePr>
    <w:tblStylePr w:type="band1Vert">
      <w:tblPr/>
      <w:tcPr>
        <w:shd w:val="clear" w:color="auto" w:fill="7B7BD8" w:themeFill="accent1" w:themeFillTint="7F"/>
      </w:tcPr>
    </w:tblStylePr>
    <w:tblStylePr w:type="band1Horz">
      <w:tblPr/>
      <w:tcPr>
        <w:shd w:val="clear" w:color="auto" w:fill="7B7BD8" w:themeFill="accent1" w:themeFillTint="7F"/>
      </w:tcPr>
    </w:tblStylePr>
  </w:style>
  <w:style w:type="table" w:styleId="Middelsrutenett1uthevingsfarge2">
    <w:name w:val="Medium Grid 1 Accent 2"/>
    <w:basedOn w:val="Vanligtabell"/>
    <w:uiPriority w:val="67"/>
    <w:semiHidden/>
    <w:unhideWhenUsed/>
    <w:rsid w:val="00893D2C"/>
    <w:pPr>
      <w:spacing w:after="0" w:line="240" w:lineRule="auto"/>
    </w:pPr>
    <w:tblPr>
      <w:tblStyleRowBandSize w:val="1"/>
      <w:tblStyleColBandSize w:val="1"/>
      <w:tblBorders>
        <w:top w:val="single" w:sz="8" w:space="0" w:color="FFC491" w:themeColor="accent2" w:themeTint="BF"/>
        <w:left w:val="single" w:sz="8" w:space="0" w:color="FFC491" w:themeColor="accent2" w:themeTint="BF"/>
        <w:bottom w:val="single" w:sz="8" w:space="0" w:color="FFC491" w:themeColor="accent2" w:themeTint="BF"/>
        <w:right w:val="single" w:sz="8" w:space="0" w:color="FFC491" w:themeColor="accent2" w:themeTint="BF"/>
        <w:insideH w:val="single" w:sz="8" w:space="0" w:color="FFC491" w:themeColor="accent2" w:themeTint="BF"/>
        <w:insideV w:val="single" w:sz="8" w:space="0" w:color="FFC491" w:themeColor="accent2" w:themeTint="BF"/>
      </w:tblBorders>
    </w:tblPr>
    <w:tcPr>
      <w:shd w:val="clear" w:color="auto" w:fill="FFEBDA" w:themeFill="accent2" w:themeFillTint="3F"/>
    </w:tcPr>
    <w:tblStylePr w:type="firstRow">
      <w:rPr>
        <w:b/>
        <w:bCs/>
      </w:rPr>
    </w:tblStylePr>
    <w:tblStylePr w:type="lastRow">
      <w:rPr>
        <w:b/>
        <w:bCs/>
      </w:rPr>
      <w:tblPr/>
      <w:tcPr>
        <w:tcBorders>
          <w:top w:val="single" w:sz="18" w:space="0" w:color="FFC491" w:themeColor="accent2" w:themeTint="BF"/>
        </w:tcBorders>
      </w:tcPr>
    </w:tblStylePr>
    <w:tblStylePr w:type="firstCol">
      <w:rPr>
        <w:b/>
        <w:bCs/>
      </w:rPr>
    </w:tblStylePr>
    <w:tblStylePr w:type="lastCol">
      <w:rPr>
        <w:b/>
        <w:bCs/>
      </w:rPr>
    </w:tblStylePr>
    <w:tblStylePr w:type="band1Vert">
      <w:tblPr/>
      <w:tcPr>
        <w:shd w:val="clear" w:color="auto" w:fill="FFD8B6" w:themeFill="accent2" w:themeFillTint="7F"/>
      </w:tcPr>
    </w:tblStylePr>
    <w:tblStylePr w:type="band1Horz">
      <w:tblPr/>
      <w:tcPr>
        <w:shd w:val="clear" w:color="auto" w:fill="FFD8B6" w:themeFill="accent2" w:themeFillTint="7F"/>
      </w:tcPr>
    </w:tblStylePr>
  </w:style>
  <w:style w:type="table" w:styleId="Middelsrutenett1uthevingsfarge3">
    <w:name w:val="Medium Grid 1 Accent 3"/>
    <w:basedOn w:val="Vanligtabell"/>
    <w:uiPriority w:val="67"/>
    <w:semiHidden/>
    <w:unhideWhenUsed/>
    <w:rsid w:val="00893D2C"/>
    <w:pPr>
      <w:spacing w:after="0" w:line="240" w:lineRule="auto"/>
    </w:pPr>
    <w:tblPr>
      <w:tblStyleRowBandSize w:val="1"/>
      <w:tblStyleColBandSize w:val="1"/>
      <w:tblBorders>
        <w:top w:val="single" w:sz="8" w:space="0" w:color="61B5BE" w:themeColor="accent3" w:themeTint="BF"/>
        <w:left w:val="single" w:sz="8" w:space="0" w:color="61B5BE" w:themeColor="accent3" w:themeTint="BF"/>
        <w:bottom w:val="single" w:sz="8" w:space="0" w:color="61B5BE" w:themeColor="accent3" w:themeTint="BF"/>
        <w:right w:val="single" w:sz="8" w:space="0" w:color="61B5BE" w:themeColor="accent3" w:themeTint="BF"/>
        <w:insideH w:val="single" w:sz="8" w:space="0" w:color="61B5BE" w:themeColor="accent3" w:themeTint="BF"/>
        <w:insideV w:val="single" w:sz="8" w:space="0" w:color="61B5BE" w:themeColor="accent3" w:themeTint="BF"/>
      </w:tblBorders>
    </w:tblPr>
    <w:tcPr>
      <w:shd w:val="clear" w:color="auto" w:fill="CAE6E9" w:themeFill="accent3" w:themeFillTint="3F"/>
    </w:tcPr>
    <w:tblStylePr w:type="firstRow">
      <w:rPr>
        <w:b/>
        <w:bCs/>
      </w:rPr>
    </w:tblStylePr>
    <w:tblStylePr w:type="lastRow">
      <w:rPr>
        <w:b/>
        <w:bCs/>
      </w:rPr>
      <w:tblPr/>
      <w:tcPr>
        <w:tcBorders>
          <w:top w:val="single" w:sz="18" w:space="0" w:color="61B5BE" w:themeColor="accent3" w:themeTint="BF"/>
        </w:tcBorders>
      </w:tcPr>
    </w:tblStylePr>
    <w:tblStylePr w:type="firstCol">
      <w:rPr>
        <w:b/>
        <w:bCs/>
      </w:rPr>
    </w:tblStylePr>
    <w:tblStylePr w:type="lastCol">
      <w:rPr>
        <w:b/>
        <w:bCs/>
      </w:rPr>
    </w:tblStylePr>
    <w:tblStylePr w:type="band1Vert">
      <w:tblPr/>
      <w:tcPr>
        <w:shd w:val="clear" w:color="auto" w:fill="96CDD4" w:themeFill="accent3" w:themeFillTint="7F"/>
      </w:tcPr>
    </w:tblStylePr>
    <w:tblStylePr w:type="band1Horz">
      <w:tblPr/>
      <w:tcPr>
        <w:shd w:val="clear" w:color="auto" w:fill="96CDD4" w:themeFill="accent3" w:themeFillTint="7F"/>
      </w:tcPr>
    </w:tblStylePr>
  </w:style>
  <w:style w:type="table" w:styleId="Middelsrutenett1uthevingsfarge4">
    <w:name w:val="Medium Grid 1 Accent 4"/>
    <w:basedOn w:val="Vanligtabell"/>
    <w:uiPriority w:val="67"/>
    <w:semiHidden/>
    <w:unhideWhenUsed/>
    <w:rsid w:val="00893D2C"/>
    <w:pPr>
      <w:spacing w:after="0" w:line="240" w:lineRule="auto"/>
    </w:pPr>
    <w:tblPr>
      <w:tblStyleRowBandSize w:val="1"/>
      <w:tblStyleColBandSize w:val="1"/>
      <w:tblBorders>
        <w:top w:val="single" w:sz="8" w:space="0" w:color="63634E" w:themeColor="accent4" w:themeTint="BF"/>
        <w:left w:val="single" w:sz="8" w:space="0" w:color="63634E" w:themeColor="accent4" w:themeTint="BF"/>
        <w:bottom w:val="single" w:sz="8" w:space="0" w:color="63634E" w:themeColor="accent4" w:themeTint="BF"/>
        <w:right w:val="single" w:sz="8" w:space="0" w:color="63634E" w:themeColor="accent4" w:themeTint="BF"/>
        <w:insideH w:val="single" w:sz="8" w:space="0" w:color="63634E" w:themeColor="accent4" w:themeTint="BF"/>
        <w:insideV w:val="single" w:sz="8" w:space="0" w:color="63634E" w:themeColor="accent4" w:themeTint="BF"/>
      </w:tblBorders>
    </w:tblPr>
    <w:tcPr>
      <w:shd w:val="clear" w:color="auto" w:fill="CECEC1" w:themeFill="accent4" w:themeFillTint="3F"/>
    </w:tcPr>
    <w:tblStylePr w:type="firstRow">
      <w:rPr>
        <w:b/>
        <w:bCs/>
      </w:rPr>
    </w:tblStylePr>
    <w:tblStylePr w:type="lastRow">
      <w:rPr>
        <w:b/>
        <w:bCs/>
      </w:rPr>
      <w:tblPr/>
      <w:tcPr>
        <w:tcBorders>
          <w:top w:val="single" w:sz="18" w:space="0" w:color="63634E" w:themeColor="accent4" w:themeTint="BF"/>
        </w:tcBorders>
      </w:tcPr>
    </w:tblStylePr>
    <w:tblStylePr w:type="firstCol">
      <w:rPr>
        <w:b/>
        <w:bCs/>
      </w:rPr>
    </w:tblStylePr>
    <w:tblStylePr w:type="lastCol">
      <w:rPr>
        <w:b/>
        <w:bCs/>
      </w:rPr>
    </w:tblStylePr>
    <w:tblStylePr w:type="band1Vert">
      <w:tblPr/>
      <w:tcPr>
        <w:shd w:val="clear" w:color="auto" w:fill="9D9D83" w:themeFill="accent4" w:themeFillTint="7F"/>
      </w:tcPr>
    </w:tblStylePr>
    <w:tblStylePr w:type="band1Horz">
      <w:tblPr/>
      <w:tcPr>
        <w:shd w:val="clear" w:color="auto" w:fill="9D9D83" w:themeFill="accent4" w:themeFillTint="7F"/>
      </w:tcPr>
    </w:tblStylePr>
  </w:style>
  <w:style w:type="table" w:styleId="Middelsrutenett1uthevingsfarge5">
    <w:name w:val="Medium Grid 1 Accent 5"/>
    <w:basedOn w:val="Vanligtabell"/>
    <w:uiPriority w:val="67"/>
    <w:semiHidden/>
    <w:unhideWhenUsed/>
    <w:rsid w:val="00893D2C"/>
    <w:pPr>
      <w:spacing w:after="0" w:line="240" w:lineRule="auto"/>
    </w:pPr>
    <w:tblPr>
      <w:tblStyleRowBandSize w:val="1"/>
      <w:tblStyleColBandSize w:val="1"/>
      <w:tblBorders>
        <w:top w:val="single" w:sz="8" w:space="0" w:color="FCF0E6" w:themeColor="accent5" w:themeTint="BF"/>
        <w:left w:val="single" w:sz="8" w:space="0" w:color="FCF0E6" w:themeColor="accent5" w:themeTint="BF"/>
        <w:bottom w:val="single" w:sz="8" w:space="0" w:color="FCF0E6" w:themeColor="accent5" w:themeTint="BF"/>
        <w:right w:val="single" w:sz="8" w:space="0" w:color="FCF0E6" w:themeColor="accent5" w:themeTint="BF"/>
        <w:insideH w:val="single" w:sz="8" w:space="0" w:color="FCF0E6" w:themeColor="accent5" w:themeTint="BF"/>
        <w:insideV w:val="single" w:sz="8" w:space="0" w:color="FCF0E6" w:themeColor="accent5" w:themeTint="BF"/>
      </w:tblBorders>
    </w:tblPr>
    <w:tcPr>
      <w:shd w:val="clear" w:color="auto" w:fill="FEFAF6" w:themeFill="accent5" w:themeFillTint="3F"/>
    </w:tcPr>
    <w:tblStylePr w:type="firstRow">
      <w:rPr>
        <w:b/>
        <w:bCs/>
      </w:rPr>
    </w:tblStylePr>
    <w:tblStylePr w:type="lastRow">
      <w:rPr>
        <w:b/>
        <w:bCs/>
      </w:rPr>
      <w:tblPr/>
      <w:tcPr>
        <w:tcBorders>
          <w:top w:val="single" w:sz="18" w:space="0" w:color="FCF0E6" w:themeColor="accent5" w:themeTint="BF"/>
        </w:tcBorders>
      </w:tcPr>
    </w:tblStylePr>
    <w:tblStylePr w:type="firstCol">
      <w:rPr>
        <w:b/>
        <w:bCs/>
      </w:rPr>
    </w:tblStylePr>
    <w:tblStylePr w:type="lastCol">
      <w:rPr>
        <w:b/>
        <w:bCs/>
      </w:rPr>
    </w:tblStylePr>
    <w:tblStylePr w:type="band1Vert">
      <w:tblPr/>
      <w:tcPr>
        <w:shd w:val="clear" w:color="auto" w:fill="FDF5EE" w:themeFill="accent5" w:themeFillTint="7F"/>
      </w:tcPr>
    </w:tblStylePr>
    <w:tblStylePr w:type="band1Horz">
      <w:tblPr/>
      <w:tcPr>
        <w:shd w:val="clear" w:color="auto" w:fill="FDF5EE" w:themeFill="accent5" w:themeFillTint="7F"/>
      </w:tcPr>
    </w:tblStylePr>
  </w:style>
  <w:style w:type="table" w:styleId="Middelsrutenett1uthevingsfarge6">
    <w:name w:val="Medium Grid 1 Accent 6"/>
    <w:basedOn w:val="Vanligtabell"/>
    <w:uiPriority w:val="67"/>
    <w:semiHidden/>
    <w:unhideWhenUsed/>
    <w:rsid w:val="00893D2C"/>
    <w:pPr>
      <w:spacing w:after="0" w:line="240" w:lineRule="auto"/>
    </w:pPr>
    <w:tblPr>
      <w:tblStyleRowBandSize w:val="1"/>
      <w:tblStyleColBandSize w:val="1"/>
      <w:tblBorders>
        <w:top w:val="single" w:sz="8" w:space="0" w:color="F5F9F9" w:themeColor="accent6" w:themeTint="BF"/>
        <w:left w:val="single" w:sz="8" w:space="0" w:color="F5F9F9" w:themeColor="accent6" w:themeTint="BF"/>
        <w:bottom w:val="single" w:sz="8" w:space="0" w:color="F5F9F9" w:themeColor="accent6" w:themeTint="BF"/>
        <w:right w:val="single" w:sz="8" w:space="0" w:color="F5F9F9" w:themeColor="accent6" w:themeTint="BF"/>
        <w:insideH w:val="single" w:sz="8" w:space="0" w:color="F5F9F9" w:themeColor="accent6" w:themeTint="BF"/>
        <w:insideV w:val="single" w:sz="8" w:space="0" w:color="F5F9F9" w:themeColor="accent6" w:themeTint="BF"/>
      </w:tblBorders>
    </w:tblPr>
    <w:tcPr>
      <w:shd w:val="clear" w:color="auto" w:fill="FBFDFD" w:themeFill="accent6" w:themeFillTint="3F"/>
    </w:tcPr>
    <w:tblStylePr w:type="firstRow">
      <w:rPr>
        <w:b/>
        <w:bCs/>
      </w:rPr>
    </w:tblStylePr>
    <w:tblStylePr w:type="lastRow">
      <w:rPr>
        <w:b/>
        <w:bCs/>
      </w:rPr>
      <w:tblPr/>
      <w:tcPr>
        <w:tcBorders>
          <w:top w:val="single" w:sz="18" w:space="0" w:color="F5F9F9" w:themeColor="accent6" w:themeTint="BF"/>
        </w:tcBorders>
      </w:tcPr>
    </w:tblStylePr>
    <w:tblStylePr w:type="firstCol">
      <w:rPr>
        <w:b/>
        <w:bCs/>
      </w:rPr>
    </w:tblStylePr>
    <w:tblStylePr w:type="lastCol">
      <w:rPr>
        <w:b/>
        <w:bCs/>
      </w:rPr>
    </w:tblStylePr>
    <w:tblStylePr w:type="band1Vert">
      <w:tblPr/>
      <w:tcPr>
        <w:shd w:val="clear" w:color="auto" w:fill="F8FBFB" w:themeFill="accent6" w:themeFillTint="7F"/>
      </w:tcPr>
    </w:tblStylePr>
    <w:tblStylePr w:type="band1Horz">
      <w:tblPr/>
      <w:tcPr>
        <w:shd w:val="clear" w:color="auto" w:fill="F8FBFB" w:themeFill="accent6" w:themeFillTint="7F"/>
      </w:tcPr>
    </w:tblStylePr>
  </w:style>
  <w:style w:type="table" w:styleId="Middelsrutenett2">
    <w:name w:val="Medium Grid 2"/>
    <w:basedOn w:val="Vanligtabell"/>
    <w:uiPriority w:val="68"/>
    <w:semiHidden/>
    <w:unhideWhenUsed/>
    <w:rsid w:val="00893D2C"/>
    <w:pPr>
      <w:spacing w:after="0" w:line="240" w:lineRule="auto"/>
    </w:pPr>
    <w:rPr>
      <w:rFonts w:asciiTheme="majorHAnsi" w:eastAsiaTheme="majorEastAsia" w:hAnsiTheme="majorHAnsi" w:cstheme="majorBidi"/>
      <w:color w:val="26261E" w:themeColor="text1"/>
    </w:rPr>
    <w:tblPr>
      <w:tblStyleRowBandSize w:val="1"/>
      <w:tblStyleColBandSize w:val="1"/>
      <w:tblBorders>
        <w:top w:val="single" w:sz="8" w:space="0" w:color="26261E" w:themeColor="text1"/>
        <w:left w:val="single" w:sz="8" w:space="0" w:color="26261E" w:themeColor="text1"/>
        <w:bottom w:val="single" w:sz="8" w:space="0" w:color="26261E" w:themeColor="text1"/>
        <w:right w:val="single" w:sz="8" w:space="0" w:color="26261E" w:themeColor="text1"/>
        <w:insideH w:val="single" w:sz="8" w:space="0" w:color="26261E" w:themeColor="text1"/>
        <w:insideV w:val="single" w:sz="8" w:space="0" w:color="26261E" w:themeColor="text1"/>
      </w:tblBorders>
    </w:tblPr>
    <w:tcPr>
      <w:shd w:val="clear" w:color="auto" w:fill="CECEC1" w:themeFill="text1" w:themeFillTint="3F"/>
    </w:tcPr>
    <w:tblStylePr w:type="firstRow">
      <w:rPr>
        <w:b/>
        <w:bCs/>
        <w:color w:val="26261E" w:themeColor="text1"/>
      </w:rPr>
      <w:tblPr/>
      <w:tcPr>
        <w:shd w:val="clear" w:color="auto" w:fill="ECECE6" w:themeFill="text1" w:themeFillTint="19"/>
      </w:tcPr>
    </w:tblStylePr>
    <w:tblStylePr w:type="lastRow">
      <w:rPr>
        <w:b/>
        <w:bCs/>
        <w:color w:val="26261E" w:themeColor="text1"/>
      </w:rPr>
      <w:tblPr/>
      <w:tcPr>
        <w:tcBorders>
          <w:top w:val="single" w:sz="12" w:space="0" w:color="26261E" w:themeColor="text1"/>
          <w:left w:val="nil"/>
          <w:bottom w:val="nil"/>
          <w:right w:val="nil"/>
          <w:insideH w:val="nil"/>
          <w:insideV w:val="nil"/>
        </w:tcBorders>
        <w:shd w:val="clear" w:color="auto" w:fill="FFFFFF" w:themeFill="background1"/>
      </w:tcPr>
    </w:tblStylePr>
    <w:tblStylePr w:type="firstCol">
      <w:rPr>
        <w:b/>
        <w:bCs/>
        <w:color w:val="26261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6261E" w:themeColor="text1"/>
      </w:rPr>
      <w:tblPr/>
      <w:tcPr>
        <w:tcBorders>
          <w:top w:val="nil"/>
          <w:left w:val="nil"/>
          <w:bottom w:val="nil"/>
          <w:right w:val="nil"/>
          <w:insideH w:val="nil"/>
          <w:insideV w:val="nil"/>
        </w:tcBorders>
        <w:shd w:val="clear" w:color="auto" w:fill="D8D8CD" w:themeFill="text1" w:themeFillTint="33"/>
      </w:tcPr>
    </w:tblStylePr>
    <w:tblStylePr w:type="band1Vert">
      <w:tblPr/>
      <w:tcPr>
        <w:shd w:val="clear" w:color="auto" w:fill="9D9D83" w:themeFill="text1" w:themeFillTint="7F"/>
      </w:tcPr>
    </w:tblStylePr>
    <w:tblStylePr w:type="band1Horz">
      <w:tblPr/>
      <w:tcPr>
        <w:tcBorders>
          <w:insideH w:val="single" w:sz="6" w:space="0" w:color="26261E" w:themeColor="text1"/>
          <w:insideV w:val="single" w:sz="6" w:space="0" w:color="26261E" w:themeColor="text1"/>
        </w:tcBorders>
        <w:shd w:val="clear" w:color="auto" w:fill="9D9D83"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semiHidden/>
    <w:unhideWhenUsed/>
    <w:rsid w:val="00893D2C"/>
    <w:pPr>
      <w:spacing w:after="0" w:line="240" w:lineRule="auto"/>
    </w:pPr>
    <w:rPr>
      <w:rFonts w:asciiTheme="majorHAnsi" w:eastAsiaTheme="majorEastAsia" w:hAnsiTheme="majorHAnsi" w:cstheme="majorBidi"/>
      <w:color w:val="26261E" w:themeColor="text1"/>
    </w:rPr>
    <w:tblPr>
      <w:tblStyleRowBandSize w:val="1"/>
      <w:tblStyleColBandSize w:val="1"/>
      <w:tblBorders>
        <w:top w:val="single" w:sz="8" w:space="0" w:color="262682" w:themeColor="accent1"/>
        <w:left w:val="single" w:sz="8" w:space="0" w:color="262682" w:themeColor="accent1"/>
        <w:bottom w:val="single" w:sz="8" w:space="0" w:color="262682" w:themeColor="accent1"/>
        <w:right w:val="single" w:sz="8" w:space="0" w:color="262682" w:themeColor="accent1"/>
        <w:insideH w:val="single" w:sz="8" w:space="0" w:color="262682" w:themeColor="accent1"/>
        <w:insideV w:val="single" w:sz="8" w:space="0" w:color="262682" w:themeColor="accent1"/>
      </w:tblBorders>
    </w:tblPr>
    <w:tcPr>
      <w:shd w:val="clear" w:color="auto" w:fill="BDBDEB" w:themeFill="accent1" w:themeFillTint="3F"/>
    </w:tcPr>
    <w:tblStylePr w:type="firstRow">
      <w:rPr>
        <w:b/>
        <w:bCs/>
        <w:color w:val="26261E" w:themeColor="text1"/>
      </w:rPr>
      <w:tblPr/>
      <w:tcPr>
        <w:shd w:val="clear" w:color="auto" w:fill="E4E4F7" w:themeFill="accent1" w:themeFillTint="19"/>
      </w:tcPr>
    </w:tblStylePr>
    <w:tblStylePr w:type="lastRow">
      <w:rPr>
        <w:b/>
        <w:bCs/>
        <w:color w:val="26261E" w:themeColor="text1"/>
      </w:rPr>
      <w:tblPr/>
      <w:tcPr>
        <w:tcBorders>
          <w:top w:val="single" w:sz="12" w:space="0" w:color="26261E" w:themeColor="text1"/>
          <w:left w:val="nil"/>
          <w:bottom w:val="nil"/>
          <w:right w:val="nil"/>
          <w:insideH w:val="nil"/>
          <w:insideV w:val="nil"/>
        </w:tcBorders>
        <w:shd w:val="clear" w:color="auto" w:fill="FFFFFF" w:themeFill="background1"/>
      </w:tcPr>
    </w:tblStylePr>
    <w:tblStylePr w:type="firstCol">
      <w:rPr>
        <w:b/>
        <w:bCs/>
        <w:color w:val="26261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6261E" w:themeColor="text1"/>
      </w:rPr>
      <w:tblPr/>
      <w:tcPr>
        <w:tcBorders>
          <w:top w:val="nil"/>
          <w:left w:val="nil"/>
          <w:bottom w:val="nil"/>
          <w:right w:val="nil"/>
          <w:insideH w:val="nil"/>
          <w:insideV w:val="nil"/>
        </w:tcBorders>
        <w:shd w:val="clear" w:color="auto" w:fill="C9C9EF" w:themeFill="accent1" w:themeFillTint="33"/>
      </w:tcPr>
    </w:tblStylePr>
    <w:tblStylePr w:type="band1Vert">
      <w:tblPr/>
      <w:tcPr>
        <w:shd w:val="clear" w:color="auto" w:fill="7B7BD8" w:themeFill="accent1" w:themeFillTint="7F"/>
      </w:tcPr>
    </w:tblStylePr>
    <w:tblStylePr w:type="band1Horz">
      <w:tblPr/>
      <w:tcPr>
        <w:tcBorders>
          <w:insideH w:val="single" w:sz="6" w:space="0" w:color="262682" w:themeColor="accent1"/>
          <w:insideV w:val="single" w:sz="6" w:space="0" w:color="262682" w:themeColor="accent1"/>
        </w:tcBorders>
        <w:shd w:val="clear" w:color="auto" w:fill="7B7BD8"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semiHidden/>
    <w:unhideWhenUsed/>
    <w:rsid w:val="00893D2C"/>
    <w:pPr>
      <w:spacing w:after="0" w:line="240" w:lineRule="auto"/>
    </w:pPr>
    <w:rPr>
      <w:rFonts w:asciiTheme="majorHAnsi" w:eastAsiaTheme="majorEastAsia" w:hAnsiTheme="majorHAnsi" w:cstheme="majorBidi"/>
      <w:color w:val="26261E" w:themeColor="text1"/>
    </w:rPr>
    <w:tblPr>
      <w:tblStyleRowBandSize w:val="1"/>
      <w:tblStyleColBandSize w:val="1"/>
      <w:tblBorders>
        <w:top w:val="single" w:sz="8" w:space="0" w:color="FFB26D" w:themeColor="accent2"/>
        <w:left w:val="single" w:sz="8" w:space="0" w:color="FFB26D" w:themeColor="accent2"/>
        <w:bottom w:val="single" w:sz="8" w:space="0" w:color="FFB26D" w:themeColor="accent2"/>
        <w:right w:val="single" w:sz="8" w:space="0" w:color="FFB26D" w:themeColor="accent2"/>
        <w:insideH w:val="single" w:sz="8" w:space="0" w:color="FFB26D" w:themeColor="accent2"/>
        <w:insideV w:val="single" w:sz="8" w:space="0" w:color="FFB26D" w:themeColor="accent2"/>
      </w:tblBorders>
    </w:tblPr>
    <w:tcPr>
      <w:shd w:val="clear" w:color="auto" w:fill="FFEBDA" w:themeFill="accent2" w:themeFillTint="3F"/>
    </w:tcPr>
    <w:tblStylePr w:type="firstRow">
      <w:rPr>
        <w:b/>
        <w:bCs/>
        <w:color w:val="26261E" w:themeColor="text1"/>
      </w:rPr>
      <w:tblPr/>
      <w:tcPr>
        <w:shd w:val="clear" w:color="auto" w:fill="FFF7F0" w:themeFill="accent2" w:themeFillTint="19"/>
      </w:tcPr>
    </w:tblStylePr>
    <w:tblStylePr w:type="lastRow">
      <w:rPr>
        <w:b/>
        <w:bCs/>
        <w:color w:val="26261E" w:themeColor="text1"/>
      </w:rPr>
      <w:tblPr/>
      <w:tcPr>
        <w:tcBorders>
          <w:top w:val="single" w:sz="12" w:space="0" w:color="26261E" w:themeColor="text1"/>
          <w:left w:val="nil"/>
          <w:bottom w:val="nil"/>
          <w:right w:val="nil"/>
          <w:insideH w:val="nil"/>
          <w:insideV w:val="nil"/>
        </w:tcBorders>
        <w:shd w:val="clear" w:color="auto" w:fill="FFFFFF" w:themeFill="background1"/>
      </w:tcPr>
    </w:tblStylePr>
    <w:tblStylePr w:type="firstCol">
      <w:rPr>
        <w:b/>
        <w:bCs/>
        <w:color w:val="26261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6261E" w:themeColor="text1"/>
      </w:rPr>
      <w:tblPr/>
      <w:tcPr>
        <w:tcBorders>
          <w:top w:val="nil"/>
          <w:left w:val="nil"/>
          <w:bottom w:val="nil"/>
          <w:right w:val="nil"/>
          <w:insideH w:val="nil"/>
          <w:insideV w:val="nil"/>
        </w:tcBorders>
        <w:shd w:val="clear" w:color="auto" w:fill="FFEFE1" w:themeFill="accent2" w:themeFillTint="33"/>
      </w:tcPr>
    </w:tblStylePr>
    <w:tblStylePr w:type="band1Vert">
      <w:tblPr/>
      <w:tcPr>
        <w:shd w:val="clear" w:color="auto" w:fill="FFD8B6" w:themeFill="accent2" w:themeFillTint="7F"/>
      </w:tcPr>
    </w:tblStylePr>
    <w:tblStylePr w:type="band1Horz">
      <w:tblPr/>
      <w:tcPr>
        <w:tcBorders>
          <w:insideH w:val="single" w:sz="6" w:space="0" w:color="FFB26D" w:themeColor="accent2"/>
          <w:insideV w:val="single" w:sz="6" w:space="0" w:color="FFB26D" w:themeColor="accent2"/>
        </w:tcBorders>
        <w:shd w:val="clear" w:color="auto" w:fill="FFD8B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semiHidden/>
    <w:unhideWhenUsed/>
    <w:rsid w:val="00893D2C"/>
    <w:pPr>
      <w:spacing w:after="0" w:line="240" w:lineRule="auto"/>
    </w:pPr>
    <w:rPr>
      <w:rFonts w:asciiTheme="majorHAnsi" w:eastAsiaTheme="majorEastAsia" w:hAnsiTheme="majorHAnsi" w:cstheme="majorBidi"/>
      <w:color w:val="26261E" w:themeColor="text1"/>
    </w:rPr>
    <w:tblPr>
      <w:tblStyleRowBandSize w:val="1"/>
      <w:tblStyleColBandSize w:val="1"/>
      <w:tblBorders>
        <w:top w:val="single" w:sz="8" w:space="0" w:color="3E8F98" w:themeColor="accent3"/>
        <w:left w:val="single" w:sz="8" w:space="0" w:color="3E8F98" w:themeColor="accent3"/>
        <w:bottom w:val="single" w:sz="8" w:space="0" w:color="3E8F98" w:themeColor="accent3"/>
        <w:right w:val="single" w:sz="8" w:space="0" w:color="3E8F98" w:themeColor="accent3"/>
        <w:insideH w:val="single" w:sz="8" w:space="0" w:color="3E8F98" w:themeColor="accent3"/>
        <w:insideV w:val="single" w:sz="8" w:space="0" w:color="3E8F98" w:themeColor="accent3"/>
      </w:tblBorders>
    </w:tblPr>
    <w:tcPr>
      <w:shd w:val="clear" w:color="auto" w:fill="CAE6E9" w:themeFill="accent3" w:themeFillTint="3F"/>
    </w:tcPr>
    <w:tblStylePr w:type="firstRow">
      <w:rPr>
        <w:b/>
        <w:bCs/>
        <w:color w:val="26261E" w:themeColor="text1"/>
      </w:rPr>
      <w:tblPr/>
      <w:tcPr>
        <w:shd w:val="clear" w:color="auto" w:fill="EAF5F6" w:themeFill="accent3" w:themeFillTint="19"/>
      </w:tcPr>
    </w:tblStylePr>
    <w:tblStylePr w:type="lastRow">
      <w:rPr>
        <w:b/>
        <w:bCs/>
        <w:color w:val="26261E" w:themeColor="text1"/>
      </w:rPr>
      <w:tblPr/>
      <w:tcPr>
        <w:tcBorders>
          <w:top w:val="single" w:sz="12" w:space="0" w:color="26261E" w:themeColor="text1"/>
          <w:left w:val="nil"/>
          <w:bottom w:val="nil"/>
          <w:right w:val="nil"/>
          <w:insideH w:val="nil"/>
          <w:insideV w:val="nil"/>
        </w:tcBorders>
        <w:shd w:val="clear" w:color="auto" w:fill="FFFFFF" w:themeFill="background1"/>
      </w:tcPr>
    </w:tblStylePr>
    <w:tblStylePr w:type="firstCol">
      <w:rPr>
        <w:b/>
        <w:bCs/>
        <w:color w:val="26261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6261E" w:themeColor="text1"/>
      </w:rPr>
      <w:tblPr/>
      <w:tcPr>
        <w:tcBorders>
          <w:top w:val="nil"/>
          <w:left w:val="nil"/>
          <w:bottom w:val="nil"/>
          <w:right w:val="nil"/>
          <w:insideH w:val="nil"/>
          <w:insideV w:val="nil"/>
        </w:tcBorders>
        <w:shd w:val="clear" w:color="auto" w:fill="D4EBED" w:themeFill="accent3" w:themeFillTint="33"/>
      </w:tcPr>
    </w:tblStylePr>
    <w:tblStylePr w:type="band1Vert">
      <w:tblPr/>
      <w:tcPr>
        <w:shd w:val="clear" w:color="auto" w:fill="96CDD4" w:themeFill="accent3" w:themeFillTint="7F"/>
      </w:tcPr>
    </w:tblStylePr>
    <w:tblStylePr w:type="band1Horz">
      <w:tblPr/>
      <w:tcPr>
        <w:tcBorders>
          <w:insideH w:val="single" w:sz="6" w:space="0" w:color="3E8F98" w:themeColor="accent3"/>
          <w:insideV w:val="single" w:sz="6" w:space="0" w:color="3E8F98" w:themeColor="accent3"/>
        </w:tcBorders>
        <w:shd w:val="clear" w:color="auto" w:fill="96CDD4"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semiHidden/>
    <w:unhideWhenUsed/>
    <w:rsid w:val="00893D2C"/>
    <w:pPr>
      <w:spacing w:after="0" w:line="240" w:lineRule="auto"/>
    </w:pPr>
    <w:rPr>
      <w:rFonts w:asciiTheme="majorHAnsi" w:eastAsiaTheme="majorEastAsia" w:hAnsiTheme="majorHAnsi" w:cstheme="majorBidi"/>
      <w:color w:val="26261E" w:themeColor="text1"/>
    </w:rPr>
    <w:tblPr>
      <w:tblStyleRowBandSize w:val="1"/>
      <w:tblStyleColBandSize w:val="1"/>
      <w:tblBorders>
        <w:top w:val="single" w:sz="8" w:space="0" w:color="26261E" w:themeColor="accent4"/>
        <w:left w:val="single" w:sz="8" w:space="0" w:color="26261E" w:themeColor="accent4"/>
        <w:bottom w:val="single" w:sz="8" w:space="0" w:color="26261E" w:themeColor="accent4"/>
        <w:right w:val="single" w:sz="8" w:space="0" w:color="26261E" w:themeColor="accent4"/>
        <w:insideH w:val="single" w:sz="8" w:space="0" w:color="26261E" w:themeColor="accent4"/>
        <w:insideV w:val="single" w:sz="8" w:space="0" w:color="26261E" w:themeColor="accent4"/>
      </w:tblBorders>
    </w:tblPr>
    <w:tcPr>
      <w:shd w:val="clear" w:color="auto" w:fill="CECEC1" w:themeFill="accent4" w:themeFillTint="3F"/>
    </w:tcPr>
    <w:tblStylePr w:type="firstRow">
      <w:rPr>
        <w:b/>
        <w:bCs/>
        <w:color w:val="26261E" w:themeColor="text1"/>
      </w:rPr>
      <w:tblPr/>
      <w:tcPr>
        <w:shd w:val="clear" w:color="auto" w:fill="ECECE6" w:themeFill="accent4" w:themeFillTint="19"/>
      </w:tcPr>
    </w:tblStylePr>
    <w:tblStylePr w:type="lastRow">
      <w:rPr>
        <w:b/>
        <w:bCs/>
        <w:color w:val="26261E" w:themeColor="text1"/>
      </w:rPr>
      <w:tblPr/>
      <w:tcPr>
        <w:tcBorders>
          <w:top w:val="single" w:sz="12" w:space="0" w:color="26261E" w:themeColor="text1"/>
          <w:left w:val="nil"/>
          <w:bottom w:val="nil"/>
          <w:right w:val="nil"/>
          <w:insideH w:val="nil"/>
          <w:insideV w:val="nil"/>
        </w:tcBorders>
        <w:shd w:val="clear" w:color="auto" w:fill="FFFFFF" w:themeFill="background1"/>
      </w:tcPr>
    </w:tblStylePr>
    <w:tblStylePr w:type="firstCol">
      <w:rPr>
        <w:b/>
        <w:bCs/>
        <w:color w:val="26261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6261E" w:themeColor="text1"/>
      </w:rPr>
      <w:tblPr/>
      <w:tcPr>
        <w:tcBorders>
          <w:top w:val="nil"/>
          <w:left w:val="nil"/>
          <w:bottom w:val="nil"/>
          <w:right w:val="nil"/>
          <w:insideH w:val="nil"/>
          <w:insideV w:val="nil"/>
        </w:tcBorders>
        <w:shd w:val="clear" w:color="auto" w:fill="D8D8CD" w:themeFill="accent4" w:themeFillTint="33"/>
      </w:tcPr>
    </w:tblStylePr>
    <w:tblStylePr w:type="band1Vert">
      <w:tblPr/>
      <w:tcPr>
        <w:shd w:val="clear" w:color="auto" w:fill="9D9D83" w:themeFill="accent4" w:themeFillTint="7F"/>
      </w:tcPr>
    </w:tblStylePr>
    <w:tblStylePr w:type="band1Horz">
      <w:tblPr/>
      <w:tcPr>
        <w:tcBorders>
          <w:insideH w:val="single" w:sz="6" w:space="0" w:color="26261E" w:themeColor="accent4"/>
          <w:insideV w:val="single" w:sz="6" w:space="0" w:color="26261E" w:themeColor="accent4"/>
        </w:tcBorders>
        <w:shd w:val="clear" w:color="auto" w:fill="9D9D83"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semiHidden/>
    <w:unhideWhenUsed/>
    <w:rsid w:val="00893D2C"/>
    <w:pPr>
      <w:spacing w:after="0" w:line="240" w:lineRule="auto"/>
    </w:pPr>
    <w:rPr>
      <w:rFonts w:asciiTheme="majorHAnsi" w:eastAsiaTheme="majorEastAsia" w:hAnsiTheme="majorHAnsi" w:cstheme="majorBidi"/>
      <w:color w:val="26261E" w:themeColor="text1"/>
    </w:rPr>
    <w:tblPr>
      <w:tblStyleRowBandSize w:val="1"/>
      <w:tblStyleColBandSize w:val="1"/>
      <w:tblBorders>
        <w:top w:val="single" w:sz="8" w:space="0" w:color="FCECDE" w:themeColor="accent5"/>
        <w:left w:val="single" w:sz="8" w:space="0" w:color="FCECDE" w:themeColor="accent5"/>
        <w:bottom w:val="single" w:sz="8" w:space="0" w:color="FCECDE" w:themeColor="accent5"/>
        <w:right w:val="single" w:sz="8" w:space="0" w:color="FCECDE" w:themeColor="accent5"/>
        <w:insideH w:val="single" w:sz="8" w:space="0" w:color="FCECDE" w:themeColor="accent5"/>
        <w:insideV w:val="single" w:sz="8" w:space="0" w:color="FCECDE" w:themeColor="accent5"/>
      </w:tblBorders>
    </w:tblPr>
    <w:tcPr>
      <w:shd w:val="clear" w:color="auto" w:fill="FEFAF6" w:themeFill="accent5" w:themeFillTint="3F"/>
    </w:tcPr>
    <w:tblStylePr w:type="firstRow">
      <w:rPr>
        <w:b/>
        <w:bCs/>
        <w:color w:val="26261E" w:themeColor="text1"/>
      </w:rPr>
      <w:tblPr/>
      <w:tcPr>
        <w:shd w:val="clear" w:color="auto" w:fill="FEFDFB" w:themeFill="accent5" w:themeFillTint="19"/>
      </w:tcPr>
    </w:tblStylePr>
    <w:tblStylePr w:type="lastRow">
      <w:rPr>
        <w:b/>
        <w:bCs/>
        <w:color w:val="26261E" w:themeColor="text1"/>
      </w:rPr>
      <w:tblPr/>
      <w:tcPr>
        <w:tcBorders>
          <w:top w:val="single" w:sz="12" w:space="0" w:color="26261E" w:themeColor="text1"/>
          <w:left w:val="nil"/>
          <w:bottom w:val="nil"/>
          <w:right w:val="nil"/>
          <w:insideH w:val="nil"/>
          <w:insideV w:val="nil"/>
        </w:tcBorders>
        <w:shd w:val="clear" w:color="auto" w:fill="FFFFFF" w:themeFill="background1"/>
      </w:tcPr>
    </w:tblStylePr>
    <w:tblStylePr w:type="firstCol">
      <w:rPr>
        <w:b/>
        <w:bCs/>
        <w:color w:val="26261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6261E" w:themeColor="text1"/>
      </w:rPr>
      <w:tblPr/>
      <w:tcPr>
        <w:tcBorders>
          <w:top w:val="nil"/>
          <w:left w:val="nil"/>
          <w:bottom w:val="nil"/>
          <w:right w:val="nil"/>
          <w:insideH w:val="nil"/>
          <w:insideV w:val="nil"/>
        </w:tcBorders>
        <w:shd w:val="clear" w:color="auto" w:fill="FEFBF8" w:themeFill="accent5" w:themeFillTint="33"/>
      </w:tcPr>
    </w:tblStylePr>
    <w:tblStylePr w:type="band1Vert">
      <w:tblPr/>
      <w:tcPr>
        <w:shd w:val="clear" w:color="auto" w:fill="FDF5EE" w:themeFill="accent5" w:themeFillTint="7F"/>
      </w:tcPr>
    </w:tblStylePr>
    <w:tblStylePr w:type="band1Horz">
      <w:tblPr/>
      <w:tcPr>
        <w:tcBorders>
          <w:insideH w:val="single" w:sz="6" w:space="0" w:color="FCECDE" w:themeColor="accent5"/>
          <w:insideV w:val="single" w:sz="6" w:space="0" w:color="FCECDE" w:themeColor="accent5"/>
        </w:tcBorders>
        <w:shd w:val="clear" w:color="auto" w:fill="FDF5EE"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semiHidden/>
    <w:unhideWhenUsed/>
    <w:rsid w:val="00893D2C"/>
    <w:pPr>
      <w:spacing w:after="0" w:line="240" w:lineRule="auto"/>
    </w:pPr>
    <w:rPr>
      <w:rFonts w:asciiTheme="majorHAnsi" w:eastAsiaTheme="majorEastAsia" w:hAnsiTheme="majorHAnsi" w:cstheme="majorBidi"/>
      <w:color w:val="26261E" w:themeColor="text1"/>
    </w:rPr>
    <w:tblPr>
      <w:tblStyleRowBandSize w:val="1"/>
      <w:tblStyleColBandSize w:val="1"/>
      <w:tblBorders>
        <w:top w:val="single" w:sz="8" w:space="0" w:color="F2F8F8" w:themeColor="accent6"/>
        <w:left w:val="single" w:sz="8" w:space="0" w:color="F2F8F8" w:themeColor="accent6"/>
        <w:bottom w:val="single" w:sz="8" w:space="0" w:color="F2F8F8" w:themeColor="accent6"/>
        <w:right w:val="single" w:sz="8" w:space="0" w:color="F2F8F8" w:themeColor="accent6"/>
        <w:insideH w:val="single" w:sz="8" w:space="0" w:color="F2F8F8" w:themeColor="accent6"/>
        <w:insideV w:val="single" w:sz="8" w:space="0" w:color="F2F8F8" w:themeColor="accent6"/>
      </w:tblBorders>
    </w:tblPr>
    <w:tcPr>
      <w:shd w:val="clear" w:color="auto" w:fill="FBFDFD" w:themeFill="accent6" w:themeFillTint="3F"/>
    </w:tcPr>
    <w:tblStylePr w:type="firstRow">
      <w:rPr>
        <w:b/>
        <w:bCs/>
        <w:color w:val="26261E" w:themeColor="text1"/>
      </w:rPr>
      <w:tblPr/>
      <w:tcPr>
        <w:shd w:val="clear" w:color="auto" w:fill="FDFEFE" w:themeFill="accent6" w:themeFillTint="19"/>
      </w:tcPr>
    </w:tblStylePr>
    <w:tblStylePr w:type="lastRow">
      <w:rPr>
        <w:b/>
        <w:bCs/>
        <w:color w:val="26261E" w:themeColor="text1"/>
      </w:rPr>
      <w:tblPr/>
      <w:tcPr>
        <w:tcBorders>
          <w:top w:val="single" w:sz="12" w:space="0" w:color="26261E" w:themeColor="text1"/>
          <w:left w:val="nil"/>
          <w:bottom w:val="nil"/>
          <w:right w:val="nil"/>
          <w:insideH w:val="nil"/>
          <w:insideV w:val="nil"/>
        </w:tcBorders>
        <w:shd w:val="clear" w:color="auto" w:fill="FFFFFF" w:themeFill="background1"/>
      </w:tcPr>
    </w:tblStylePr>
    <w:tblStylePr w:type="firstCol">
      <w:rPr>
        <w:b/>
        <w:bCs/>
        <w:color w:val="26261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6261E" w:themeColor="text1"/>
      </w:rPr>
      <w:tblPr/>
      <w:tcPr>
        <w:tcBorders>
          <w:top w:val="nil"/>
          <w:left w:val="nil"/>
          <w:bottom w:val="nil"/>
          <w:right w:val="nil"/>
          <w:insideH w:val="nil"/>
          <w:insideV w:val="nil"/>
        </w:tcBorders>
        <w:shd w:val="clear" w:color="auto" w:fill="FCFDFD" w:themeFill="accent6" w:themeFillTint="33"/>
      </w:tcPr>
    </w:tblStylePr>
    <w:tblStylePr w:type="band1Vert">
      <w:tblPr/>
      <w:tcPr>
        <w:shd w:val="clear" w:color="auto" w:fill="F8FBFB" w:themeFill="accent6" w:themeFillTint="7F"/>
      </w:tcPr>
    </w:tblStylePr>
    <w:tblStylePr w:type="band1Horz">
      <w:tblPr/>
      <w:tcPr>
        <w:tcBorders>
          <w:insideH w:val="single" w:sz="6" w:space="0" w:color="F2F8F8" w:themeColor="accent6"/>
          <w:insideV w:val="single" w:sz="6" w:space="0" w:color="F2F8F8" w:themeColor="accent6"/>
        </w:tcBorders>
        <w:shd w:val="clear" w:color="auto" w:fill="F8FBFB"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semiHidden/>
    <w:unhideWhenUsed/>
    <w:rsid w:val="00893D2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CEC1"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6261E"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6261E"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6261E"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6261E"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9D83"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9D83" w:themeFill="text1" w:themeFillTint="7F"/>
      </w:tcPr>
    </w:tblStylePr>
  </w:style>
  <w:style w:type="table" w:styleId="Middelsrutenett3uthevingsfarge1">
    <w:name w:val="Medium Grid 3 Accent 1"/>
    <w:basedOn w:val="Vanligtabell"/>
    <w:uiPriority w:val="69"/>
    <w:semiHidden/>
    <w:unhideWhenUsed/>
    <w:rsid w:val="00893D2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BDE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626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626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626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626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7BD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7BD8" w:themeFill="accent1" w:themeFillTint="7F"/>
      </w:tcPr>
    </w:tblStylePr>
  </w:style>
  <w:style w:type="table" w:styleId="Middelsrutenett3uthevingsfarge2">
    <w:name w:val="Medium Grid 3 Accent 2"/>
    <w:basedOn w:val="Vanligtabell"/>
    <w:uiPriority w:val="69"/>
    <w:semiHidden/>
    <w:unhideWhenUsed/>
    <w:rsid w:val="00893D2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BDA"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B26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B26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B26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B26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8B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8B6" w:themeFill="accent2" w:themeFillTint="7F"/>
      </w:tcPr>
    </w:tblStylePr>
  </w:style>
  <w:style w:type="table" w:styleId="Middelsrutenett3uthevingsfarge3">
    <w:name w:val="Medium Grid 3 Accent 3"/>
    <w:basedOn w:val="Vanligtabell"/>
    <w:uiPriority w:val="69"/>
    <w:semiHidden/>
    <w:unhideWhenUsed/>
    <w:rsid w:val="00893D2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AE6E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8F9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8F9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8F9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8F9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6CDD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6CDD4" w:themeFill="accent3" w:themeFillTint="7F"/>
      </w:tcPr>
    </w:tblStylePr>
  </w:style>
  <w:style w:type="table" w:styleId="Middelsrutenett3uthevingsfarge4">
    <w:name w:val="Medium Grid 3 Accent 4"/>
    <w:basedOn w:val="Vanligtabell"/>
    <w:uiPriority w:val="69"/>
    <w:semiHidden/>
    <w:unhideWhenUsed/>
    <w:rsid w:val="00893D2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CEC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6261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6261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6261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6261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9D83"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9D83" w:themeFill="accent4" w:themeFillTint="7F"/>
      </w:tcPr>
    </w:tblStylePr>
  </w:style>
  <w:style w:type="table" w:styleId="Middelsrutenett3uthevingsfarge5">
    <w:name w:val="Medium Grid 3 Accent 5"/>
    <w:basedOn w:val="Vanligtabell"/>
    <w:uiPriority w:val="69"/>
    <w:semiHidden/>
    <w:unhideWhenUsed/>
    <w:rsid w:val="00893D2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FAF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CECD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CECD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CECD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CECD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DF5E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DF5EE" w:themeFill="accent5" w:themeFillTint="7F"/>
      </w:tcPr>
    </w:tblStylePr>
  </w:style>
  <w:style w:type="table" w:styleId="Middelsrutenett3uthevingsfarge6">
    <w:name w:val="Medium Grid 3 Accent 6"/>
    <w:basedOn w:val="Vanligtabell"/>
    <w:uiPriority w:val="69"/>
    <w:semiHidden/>
    <w:unhideWhenUsed/>
    <w:rsid w:val="00893D2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FDF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2F8F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2F8F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2F8F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2F8F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FBF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FBFB" w:themeFill="accent6" w:themeFillTint="7F"/>
      </w:tcPr>
    </w:tblStylePr>
  </w:style>
  <w:style w:type="table" w:styleId="Middelsskyggelegging1">
    <w:name w:val="Medium Shading 1"/>
    <w:basedOn w:val="Vanligtabell"/>
    <w:uiPriority w:val="63"/>
    <w:semiHidden/>
    <w:unhideWhenUsed/>
    <w:rsid w:val="00893D2C"/>
    <w:pPr>
      <w:spacing w:after="0" w:line="240" w:lineRule="auto"/>
    </w:pPr>
    <w:tblPr>
      <w:tblStyleRowBandSize w:val="1"/>
      <w:tblStyleColBandSize w:val="1"/>
      <w:tblBorders>
        <w:top w:val="single" w:sz="8" w:space="0" w:color="63634E" w:themeColor="text1" w:themeTint="BF"/>
        <w:left w:val="single" w:sz="8" w:space="0" w:color="63634E" w:themeColor="text1" w:themeTint="BF"/>
        <w:bottom w:val="single" w:sz="8" w:space="0" w:color="63634E" w:themeColor="text1" w:themeTint="BF"/>
        <w:right w:val="single" w:sz="8" w:space="0" w:color="63634E" w:themeColor="text1" w:themeTint="BF"/>
        <w:insideH w:val="single" w:sz="8" w:space="0" w:color="63634E" w:themeColor="text1" w:themeTint="BF"/>
      </w:tblBorders>
    </w:tblPr>
    <w:tblStylePr w:type="firstRow">
      <w:pPr>
        <w:spacing w:before="0" w:after="0" w:line="240" w:lineRule="auto"/>
      </w:pPr>
      <w:rPr>
        <w:b/>
        <w:bCs/>
        <w:color w:val="FFFFFF" w:themeColor="background1"/>
      </w:rPr>
      <w:tblPr/>
      <w:tcPr>
        <w:tcBorders>
          <w:top w:val="single" w:sz="8" w:space="0" w:color="63634E" w:themeColor="text1" w:themeTint="BF"/>
          <w:left w:val="single" w:sz="8" w:space="0" w:color="63634E" w:themeColor="text1" w:themeTint="BF"/>
          <w:bottom w:val="single" w:sz="8" w:space="0" w:color="63634E" w:themeColor="text1" w:themeTint="BF"/>
          <w:right w:val="single" w:sz="8" w:space="0" w:color="63634E" w:themeColor="text1" w:themeTint="BF"/>
          <w:insideH w:val="nil"/>
          <w:insideV w:val="nil"/>
        </w:tcBorders>
        <w:shd w:val="clear" w:color="auto" w:fill="26261E" w:themeFill="text1"/>
      </w:tcPr>
    </w:tblStylePr>
    <w:tblStylePr w:type="lastRow">
      <w:pPr>
        <w:spacing w:before="0" w:after="0" w:line="240" w:lineRule="auto"/>
      </w:pPr>
      <w:rPr>
        <w:b/>
        <w:bCs/>
      </w:rPr>
      <w:tblPr/>
      <w:tcPr>
        <w:tcBorders>
          <w:top w:val="double" w:sz="6" w:space="0" w:color="63634E" w:themeColor="text1" w:themeTint="BF"/>
          <w:left w:val="single" w:sz="8" w:space="0" w:color="63634E" w:themeColor="text1" w:themeTint="BF"/>
          <w:bottom w:val="single" w:sz="8" w:space="0" w:color="63634E" w:themeColor="text1" w:themeTint="BF"/>
          <w:right w:val="single" w:sz="8" w:space="0" w:color="63634E" w:themeColor="text1" w:themeTint="BF"/>
          <w:insideH w:val="nil"/>
          <w:insideV w:val="nil"/>
        </w:tcBorders>
      </w:tcPr>
    </w:tblStylePr>
    <w:tblStylePr w:type="firstCol">
      <w:rPr>
        <w:b/>
        <w:bCs/>
      </w:rPr>
    </w:tblStylePr>
    <w:tblStylePr w:type="lastCol">
      <w:rPr>
        <w:b/>
        <w:bCs/>
      </w:rPr>
    </w:tblStylePr>
    <w:tblStylePr w:type="band1Vert">
      <w:tblPr/>
      <w:tcPr>
        <w:shd w:val="clear" w:color="auto" w:fill="CECEC1" w:themeFill="text1" w:themeFillTint="3F"/>
      </w:tcPr>
    </w:tblStylePr>
    <w:tblStylePr w:type="band1Horz">
      <w:tblPr/>
      <w:tcPr>
        <w:tcBorders>
          <w:insideH w:val="nil"/>
          <w:insideV w:val="nil"/>
        </w:tcBorders>
        <w:shd w:val="clear" w:color="auto" w:fill="CECEC1"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semiHidden/>
    <w:unhideWhenUsed/>
    <w:rsid w:val="00893D2C"/>
    <w:pPr>
      <w:spacing w:after="0" w:line="240" w:lineRule="auto"/>
    </w:pPr>
    <w:tblPr>
      <w:tblStyleRowBandSize w:val="1"/>
      <w:tblStyleColBandSize w:val="1"/>
      <w:tblBorders>
        <w:top w:val="single" w:sz="8" w:space="0" w:color="3939C4" w:themeColor="accent1" w:themeTint="BF"/>
        <w:left w:val="single" w:sz="8" w:space="0" w:color="3939C4" w:themeColor="accent1" w:themeTint="BF"/>
        <w:bottom w:val="single" w:sz="8" w:space="0" w:color="3939C4" w:themeColor="accent1" w:themeTint="BF"/>
        <w:right w:val="single" w:sz="8" w:space="0" w:color="3939C4" w:themeColor="accent1" w:themeTint="BF"/>
        <w:insideH w:val="single" w:sz="8" w:space="0" w:color="3939C4" w:themeColor="accent1" w:themeTint="BF"/>
      </w:tblBorders>
    </w:tblPr>
    <w:tblStylePr w:type="firstRow">
      <w:pPr>
        <w:spacing w:before="0" w:after="0" w:line="240" w:lineRule="auto"/>
      </w:pPr>
      <w:rPr>
        <w:b/>
        <w:bCs/>
        <w:color w:val="FFFFFF" w:themeColor="background1"/>
      </w:rPr>
      <w:tblPr/>
      <w:tcPr>
        <w:tcBorders>
          <w:top w:val="single" w:sz="8" w:space="0" w:color="3939C4" w:themeColor="accent1" w:themeTint="BF"/>
          <w:left w:val="single" w:sz="8" w:space="0" w:color="3939C4" w:themeColor="accent1" w:themeTint="BF"/>
          <w:bottom w:val="single" w:sz="8" w:space="0" w:color="3939C4" w:themeColor="accent1" w:themeTint="BF"/>
          <w:right w:val="single" w:sz="8" w:space="0" w:color="3939C4" w:themeColor="accent1" w:themeTint="BF"/>
          <w:insideH w:val="nil"/>
          <w:insideV w:val="nil"/>
        </w:tcBorders>
        <w:shd w:val="clear" w:color="auto" w:fill="262682" w:themeFill="accent1"/>
      </w:tcPr>
    </w:tblStylePr>
    <w:tblStylePr w:type="lastRow">
      <w:pPr>
        <w:spacing w:before="0" w:after="0" w:line="240" w:lineRule="auto"/>
      </w:pPr>
      <w:rPr>
        <w:b/>
        <w:bCs/>
      </w:rPr>
      <w:tblPr/>
      <w:tcPr>
        <w:tcBorders>
          <w:top w:val="double" w:sz="6" w:space="0" w:color="3939C4" w:themeColor="accent1" w:themeTint="BF"/>
          <w:left w:val="single" w:sz="8" w:space="0" w:color="3939C4" w:themeColor="accent1" w:themeTint="BF"/>
          <w:bottom w:val="single" w:sz="8" w:space="0" w:color="3939C4" w:themeColor="accent1" w:themeTint="BF"/>
          <w:right w:val="single" w:sz="8" w:space="0" w:color="3939C4" w:themeColor="accent1" w:themeTint="BF"/>
          <w:insideH w:val="nil"/>
          <w:insideV w:val="nil"/>
        </w:tcBorders>
      </w:tcPr>
    </w:tblStylePr>
    <w:tblStylePr w:type="firstCol">
      <w:rPr>
        <w:b/>
        <w:bCs/>
      </w:rPr>
    </w:tblStylePr>
    <w:tblStylePr w:type="lastCol">
      <w:rPr>
        <w:b/>
        <w:bCs/>
      </w:rPr>
    </w:tblStylePr>
    <w:tblStylePr w:type="band1Vert">
      <w:tblPr/>
      <w:tcPr>
        <w:shd w:val="clear" w:color="auto" w:fill="BDBDEB" w:themeFill="accent1" w:themeFillTint="3F"/>
      </w:tcPr>
    </w:tblStylePr>
    <w:tblStylePr w:type="band1Horz">
      <w:tblPr/>
      <w:tcPr>
        <w:tcBorders>
          <w:insideH w:val="nil"/>
          <w:insideV w:val="nil"/>
        </w:tcBorders>
        <w:shd w:val="clear" w:color="auto" w:fill="BDBDEB"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semiHidden/>
    <w:unhideWhenUsed/>
    <w:rsid w:val="00893D2C"/>
    <w:pPr>
      <w:spacing w:after="0" w:line="240" w:lineRule="auto"/>
    </w:pPr>
    <w:tblPr>
      <w:tblStyleRowBandSize w:val="1"/>
      <w:tblStyleColBandSize w:val="1"/>
      <w:tblBorders>
        <w:top w:val="single" w:sz="8" w:space="0" w:color="FFC491" w:themeColor="accent2" w:themeTint="BF"/>
        <w:left w:val="single" w:sz="8" w:space="0" w:color="FFC491" w:themeColor="accent2" w:themeTint="BF"/>
        <w:bottom w:val="single" w:sz="8" w:space="0" w:color="FFC491" w:themeColor="accent2" w:themeTint="BF"/>
        <w:right w:val="single" w:sz="8" w:space="0" w:color="FFC491" w:themeColor="accent2" w:themeTint="BF"/>
        <w:insideH w:val="single" w:sz="8" w:space="0" w:color="FFC491" w:themeColor="accent2" w:themeTint="BF"/>
      </w:tblBorders>
    </w:tblPr>
    <w:tblStylePr w:type="firstRow">
      <w:pPr>
        <w:spacing w:before="0" w:after="0" w:line="240" w:lineRule="auto"/>
      </w:pPr>
      <w:rPr>
        <w:b/>
        <w:bCs/>
        <w:color w:val="FFFFFF" w:themeColor="background1"/>
      </w:rPr>
      <w:tblPr/>
      <w:tcPr>
        <w:tcBorders>
          <w:top w:val="single" w:sz="8" w:space="0" w:color="FFC491" w:themeColor="accent2" w:themeTint="BF"/>
          <w:left w:val="single" w:sz="8" w:space="0" w:color="FFC491" w:themeColor="accent2" w:themeTint="BF"/>
          <w:bottom w:val="single" w:sz="8" w:space="0" w:color="FFC491" w:themeColor="accent2" w:themeTint="BF"/>
          <w:right w:val="single" w:sz="8" w:space="0" w:color="FFC491" w:themeColor="accent2" w:themeTint="BF"/>
          <w:insideH w:val="nil"/>
          <w:insideV w:val="nil"/>
        </w:tcBorders>
        <w:shd w:val="clear" w:color="auto" w:fill="FFB26D" w:themeFill="accent2"/>
      </w:tcPr>
    </w:tblStylePr>
    <w:tblStylePr w:type="lastRow">
      <w:pPr>
        <w:spacing w:before="0" w:after="0" w:line="240" w:lineRule="auto"/>
      </w:pPr>
      <w:rPr>
        <w:b/>
        <w:bCs/>
      </w:rPr>
      <w:tblPr/>
      <w:tcPr>
        <w:tcBorders>
          <w:top w:val="double" w:sz="6" w:space="0" w:color="FFC491" w:themeColor="accent2" w:themeTint="BF"/>
          <w:left w:val="single" w:sz="8" w:space="0" w:color="FFC491" w:themeColor="accent2" w:themeTint="BF"/>
          <w:bottom w:val="single" w:sz="8" w:space="0" w:color="FFC491" w:themeColor="accent2" w:themeTint="BF"/>
          <w:right w:val="single" w:sz="8" w:space="0" w:color="FFC491"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EBDA" w:themeFill="accent2" w:themeFillTint="3F"/>
      </w:tcPr>
    </w:tblStylePr>
    <w:tblStylePr w:type="band1Horz">
      <w:tblPr/>
      <w:tcPr>
        <w:tcBorders>
          <w:insideH w:val="nil"/>
          <w:insideV w:val="nil"/>
        </w:tcBorders>
        <w:shd w:val="clear" w:color="auto" w:fill="FFEBDA"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semiHidden/>
    <w:unhideWhenUsed/>
    <w:rsid w:val="00893D2C"/>
    <w:pPr>
      <w:spacing w:after="0" w:line="240" w:lineRule="auto"/>
    </w:pPr>
    <w:tblPr>
      <w:tblStyleRowBandSize w:val="1"/>
      <w:tblStyleColBandSize w:val="1"/>
      <w:tblBorders>
        <w:top w:val="single" w:sz="8" w:space="0" w:color="61B5BE" w:themeColor="accent3" w:themeTint="BF"/>
        <w:left w:val="single" w:sz="8" w:space="0" w:color="61B5BE" w:themeColor="accent3" w:themeTint="BF"/>
        <w:bottom w:val="single" w:sz="8" w:space="0" w:color="61B5BE" w:themeColor="accent3" w:themeTint="BF"/>
        <w:right w:val="single" w:sz="8" w:space="0" w:color="61B5BE" w:themeColor="accent3" w:themeTint="BF"/>
        <w:insideH w:val="single" w:sz="8" w:space="0" w:color="61B5BE" w:themeColor="accent3" w:themeTint="BF"/>
      </w:tblBorders>
    </w:tblPr>
    <w:tblStylePr w:type="firstRow">
      <w:pPr>
        <w:spacing w:before="0" w:after="0" w:line="240" w:lineRule="auto"/>
      </w:pPr>
      <w:rPr>
        <w:b/>
        <w:bCs/>
        <w:color w:val="FFFFFF" w:themeColor="background1"/>
      </w:rPr>
      <w:tblPr/>
      <w:tcPr>
        <w:tcBorders>
          <w:top w:val="single" w:sz="8" w:space="0" w:color="61B5BE" w:themeColor="accent3" w:themeTint="BF"/>
          <w:left w:val="single" w:sz="8" w:space="0" w:color="61B5BE" w:themeColor="accent3" w:themeTint="BF"/>
          <w:bottom w:val="single" w:sz="8" w:space="0" w:color="61B5BE" w:themeColor="accent3" w:themeTint="BF"/>
          <w:right w:val="single" w:sz="8" w:space="0" w:color="61B5BE" w:themeColor="accent3" w:themeTint="BF"/>
          <w:insideH w:val="nil"/>
          <w:insideV w:val="nil"/>
        </w:tcBorders>
        <w:shd w:val="clear" w:color="auto" w:fill="3E8F98" w:themeFill="accent3"/>
      </w:tcPr>
    </w:tblStylePr>
    <w:tblStylePr w:type="lastRow">
      <w:pPr>
        <w:spacing w:before="0" w:after="0" w:line="240" w:lineRule="auto"/>
      </w:pPr>
      <w:rPr>
        <w:b/>
        <w:bCs/>
      </w:rPr>
      <w:tblPr/>
      <w:tcPr>
        <w:tcBorders>
          <w:top w:val="double" w:sz="6" w:space="0" w:color="61B5BE" w:themeColor="accent3" w:themeTint="BF"/>
          <w:left w:val="single" w:sz="8" w:space="0" w:color="61B5BE" w:themeColor="accent3" w:themeTint="BF"/>
          <w:bottom w:val="single" w:sz="8" w:space="0" w:color="61B5BE" w:themeColor="accent3" w:themeTint="BF"/>
          <w:right w:val="single" w:sz="8" w:space="0" w:color="61B5BE" w:themeColor="accent3" w:themeTint="BF"/>
          <w:insideH w:val="nil"/>
          <w:insideV w:val="nil"/>
        </w:tcBorders>
      </w:tcPr>
    </w:tblStylePr>
    <w:tblStylePr w:type="firstCol">
      <w:rPr>
        <w:b/>
        <w:bCs/>
      </w:rPr>
    </w:tblStylePr>
    <w:tblStylePr w:type="lastCol">
      <w:rPr>
        <w:b/>
        <w:bCs/>
      </w:rPr>
    </w:tblStylePr>
    <w:tblStylePr w:type="band1Vert">
      <w:tblPr/>
      <w:tcPr>
        <w:shd w:val="clear" w:color="auto" w:fill="CAE6E9" w:themeFill="accent3" w:themeFillTint="3F"/>
      </w:tcPr>
    </w:tblStylePr>
    <w:tblStylePr w:type="band1Horz">
      <w:tblPr/>
      <w:tcPr>
        <w:tcBorders>
          <w:insideH w:val="nil"/>
          <w:insideV w:val="nil"/>
        </w:tcBorders>
        <w:shd w:val="clear" w:color="auto" w:fill="CAE6E9"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semiHidden/>
    <w:unhideWhenUsed/>
    <w:rsid w:val="00893D2C"/>
    <w:pPr>
      <w:spacing w:after="0" w:line="240" w:lineRule="auto"/>
    </w:pPr>
    <w:tblPr>
      <w:tblStyleRowBandSize w:val="1"/>
      <w:tblStyleColBandSize w:val="1"/>
      <w:tblBorders>
        <w:top w:val="single" w:sz="8" w:space="0" w:color="63634E" w:themeColor="accent4" w:themeTint="BF"/>
        <w:left w:val="single" w:sz="8" w:space="0" w:color="63634E" w:themeColor="accent4" w:themeTint="BF"/>
        <w:bottom w:val="single" w:sz="8" w:space="0" w:color="63634E" w:themeColor="accent4" w:themeTint="BF"/>
        <w:right w:val="single" w:sz="8" w:space="0" w:color="63634E" w:themeColor="accent4" w:themeTint="BF"/>
        <w:insideH w:val="single" w:sz="8" w:space="0" w:color="63634E" w:themeColor="accent4" w:themeTint="BF"/>
      </w:tblBorders>
    </w:tblPr>
    <w:tblStylePr w:type="firstRow">
      <w:pPr>
        <w:spacing w:before="0" w:after="0" w:line="240" w:lineRule="auto"/>
      </w:pPr>
      <w:rPr>
        <w:b/>
        <w:bCs/>
        <w:color w:val="FFFFFF" w:themeColor="background1"/>
      </w:rPr>
      <w:tblPr/>
      <w:tcPr>
        <w:tcBorders>
          <w:top w:val="single" w:sz="8" w:space="0" w:color="63634E" w:themeColor="accent4" w:themeTint="BF"/>
          <w:left w:val="single" w:sz="8" w:space="0" w:color="63634E" w:themeColor="accent4" w:themeTint="BF"/>
          <w:bottom w:val="single" w:sz="8" w:space="0" w:color="63634E" w:themeColor="accent4" w:themeTint="BF"/>
          <w:right w:val="single" w:sz="8" w:space="0" w:color="63634E" w:themeColor="accent4" w:themeTint="BF"/>
          <w:insideH w:val="nil"/>
          <w:insideV w:val="nil"/>
        </w:tcBorders>
        <w:shd w:val="clear" w:color="auto" w:fill="26261E" w:themeFill="accent4"/>
      </w:tcPr>
    </w:tblStylePr>
    <w:tblStylePr w:type="lastRow">
      <w:pPr>
        <w:spacing w:before="0" w:after="0" w:line="240" w:lineRule="auto"/>
      </w:pPr>
      <w:rPr>
        <w:b/>
        <w:bCs/>
      </w:rPr>
      <w:tblPr/>
      <w:tcPr>
        <w:tcBorders>
          <w:top w:val="double" w:sz="6" w:space="0" w:color="63634E" w:themeColor="accent4" w:themeTint="BF"/>
          <w:left w:val="single" w:sz="8" w:space="0" w:color="63634E" w:themeColor="accent4" w:themeTint="BF"/>
          <w:bottom w:val="single" w:sz="8" w:space="0" w:color="63634E" w:themeColor="accent4" w:themeTint="BF"/>
          <w:right w:val="single" w:sz="8" w:space="0" w:color="63634E" w:themeColor="accent4" w:themeTint="BF"/>
          <w:insideH w:val="nil"/>
          <w:insideV w:val="nil"/>
        </w:tcBorders>
      </w:tcPr>
    </w:tblStylePr>
    <w:tblStylePr w:type="firstCol">
      <w:rPr>
        <w:b/>
        <w:bCs/>
      </w:rPr>
    </w:tblStylePr>
    <w:tblStylePr w:type="lastCol">
      <w:rPr>
        <w:b/>
        <w:bCs/>
      </w:rPr>
    </w:tblStylePr>
    <w:tblStylePr w:type="band1Vert">
      <w:tblPr/>
      <w:tcPr>
        <w:shd w:val="clear" w:color="auto" w:fill="CECEC1" w:themeFill="accent4" w:themeFillTint="3F"/>
      </w:tcPr>
    </w:tblStylePr>
    <w:tblStylePr w:type="band1Horz">
      <w:tblPr/>
      <w:tcPr>
        <w:tcBorders>
          <w:insideH w:val="nil"/>
          <w:insideV w:val="nil"/>
        </w:tcBorders>
        <w:shd w:val="clear" w:color="auto" w:fill="CECEC1"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semiHidden/>
    <w:unhideWhenUsed/>
    <w:rsid w:val="00893D2C"/>
    <w:pPr>
      <w:spacing w:after="0" w:line="240" w:lineRule="auto"/>
    </w:pPr>
    <w:tblPr>
      <w:tblStyleRowBandSize w:val="1"/>
      <w:tblStyleColBandSize w:val="1"/>
      <w:tblBorders>
        <w:top w:val="single" w:sz="8" w:space="0" w:color="FCF0E6" w:themeColor="accent5" w:themeTint="BF"/>
        <w:left w:val="single" w:sz="8" w:space="0" w:color="FCF0E6" w:themeColor="accent5" w:themeTint="BF"/>
        <w:bottom w:val="single" w:sz="8" w:space="0" w:color="FCF0E6" w:themeColor="accent5" w:themeTint="BF"/>
        <w:right w:val="single" w:sz="8" w:space="0" w:color="FCF0E6" w:themeColor="accent5" w:themeTint="BF"/>
        <w:insideH w:val="single" w:sz="8" w:space="0" w:color="FCF0E6" w:themeColor="accent5" w:themeTint="BF"/>
      </w:tblBorders>
    </w:tblPr>
    <w:tblStylePr w:type="firstRow">
      <w:pPr>
        <w:spacing w:before="0" w:after="0" w:line="240" w:lineRule="auto"/>
      </w:pPr>
      <w:rPr>
        <w:b/>
        <w:bCs/>
        <w:color w:val="FFFFFF" w:themeColor="background1"/>
      </w:rPr>
      <w:tblPr/>
      <w:tcPr>
        <w:tcBorders>
          <w:top w:val="single" w:sz="8" w:space="0" w:color="FCF0E6" w:themeColor="accent5" w:themeTint="BF"/>
          <w:left w:val="single" w:sz="8" w:space="0" w:color="FCF0E6" w:themeColor="accent5" w:themeTint="BF"/>
          <w:bottom w:val="single" w:sz="8" w:space="0" w:color="FCF0E6" w:themeColor="accent5" w:themeTint="BF"/>
          <w:right w:val="single" w:sz="8" w:space="0" w:color="FCF0E6" w:themeColor="accent5" w:themeTint="BF"/>
          <w:insideH w:val="nil"/>
          <w:insideV w:val="nil"/>
        </w:tcBorders>
        <w:shd w:val="clear" w:color="auto" w:fill="FCECDE" w:themeFill="accent5"/>
      </w:tcPr>
    </w:tblStylePr>
    <w:tblStylePr w:type="lastRow">
      <w:pPr>
        <w:spacing w:before="0" w:after="0" w:line="240" w:lineRule="auto"/>
      </w:pPr>
      <w:rPr>
        <w:b/>
        <w:bCs/>
      </w:rPr>
      <w:tblPr/>
      <w:tcPr>
        <w:tcBorders>
          <w:top w:val="double" w:sz="6" w:space="0" w:color="FCF0E6" w:themeColor="accent5" w:themeTint="BF"/>
          <w:left w:val="single" w:sz="8" w:space="0" w:color="FCF0E6" w:themeColor="accent5" w:themeTint="BF"/>
          <w:bottom w:val="single" w:sz="8" w:space="0" w:color="FCF0E6" w:themeColor="accent5" w:themeTint="BF"/>
          <w:right w:val="single" w:sz="8" w:space="0" w:color="FCF0E6" w:themeColor="accent5" w:themeTint="BF"/>
          <w:insideH w:val="nil"/>
          <w:insideV w:val="nil"/>
        </w:tcBorders>
      </w:tcPr>
    </w:tblStylePr>
    <w:tblStylePr w:type="firstCol">
      <w:rPr>
        <w:b/>
        <w:bCs/>
      </w:rPr>
    </w:tblStylePr>
    <w:tblStylePr w:type="lastCol">
      <w:rPr>
        <w:b/>
        <w:bCs/>
      </w:rPr>
    </w:tblStylePr>
    <w:tblStylePr w:type="band1Vert">
      <w:tblPr/>
      <w:tcPr>
        <w:shd w:val="clear" w:color="auto" w:fill="FEFAF6" w:themeFill="accent5" w:themeFillTint="3F"/>
      </w:tcPr>
    </w:tblStylePr>
    <w:tblStylePr w:type="band1Horz">
      <w:tblPr/>
      <w:tcPr>
        <w:tcBorders>
          <w:insideH w:val="nil"/>
          <w:insideV w:val="nil"/>
        </w:tcBorders>
        <w:shd w:val="clear" w:color="auto" w:fill="FEFAF6"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semiHidden/>
    <w:unhideWhenUsed/>
    <w:rsid w:val="00893D2C"/>
    <w:pPr>
      <w:spacing w:after="0" w:line="240" w:lineRule="auto"/>
    </w:pPr>
    <w:tblPr>
      <w:tblStyleRowBandSize w:val="1"/>
      <w:tblStyleColBandSize w:val="1"/>
      <w:tblBorders>
        <w:top w:val="single" w:sz="8" w:space="0" w:color="F5F9F9" w:themeColor="accent6" w:themeTint="BF"/>
        <w:left w:val="single" w:sz="8" w:space="0" w:color="F5F9F9" w:themeColor="accent6" w:themeTint="BF"/>
        <w:bottom w:val="single" w:sz="8" w:space="0" w:color="F5F9F9" w:themeColor="accent6" w:themeTint="BF"/>
        <w:right w:val="single" w:sz="8" w:space="0" w:color="F5F9F9" w:themeColor="accent6" w:themeTint="BF"/>
        <w:insideH w:val="single" w:sz="8" w:space="0" w:color="F5F9F9" w:themeColor="accent6" w:themeTint="BF"/>
      </w:tblBorders>
    </w:tblPr>
    <w:tblStylePr w:type="firstRow">
      <w:pPr>
        <w:spacing w:before="0" w:after="0" w:line="240" w:lineRule="auto"/>
      </w:pPr>
      <w:rPr>
        <w:b/>
        <w:bCs/>
        <w:color w:val="FFFFFF" w:themeColor="background1"/>
      </w:rPr>
      <w:tblPr/>
      <w:tcPr>
        <w:tcBorders>
          <w:top w:val="single" w:sz="8" w:space="0" w:color="F5F9F9" w:themeColor="accent6" w:themeTint="BF"/>
          <w:left w:val="single" w:sz="8" w:space="0" w:color="F5F9F9" w:themeColor="accent6" w:themeTint="BF"/>
          <w:bottom w:val="single" w:sz="8" w:space="0" w:color="F5F9F9" w:themeColor="accent6" w:themeTint="BF"/>
          <w:right w:val="single" w:sz="8" w:space="0" w:color="F5F9F9" w:themeColor="accent6" w:themeTint="BF"/>
          <w:insideH w:val="nil"/>
          <w:insideV w:val="nil"/>
        </w:tcBorders>
        <w:shd w:val="clear" w:color="auto" w:fill="F2F8F8" w:themeFill="accent6"/>
      </w:tcPr>
    </w:tblStylePr>
    <w:tblStylePr w:type="lastRow">
      <w:pPr>
        <w:spacing w:before="0" w:after="0" w:line="240" w:lineRule="auto"/>
      </w:pPr>
      <w:rPr>
        <w:b/>
        <w:bCs/>
      </w:rPr>
      <w:tblPr/>
      <w:tcPr>
        <w:tcBorders>
          <w:top w:val="double" w:sz="6" w:space="0" w:color="F5F9F9" w:themeColor="accent6" w:themeTint="BF"/>
          <w:left w:val="single" w:sz="8" w:space="0" w:color="F5F9F9" w:themeColor="accent6" w:themeTint="BF"/>
          <w:bottom w:val="single" w:sz="8" w:space="0" w:color="F5F9F9" w:themeColor="accent6" w:themeTint="BF"/>
          <w:right w:val="single" w:sz="8" w:space="0" w:color="F5F9F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BFDFD" w:themeFill="accent6" w:themeFillTint="3F"/>
      </w:tcPr>
    </w:tblStylePr>
    <w:tblStylePr w:type="band1Horz">
      <w:tblPr/>
      <w:tcPr>
        <w:tcBorders>
          <w:insideH w:val="nil"/>
          <w:insideV w:val="nil"/>
        </w:tcBorders>
        <w:shd w:val="clear" w:color="auto" w:fill="FBFDFD"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semiHidden/>
    <w:unhideWhenUsed/>
    <w:rsid w:val="00893D2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6261E"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6261E" w:themeFill="text1"/>
      </w:tcPr>
    </w:tblStylePr>
    <w:tblStylePr w:type="lastCol">
      <w:rPr>
        <w:b/>
        <w:bCs/>
        <w:color w:val="FFFFFF" w:themeColor="background1"/>
      </w:rPr>
      <w:tblPr/>
      <w:tcPr>
        <w:tcBorders>
          <w:left w:val="nil"/>
          <w:right w:val="nil"/>
          <w:insideH w:val="nil"/>
          <w:insideV w:val="nil"/>
        </w:tcBorders>
        <w:shd w:val="clear" w:color="auto" w:fill="26261E"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1">
    <w:name w:val="Medium Shading 2 Accent 1"/>
    <w:basedOn w:val="Vanligtabell"/>
    <w:uiPriority w:val="64"/>
    <w:semiHidden/>
    <w:unhideWhenUsed/>
    <w:rsid w:val="00893D2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626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62682" w:themeFill="accent1"/>
      </w:tcPr>
    </w:tblStylePr>
    <w:tblStylePr w:type="lastCol">
      <w:rPr>
        <w:b/>
        <w:bCs/>
        <w:color w:val="FFFFFF" w:themeColor="background1"/>
      </w:rPr>
      <w:tblPr/>
      <w:tcPr>
        <w:tcBorders>
          <w:left w:val="nil"/>
          <w:right w:val="nil"/>
          <w:insideH w:val="nil"/>
          <w:insideV w:val="nil"/>
        </w:tcBorders>
        <w:shd w:val="clear" w:color="auto" w:fill="2626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2">
    <w:name w:val="Medium Shading 2 Accent 2"/>
    <w:basedOn w:val="Vanligtabell"/>
    <w:uiPriority w:val="64"/>
    <w:semiHidden/>
    <w:unhideWhenUsed/>
    <w:rsid w:val="00893D2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B26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B26D" w:themeFill="accent2"/>
      </w:tcPr>
    </w:tblStylePr>
    <w:tblStylePr w:type="lastCol">
      <w:rPr>
        <w:b/>
        <w:bCs/>
        <w:color w:val="FFFFFF" w:themeColor="background1"/>
      </w:rPr>
      <w:tblPr/>
      <w:tcPr>
        <w:tcBorders>
          <w:left w:val="nil"/>
          <w:right w:val="nil"/>
          <w:insideH w:val="nil"/>
          <w:insideV w:val="nil"/>
        </w:tcBorders>
        <w:shd w:val="clear" w:color="auto" w:fill="FFB26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3">
    <w:name w:val="Medium Shading 2 Accent 3"/>
    <w:basedOn w:val="Vanligtabell"/>
    <w:uiPriority w:val="64"/>
    <w:semiHidden/>
    <w:unhideWhenUsed/>
    <w:rsid w:val="00893D2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E8F9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E8F98" w:themeFill="accent3"/>
      </w:tcPr>
    </w:tblStylePr>
    <w:tblStylePr w:type="lastCol">
      <w:rPr>
        <w:b/>
        <w:bCs/>
        <w:color w:val="FFFFFF" w:themeColor="background1"/>
      </w:rPr>
      <w:tblPr/>
      <w:tcPr>
        <w:tcBorders>
          <w:left w:val="nil"/>
          <w:right w:val="nil"/>
          <w:insideH w:val="nil"/>
          <w:insideV w:val="nil"/>
        </w:tcBorders>
        <w:shd w:val="clear" w:color="auto" w:fill="3E8F9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4">
    <w:name w:val="Medium Shading 2 Accent 4"/>
    <w:basedOn w:val="Vanligtabell"/>
    <w:uiPriority w:val="64"/>
    <w:semiHidden/>
    <w:unhideWhenUsed/>
    <w:rsid w:val="00893D2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6261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6261E" w:themeFill="accent4"/>
      </w:tcPr>
    </w:tblStylePr>
    <w:tblStylePr w:type="lastCol">
      <w:rPr>
        <w:b/>
        <w:bCs/>
        <w:color w:val="FFFFFF" w:themeColor="background1"/>
      </w:rPr>
      <w:tblPr/>
      <w:tcPr>
        <w:tcBorders>
          <w:left w:val="nil"/>
          <w:right w:val="nil"/>
          <w:insideH w:val="nil"/>
          <w:insideV w:val="nil"/>
        </w:tcBorders>
        <w:shd w:val="clear" w:color="auto" w:fill="26261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5">
    <w:name w:val="Medium Shading 2 Accent 5"/>
    <w:basedOn w:val="Vanligtabell"/>
    <w:uiPriority w:val="64"/>
    <w:semiHidden/>
    <w:unhideWhenUsed/>
    <w:rsid w:val="00893D2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CECD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CECDE" w:themeFill="accent5"/>
      </w:tcPr>
    </w:tblStylePr>
    <w:tblStylePr w:type="lastCol">
      <w:rPr>
        <w:b/>
        <w:bCs/>
        <w:color w:val="FFFFFF" w:themeColor="background1"/>
      </w:rPr>
      <w:tblPr/>
      <w:tcPr>
        <w:tcBorders>
          <w:left w:val="nil"/>
          <w:right w:val="nil"/>
          <w:insideH w:val="nil"/>
          <w:insideV w:val="nil"/>
        </w:tcBorders>
        <w:shd w:val="clear" w:color="auto" w:fill="FCECD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6">
    <w:name w:val="Medium Shading 2 Accent 6"/>
    <w:basedOn w:val="Vanligtabell"/>
    <w:uiPriority w:val="64"/>
    <w:semiHidden/>
    <w:unhideWhenUsed/>
    <w:rsid w:val="00893D2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2F8F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2F8F8" w:themeFill="accent6"/>
      </w:tcPr>
    </w:tblStylePr>
    <w:tblStylePr w:type="lastCol">
      <w:rPr>
        <w:b/>
        <w:bCs/>
        <w:color w:val="FFFFFF" w:themeColor="background1"/>
      </w:rPr>
      <w:tblPr/>
      <w:tcPr>
        <w:tcBorders>
          <w:left w:val="nil"/>
          <w:right w:val="nil"/>
          <w:insideH w:val="nil"/>
          <w:insideV w:val="nil"/>
        </w:tcBorders>
        <w:shd w:val="clear" w:color="auto" w:fill="F2F8F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rkliste">
    <w:name w:val="Dark List"/>
    <w:basedOn w:val="Vanligtabell"/>
    <w:uiPriority w:val="70"/>
    <w:semiHidden/>
    <w:unhideWhenUsed/>
    <w:rsid w:val="00893D2C"/>
    <w:pPr>
      <w:spacing w:after="0" w:line="240" w:lineRule="auto"/>
    </w:pPr>
    <w:rPr>
      <w:color w:val="FFFFFF" w:themeColor="background1"/>
    </w:rPr>
    <w:tblPr>
      <w:tblStyleRowBandSize w:val="1"/>
      <w:tblStyleColBandSize w:val="1"/>
    </w:tblPr>
    <w:tcPr>
      <w:shd w:val="clear" w:color="auto" w:fill="26261E" w:themeFill="text1"/>
    </w:tcPr>
    <w:tblStylePr w:type="firstRow">
      <w:rPr>
        <w:b/>
        <w:bCs/>
      </w:rPr>
      <w:tblPr/>
      <w:tcPr>
        <w:tcBorders>
          <w:top w:val="nil"/>
          <w:left w:val="nil"/>
          <w:bottom w:val="single" w:sz="18" w:space="0" w:color="FFFFFF" w:themeColor="background1"/>
          <w:right w:val="nil"/>
          <w:insideH w:val="nil"/>
          <w:insideV w:val="nil"/>
        </w:tcBorders>
        <w:shd w:val="clear" w:color="auto" w:fill="26261E" w:themeFill="text1"/>
      </w:tcPr>
    </w:tblStylePr>
    <w:tblStylePr w:type="lastRow">
      <w:tblPr/>
      <w:tcPr>
        <w:tcBorders>
          <w:top w:val="single" w:sz="18" w:space="0" w:color="FFFFFF" w:themeColor="background1"/>
          <w:left w:val="nil"/>
          <w:bottom w:val="nil"/>
          <w:right w:val="nil"/>
          <w:insideH w:val="nil"/>
          <w:insideV w:val="nil"/>
        </w:tcBorders>
        <w:shd w:val="clear" w:color="auto" w:fill="1212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C1C16"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C1C16" w:themeFill="text1" w:themeFillShade="BF"/>
      </w:tcPr>
    </w:tblStylePr>
    <w:tblStylePr w:type="band1Vert">
      <w:tblPr/>
      <w:tcPr>
        <w:tcBorders>
          <w:top w:val="nil"/>
          <w:left w:val="nil"/>
          <w:bottom w:val="nil"/>
          <w:right w:val="nil"/>
          <w:insideH w:val="nil"/>
          <w:insideV w:val="nil"/>
        </w:tcBorders>
        <w:shd w:val="clear" w:color="auto" w:fill="1C1C16" w:themeFill="text1" w:themeFillShade="BF"/>
      </w:tcPr>
    </w:tblStylePr>
    <w:tblStylePr w:type="band1Horz">
      <w:tblPr/>
      <w:tcPr>
        <w:tcBorders>
          <w:top w:val="nil"/>
          <w:left w:val="nil"/>
          <w:bottom w:val="nil"/>
          <w:right w:val="nil"/>
          <w:insideH w:val="nil"/>
          <w:insideV w:val="nil"/>
        </w:tcBorders>
        <w:shd w:val="clear" w:color="auto" w:fill="1C1C16" w:themeFill="text1" w:themeFillShade="BF"/>
      </w:tcPr>
    </w:tblStylePr>
  </w:style>
  <w:style w:type="table" w:styleId="Mrklisteuthevingsfarge1">
    <w:name w:val="Dark List Accent 1"/>
    <w:basedOn w:val="Vanligtabell"/>
    <w:uiPriority w:val="70"/>
    <w:semiHidden/>
    <w:unhideWhenUsed/>
    <w:rsid w:val="00893D2C"/>
    <w:pPr>
      <w:spacing w:after="0" w:line="240" w:lineRule="auto"/>
    </w:pPr>
    <w:rPr>
      <w:color w:val="FFFFFF" w:themeColor="background1"/>
    </w:rPr>
    <w:tblPr>
      <w:tblStyleRowBandSize w:val="1"/>
      <w:tblStyleColBandSize w:val="1"/>
    </w:tblPr>
    <w:tcPr>
      <w:shd w:val="clear" w:color="auto" w:fill="2626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6261E" w:themeFill="text1"/>
      </w:tcPr>
    </w:tblStylePr>
    <w:tblStylePr w:type="lastRow">
      <w:tblPr/>
      <w:tcPr>
        <w:tcBorders>
          <w:top w:val="single" w:sz="18" w:space="0" w:color="FFFFFF" w:themeColor="background1"/>
          <w:left w:val="nil"/>
          <w:bottom w:val="nil"/>
          <w:right w:val="nil"/>
          <w:insideH w:val="nil"/>
          <w:insideV w:val="nil"/>
        </w:tcBorders>
        <w:shd w:val="clear" w:color="auto" w:fill="1313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C1C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C1C61" w:themeFill="accent1" w:themeFillShade="BF"/>
      </w:tcPr>
    </w:tblStylePr>
    <w:tblStylePr w:type="band1Vert">
      <w:tblPr/>
      <w:tcPr>
        <w:tcBorders>
          <w:top w:val="nil"/>
          <w:left w:val="nil"/>
          <w:bottom w:val="nil"/>
          <w:right w:val="nil"/>
          <w:insideH w:val="nil"/>
          <w:insideV w:val="nil"/>
        </w:tcBorders>
        <w:shd w:val="clear" w:color="auto" w:fill="1C1C61" w:themeFill="accent1" w:themeFillShade="BF"/>
      </w:tcPr>
    </w:tblStylePr>
    <w:tblStylePr w:type="band1Horz">
      <w:tblPr/>
      <w:tcPr>
        <w:tcBorders>
          <w:top w:val="nil"/>
          <w:left w:val="nil"/>
          <w:bottom w:val="nil"/>
          <w:right w:val="nil"/>
          <w:insideH w:val="nil"/>
          <w:insideV w:val="nil"/>
        </w:tcBorders>
        <w:shd w:val="clear" w:color="auto" w:fill="1C1C61" w:themeFill="accent1" w:themeFillShade="BF"/>
      </w:tcPr>
    </w:tblStylePr>
  </w:style>
  <w:style w:type="table" w:styleId="Mrklisteuthevingsfarge2">
    <w:name w:val="Dark List Accent 2"/>
    <w:basedOn w:val="Vanligtabell"/>
    <w:uiPriority w:val="70"/>
    <w:semiHidden/>
    <w:unhideWhenUsed/>
    <w:rsid w:val="00893D2C"/>
    <w:pPr>
      <w:spacing w:after="0" w:line="240" w:lineRule="auto"/>
    </w:pPr>
    <w:rPr>
      <w:color w:val="FFFFFF" w:themeColor="background1"/>
    </w:rPr>
    <w:tblPr>
      <w:tblStyleRowBandSize w:val="1"/>
      <w:tblStyleColBandSize w:val="1"/>
    </w:tblPr>
    <w:tcPr>
      <w:shd w:val="clear" w:color="auto" w:fill="FFB26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6261E" w:themeFill="text1"/>
      </w:tcPr>
    </w:tblStylePr>
    <w:tblStylePr w:type="lastRow">
      <w:tblPr/>
      <w:tcPr>
        <w:tcBorders>
          <w:top w:val="single" w:sz="18" w:space="0" w:color="FFFFFF" w:themeColor="background1"/>
          <w:left w:val="nil"/>
          <w:bottom w:val="nil"/>
          <w:right w:val="nil"/>
          <w:insideH w:val="nil"/>
          <w:insideV w:val="nil"/>
        </w:tcBorders>
        <w:shd w:val="clear" w:color="auto" w:fill="B555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FF81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FF8111" w:themeFill="accent2" w:themeFillShade="BF"/>
      </w:tcPr>
    </w:tblStylePr>
    <w:tblStylePr w:type="band1Vert">
      <w:tblPr/>
      <w:tcPr>
        <w:tcBorders>
          <w:top w:val="nil"/>
          <w:left w:val="nil"/>
          <w:bottom w:val="nil"/>
          <w:right w:val="nil"/>
          <w:insideH w:val="nil"/>
          <w:insideV w:val="nil"/>
        </w:tcBorders>
        <w:shd w:val="clear" w:color="auto" w:fill="FF8111" w:themeFill="accent2" w:themeFillShade="BF"/>
      </w:tcPr>
    </w:tblStylePr>
    <w:tblStylePr w:type="band1Horz">
      <w:tblPr/>
      <w:tcPr>
        <w:tcBorders>
          <w:top w:val="nil"/>
          <w:left w:val="nil"/>
          <w:bottom w:val="nil"/>
          <w:right w:val="nil"/>
          <w:insideH w:val="nil"/>
          <w:insideV w:val="nil"/>
        </w:tcBorders>
        <w:shd w:val="clear" w:color="auto" w:fill="FF8111" w:themeFill="accent2" w:themeFillShade="BF"/>
      </w:tcPr>
    </w:tblStylePr>
  </w:style>
  <w:style w:type="table" w:styleId="Mrklisteuthevingsfarge3">
    <w:name w:val="Dark List Accent 3"/>
    <w:basedOn w:val="Vanligtabell"/>
    <w:uiPriority w:val="70"/>
    <w:semiHidden/>
    <w:unhideWhenUsed/>
    <w:rsid w:val="00893D2C"/>
    <w:pPr>
      <w:spacing w:after="0" w:line="240" w:lineRule="auto"/>
    </w:pPr>
    <w:rPr>
      <w:color w:val="FFFFFF" w:themeColor="background1"/>
    </w:rPr>
    <w:tblPr>
      <w:tblStyleRowBandSize w:val="1"/>
      <w:tblStyleColBandSize w:val="1"/>
    </w:tblPr>
    <w:tcPr>
      <w:shd w:val="clear" w:color="auto" w:fill="3E8F9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6261E" w:themeFill="text1"/>
      </w:tcPr>
    </w:tblStylePr>
    <w:tblStylePr w:type="lastRow">
      <w:tblPr/>
      <w:tcPr>
        <w:tcBorders>
          <w:top w:val="single" w:sz="18" w:space="0" w:color="FFFFFF" w:themeColor="background1"/>
          <w:left w:val="nil"/>
          <w:bottom w:val="nil"/>
          <w:right w:val="nil"/>
          <w:insideH w:val="nil"/>
          <w:insideV w:val="nil"/>
        </w:tcBorders>
        <w:shd w:val="clear" w:color="auto" w:fill="1E464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E6A7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E6A71" w:themeFill="accent3" w:themeFillShade="BF"/>
      </w:tcPr>
    </w:tblStylePr>
    <w:tblStylePr w:type="band1Vert">
      <w:tblPr/>
      <w:tcPr>
        <w:tcBorders>
          <w:top w:val="nil"/>
          <w:left w:val="nil"/>
          <w:bottom w:val="nil"/>
          <w:right w:val="nil"/>
          <w:insideH w:val="nil"/>
          <w:insideV w:val="nil"/>
        </w:tcBorders>
        <w:shd w:val="clear" w:color="auto" w:fill="2E6A71" w:themeFill="accent3" w:themeFillShade="BF"/>
      </w:tcPr>
    </w:tblStylePr>
    <w:tblStylePr w:type="band1Horz">
      <w:tblPr/>
      <w:tcPr>
        <w:tcBorders>
          <w:top w:val="nil"/>
          <w:left w:val="nil"/>
          <w:bottom w:val="nil"/>
          <w:right w:val="nil"/>
          <w:insideH w:val="nil"/>
          <w:insideV w:val="nil"/>
        </w:tcBorders>
        <w:shd w:val="clear" w:color="auto" w:fill="2E6A71" w:themeFill="accent3" w:themeFillShade="BF"/>
      </w:tcPr>
    </w:tblStylePr>
  </w:style>
  <w:style w:type="table" w:styleId="Mrklisteuthevingsfarge4">
    <w:name w:val="Dark List Accent 4"/>
    <w:basedOn w:val="Vanligtabell"/>
    <w:uiPriority w:val="70"/>
    <w:semiHidden/>
    <w:unhideWhenUsed/>
    <w:rsid w:val="00893D2C"/>
    <w:pPr>
      <w:spacing w:after="0" w:line="240" w:lineRule="auto"/>
    </w:pPr>
    <w:rPr>
      <w:color w:val="FFFFFF" w:themeColor="background1"/>
    </w:rPr>
    <w:tblPr>
      <w:tblStyleRowBandSize w:val="1"/>
      <w:tblStyleColBandSize w:val="1"/>
    </w:tblPr>
    <w:tcPr>
      <w:shd w:val="clear" w:color="auto" w:fill="26261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6261E" w:themeFill="text1"/>
      </w:tcPr>
    </w:tblStylePr>
    <w:tblStylePr w:type="lastRow">
      <w:tblPr/>
      <w:tcPr>
        <w:tcBorders>
          <w:top w:val="single" w:sz="18" w:space="0" w:color="FFFFFF" w:themeColor="background1"/>
          <w:left w:val="nil"/>
          <w:bottom w:val="nil"/>
          <w:right w:val="nil"/>
          <w:insideH w:val="nil"/>
          <w:insideV w:val="nil"/>
        </w:tcBorders>
        <w:shd w:val="clear" w:color="auto" w:fill="12120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C1C1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C1C16" w:themeFill="accent4" w:themeFillShade="BF"/>
      </w:tcPr>
    </w:tblStylePr>
    <w:tblStylePr w:type="band1Vert">
      <w:tblPr/>
      <w:tcPr>
        <w:tcBorders>
          <w:top w:val="nil"/>
          <w:left w:val="nil"/>
          <w:bottom w:val="nil"/>
          <w:right w:val="nil"/>
          <w:insideH w:val="nil"/>
          <w:insideV w:val="nil"/>
        </w:tcBorders>
        <w:shd w:val="clear" w:color="auto" w:fill="1C1C16" w:themeFill="accent4" w:themeFillShade="BF"/>
      </w:tcPr>
    </w:tblStylePr>
    <w:tblStylePr w:type="band1Horz">
      <w:tblPr/>
      <w:tcPr>
        <w:tcBorders>
          <w:top w:val="nil"/>
          <w:left w:val="nil"/>
          <w:bottom w:val="nil"/>
          <w:right w:val="nil"/>
          <w:insideH w:val="nil"/>
          <w:insideV w:val="nil"/>
        </w:tcBorders>
        <w:shd w:val="clear" w:color="auto" w:fill="1C1C16" w:themeFill="accent4" w:themeFillShade="BF"/>
      </w:tcPr>
    </w:tblStylePr>
  </w:style>
  <w:style w:type="table" w:styleId="Mrklisteuthevingsfarge5">
    <w:name w:val="Dark List Accent 5"/>
    <w:basedOn w:val="Vanligtabell"/>
    <w:uiPriority w:val="70"/>
    <w:semiHidden/>
    <w:unhideWhenUsed/>
    <w:rsid w:val="00893D2C"/>
    <w:pPr>
      <w:spacing w:after="0" w:line="240" w:lineRule="auto"/>
    </w:pPr>
    <w:rPr>
      <w:color w:val="FFFFFF" w:themeColor="background1"/>
    </w:rPr>
    <w:tblPr>
      <w:tblStyleRowBandSize w:val="1"/>
      <w:tblStyleColBandSize w:val="1"/>
    </w:tblPr>
    <w:tcPr>
      <w:shd w:val="clear" w:color="auto" w:fill="FCECD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6261E" w:themeFill="text1"/>
      </w:tcPr>
    </w:tblStylePr>
    <w:tblStylePr w:type="lastRow">
      <w:tblPr/>
      <w:tcPr>
        <w:tcBorders>
          <w:top w:val="single" w:sz="18" w:space="0" w:color="FFFFFF" w:themeColor="background1"/>
          <w:left w:val="nil"/>
          <w:bottom w:val="nil"/>
          <w:right w:val="nil"/>
          <w:insideH w:val="nil"/>
          <w:insideV w:val="nil"/>
        </w:tcBorders>
        <w:shd w:val="clear" w:color="auto" w:fill="D86F1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F2AD7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F2AD70" w:themeFill="accent5" w:themeFillShade="BF"/>
      </w:tcPr>
    </w:tblStylePr>
    <w:tblStylePr w:type="band1Vert">
      <w:tblPr/>
      <w:tcPr>
        <w:tcBorders>
          <w:top w:val="nil"/>
          <w:left w:val="nil"/>
          <w:bottom w:val="nil"/>
          <w:right w:val="nil"/>
          <w:insideH w:val="nil"/>
          <w:insideV w:val="nil"/>
        </w:tcBorders>
        <w:shd w:val="clear" w:color="auto" w:fill="F2AD70" w:themeFill="accent5" w:themeFillShade="BF"/>
      </w:tcPr>
    </w:tblStylePr>
    <w:tblStylePr w:type="band1Horz">
      <w:tblPr/>
      <w:tcPr>
        <w:tcBorders>
          <w:top w:val="nil"/>
          <w:left w:val="nil"/>
          <w:bottom w:val="nil"/>
          <w:right w:val="nil"/>
          <w:insideH w:val="nil"/>
          <w:insideV w:val="nil"/>
        </w:tcBorders>
        <w:shd w:val="clear" w:color="auto" w:fill="F2AD70" w:themeFill="accent5" w:themeFillShade="BF"/>
      </w:tcPr>
    </w:tblStylePr>
  </w:style>
  <w:style w:type="table" w:styleId="Mrklisteuthevingsfarge6">
    <w:name w:val="Dark List Accent 6"/>
    <w:basedOn w:val="Vanligtabell"/>
    <w:uiPriority w:val="70"/>
    <w:semiHidden/>
    <w:unhideWhenUsed/>
    <w:rsid w:val="00893D2C"/>
    <w:pPr>
      <w:spacing w:after="0" w:line="240" w:lineRule="auto"/>
    </w:pPr>
    <w:rPr>
      <w:color w:val="FFFFFF" w:themeColor="background1"/>
    </w:rPr>
    <w:tblPr>
      <w:tblStyleRowBandSize w:val="1"/>
      <w:tblStyleColBandSize w:val="1"/>
    </w:tblPr>
    <w:tcPr>
      <w:shd w:val="clear" w:color="auto" w:fill="F2F8F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6261E" w:themeFill="text1"/>
      </w:tcPr>
    </w:tblStylePr>
    <w:tblStylePr w:type="lastRow">
      <w:tblPr/>
      <w:tcPr>
        <w:tcBorders>
          <w:top w:val="single" w:sz="18" w:space="0" w:color="FFFFFF" w:themeColor="background1"/>
          <w:left w:val="nil"/>
          <w:bottom w:val="nil"/>
          <w:right w:val="nil"/>
          <w:insideH w:val="nil"/>
          <w:insideV w:val="nil"/>
        </w:tcBorders>
        <w:shd w:val="clear" w:color="auto" w:fill="559E9E"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2CDCD"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2CDCD" w:themeFill="accent6" w:themeFillShade="BF"/>
      </w:tcPr>
    </w:tblStylePr>
    <w:tblStylePr w:type="band1Vert">
      <w:tblPr/>
      <w:tcPr>
        <w:tcBorders>
          <w:top w:val="nil"/>
          <w:left w:val="nil"/>
          <w:bottom w:val="nil"/>
          <w:right w:val="nil"/>
          <w:insideH w:val="nil"/>
          <w:insideV w:val="nil"/>
        </w:tcBorders>
        <w:shd w:val="clear" w:color="auto" w:fill="A2CDCD" w:themeFill="accent6" w:themeFillShade="BF"/>
      </w:tcPr>
    </w:tblStylePr>
    <w:tblStylePr w:type="band1Horz">
      <w:tblPr/>
      <w:tcPr>
        <w:tcBorders>
          <w:top w:val="nil"/>
          <w:left w:val="nil"/>
          <w:bottom w:val="nil"/>
          <w:right w:val="nil"/>
          <w:insideH w:val="nil"/>
          <w:insideV w:val="nil"/>
        </w:tcBorders>
        <w:shd w:val="clear" w:color="auto" w:fill="A2CDCD" w:themeFill="accent6" w:themeFillShade="BF"/>
      </w:tcPr>
    </w:tblStylePr>
  </w:style>
  <w:style w:type="paragraph" w:styleId="NormalWeb">
    <w:name w:val="Normal (Web)"/>
    <w:basedOn w:val="Normal"/>
    <w:uiPriority w:val="99"/>
    <w:unhideWhenUsed/>
    <w:rsid w:val="00893D2C"/>
    <w:rPr>
      <w:rFonts w:ascii="Times New Roman" w:hAnsi="Times New Roman" w:cs="Times New Roman"/>
      <w:sz w:val="24"/>
      <w:szCs w:val="24"/>
    </w:rPr>
  </w:style>
  <w:style w:type="paragraph" w:styleId="Notatoverskrift">
    <w:name w:val="Note Heading"/>
    <w:basedOn w:val="Normal"/>
    <w:next w:val="Normal"/>
    <w:link w:val="NotatoverskriftTegn"/>
    <w:uiPriority w:val="99"/>
    <w:semiHidden/>
    <w:unhideWhenUsed/>
    <w:rsid w:val="00893D2C"/>
    <w:pPr>
      <w:spacing w:after="0" w:line="240" w:lineRule="auto"/>
    </w:pPr>
  </w:style>
  <w:style w:type="character" w:customStyle="1" w:styleId="NotatoverskriftTegn">
    <w:name w:val="Notatoverskrift Tegn"/>
    <w:basedOn w:val="Standardskriftforavsnitt"/>
    <w:link w:val="Notatoverskrift"/>
    <w:uiPriority w:val="99"/>
    <w:semiHidden/>
    <w:rsid w:val="00893D2C"/>
  </w:style>
  <w:style w:type="paragraph" w:styleId="Nummerertliste">
    <w:name w:val="List Number"/>
    <w:basedOn w:val="Normal"/>
    <w:uiPriority w:val="99"/>
    <w:semiHidden/>
    <w:unhideWhenUsed/>
    <w:rsid w:val="00893D2C"/>
    <w:pPr>
      <w:numPr>
        <w:numId w:val="4"/>
      </w:numPr>
      <w:contextualSpacing/>
    </w:pPr>
  </w:style>
  <w:style w:type="paragraph" w:styleId="Nummerertliste2">
    <w:name w:val="List Number 2"/>
    <w:basedOn w:val="Normal"/>
    <w:uiPriority w:val="99"/>
    <w:semiHidden/>
    <w:unhideWhenUsed/>
    <w:rsid w:val="00893D2C"/>
    <w:pPr>
      <w:numPr>
        <w:numId w:val="5"/>
      </w:numPr>
      <w:contextualSpacing/>
    </w:pPr>
  </w:style>
  <w:style w:type="paragraph" w:styleId="Nummerertliste3">
    <w:name w:val="List Number 3"/>
    <w:basedOn w:val="Normal"/>
    <w:uiPriority w:val="99"/>
    <w:semiHidden/>
    <w:unhideWhenUsed/>
    <w:rsid w:val="00893D2C"/>
    <w:pPr>
      <w:numPr>
        <w:numId w:val="6"/>
      </w:numPr>
      <w:contextualSpacing/>
    </w:pPr>
  </w:style>
  <w:style w:type="paragraph" w:styleId="Nummerertliste4">
    <w:name w:val="List Number 4"/>
    <w:basedOn w:val="Normal"/>
    <w:uiPriority w:val="99"/>
    <w:semiHidden/>
    <w:unhideWhenUsed/>
    <w:rsid w:val="00893D2C"/>
    <w:pPr>
      <w:numPr>
        <w:numId w:val="7"/>
      </w:numPr>
      <w:contextualSpacing/>
    </w:pPr>
  </w:style>
  <w:style w:type="paragraph" w:styleId="Nummerertliste5">
    <w:name w:val="List Number 5"/>
    <w:basedOn w:val="Normal"/>
    <w:uiPriority w:val="99"/>
    <w:semiHidden/>
    <w:unhideWhenUsed/>
    <w:rsid w:val="00893D2C"/>
    <w:pPr>
      <w:numPr>
        <w:numId w:val="8"/>
      </w:numPr>
      <w:contextualSpacing/>
    </w:pPr>
  </w:style>
  <w:style w:type="character" w:styleId="Omtale">
    <w:name w:val="Mention"/>
    <w:basedOn w:val="Standardskriftforavsnitt"/>
    <w:uiPriority w:val="99"/>
    <w:unhideWhenUsed/>
    <w:rsid w:val="00893D2C"/>
    <w:rPr>
      <w:color w:val="2B579A"/>
      <w:shd w:val="clear" w:color="auto" w:fill="E1DFDD"/>
    </w:rPr>
  </w:style>
  <w:style w:type="paragraph" w:styleId="Overskriftforinnholdsfortegnelse">
    <w:name w:val="TOC Heading"/>
    <w:basedOn w:val="Overskrift1"/>
    <w:next w:val="Normal"/>
    <w:uiPriority w:val="39"/>
    <w:unhideWhenUsed/>
    <w:qFormat/>
    <w:rsid w:val="00893D2C"/>
    <w:pPr>
      <w:outlineLvl w:val="9"/>
    </w:pPr>
  </w:style>
  <w:style w:type="character" w:styleId="Plassholdertekst">
    <w:name w:val="Placeholder Text"/>
    <w:basedOn w:val="Standardskriftforavsnitt"/>
    <w:uiPriority w:val="99"/>
    <w:semiHidden/>
    <w:rsid w:val="00893D2C"/>
    <w:rPr>
      <w:color w:val="808080"/>
    </w:rPr>
  </w:style>
  <w:style w:type="paragraph" w:styleId="Punktliste">
    <w:name w:val="List Bullet"/>
    <w:basedOn w:val="Normal"/>
    <w:uiPriority w:val="2"/>
    <w:unhideWhenUsed/>
    <w:qFormat/>
    <w:rsid w:val="00384478"/>
    <w:pPr>
      <w:numPr>
        <w:numId w:val="9"/>
      </w:numPr>
      <w:contextualSpacing/>
    </w:pPr>
  </w:style>
  <w:style w:type="paragraph" w:styleId="Punktliste2">
    <w:name w:val="List Bullet 2"/>
    <w:basedOn w:val="Normal"/>
    <w:uiPriority w:val="99"/>
    <w:semiHidden/>
    <w:unhideWhenUsed/>
    <w:rsid w:val="00893D2C"/>
    <w:pPr>
      <w:numPr>
        <w:numId w:val="10"/>
      </w:numPr>
      <w:contextualSpacing/>
    </w:pPr>
  </w:style>
  <w:style w:type="paragraph" w:styleId="Punktliste3">
    <w:name w:val="List Bullet 3"/>
    <w:basedOn w:val="Normal"/>
    <w:uiPriority w:val="99"/>
    <w:semiHidden/>
    <w:unhideWhenUsed/>
    <w:rsid w:val="00893D2C"/>
    <w:pPr>
      <w:numPr>
        <w:numId w:val="11"/>
      </w:numPr>
      <w:contextualSpacing/>
    </w:pPr>
  </w:style>
  <w:style w:type="paragraph" w:styleId="Punktliste4">
    <w:name w:val="List Bullet 4"/>
    <w:basedOn w:val="Normal"/>
    <w:uiPriority w:val="99"/>
    <w:semiHidden/>
    <w:unhideWhenUsed/>
    <w:rsid w:val="00893D2C"/>
    <w:pPr>
      <w:numPr>
        <w:numId w:val="12"/>
      </w:numPr>
      <w:contextualSpacing/>
    </w:pPr>
  </w:style>
  <w:style w:type="paragraph" w:styleId="Punktliste5">
    <w:name w:val="List Bullet 5"/>
    <w:basedOn w:val="Normal"/>
    <w:uiPriority w:val="99"/>
    <w:semiHidden/>
    <w:unhideWhenUsed/>
    <w:rsid w:val="00893D2C"/>
    <w:pPr>
      <w:numPr>
        <w:numId w:val="13"/>
      </w:numPr>
      <w:contextualSpacing/>
    </w:pPr>
  </w:style>
  <w:style w:type="paragraph" w:styleId="Rentekst">
    <w:name w:val="Plain Text"/>
    <w:basedOn w:val="Normal"/>
    <w:link w:val="RentekstTegn"/>
    <w:uiPriority w:val="99"/>
    <w:semiHidden/>
    <w:unhideWhenUsed/>
    <w:rsid w:val="00893D2C"/>
    <w:pPr>
      <w:spacing w:after="0" w:line="240" w:lineRule="auto"/>
    </w:pPr>
    <w:rPr>
      <w:rFonts w:ascii="Consolas" w:hAnsi="Consolas"/>
      <w:sz w:val="21"/>
      <w:szCs w:val="21"/>
    </w:rPr>
  </w:style>
  <w:style w:type="character" w:customStyle="1" w:styleId="RentekstTegn">
    <w:name w:val="Ren tekst Tegn"/>
    <w:basedOn w:val="Standardskriftforavsnitt"/>
    <w:link w:val="Rentekst"/>
    <w:uiPriority w:val="99"/>
    <w:semiHidden/>
    <w:rsid w:val="00893D2C"/>
    <w:rPr>
      <w:rFonts w:ascii="Consolas" w:hAnsi="Consolas"/>
      <w:sz w:val="21"/>
      <w:szCs w:val="21"/>
    </w:rPr>
  </w:style>
  <w:style w:type="table" w:styleId="Rutenettabell1lys">
    <w:name w:val="Grid Table 1 Light"/>
    <w:basedOn w:val="Vanligtabell"/>
    <w:uiPriority w:val="46"/>
    <w:rsid w:val="00893D2C"/>
    <w:pPr>
      <w:spacing w:after="0" w:line="240" w:lineRule="auto"/>
    </w:pPr>
    <w:tblPr>
      <w:tblStyleRowBandSize w:val="1"/>
      <w:tblStyleColBandSize w:val="1"/>
      <w:tblBorders>
        <w:top w:val="single" w:sz="4" w:space="0" w:color="B1B19C" w:themeColor="text1" w:themeTint="66"/>
        <w:left w:val="single" w:sz="4" w:space="0" w:color="B1B19C" w:themeColor="text1" w:themeTint="66"/>
        <w:bottom w:val="single" w:sz="4" w:space="0" w:color="B1B19C" w:themeColor="text1" w:themeTint="66"/>
        <w:right w:val="single" w:sz="4" w:space="0" w:color="B1B19C" w:themeColor="text1" w:themeTint="66"/>
        <w:insideH w:val="single" w:sz="4" w:space="0" w:color="B1B19C" w:themeColor="text1" w:themeTint="66"/>
        <w:insideV w:val="single" w:sz="4" w:space="0" w:color="B1B19C" w:themeColor="text1" w:themeTint="66"/>
      </w:tblBorders>
    </w:tblPr>
    <w:tblStylePr w:type="firstRow">
      <w:rPr>
        <w:b/>
        <w:bCs/>
      </w:rPr>
      <w:tblPr/>
      <w:tcPr>
        <w:tcBorders>
          <w:bottom w:val="single" w:sz="12" w:space="0" w:color="88886C" w:themeColor="text1" w:themeTint="99"/>
        </w:tcBorders>
      </w:tcPr>
    </w:tblStylePr>
    <w:tblStylePr w:type="lastRow">
      <w:rPr>
        <w:b/>
        <w:bCs/>
      </w:rPr>
      <w:tblPr/>
      <w:tcPr>
        <w:tcBorders>
          <w:top w:val="double" w:sz="2" w:space="0" w:color="88886C" w:themeColor="text1" w:themeTint="99"/>
        </w:tcBorders>
      </w:tcPr>
    </w:tblStylePr>
    <w:tblStylePr w:type="firstCol">
      <w:rPr>
        <w:b/>
        <w:bCs/>
      </w:rPr>
    </w:tblStylePr>
    <w:tblStylePr w:type="lastCol">
      <w:rPr>
        <w:b/>
        <w:bCs/>
      </w:rPr>
    </w:tblStylePr>
  </w:style>
  <w:style w:type="table" w:styleId="Rutenettabell1lysuthevingsfarge1">
    <w:name w:val="Grid Table 1 Light Accent 1"/>
    <w:basedOn w:val="Vanligtabell"/>
    <w:uiPriority w:val="46"/>
    <w:rsid w:val="00893D2C"/>
    <w:pPr>
      <w:spacing w:after="0" w:line="240" w:lineRule="auto"/>
    </w:pPr>
    <w:tblPr>
      <w:tblStyleRowBandSize w:val="1"/>
      <w:tblStyleColBandSize w:val="1"/>
      <w:tblBorders>
        <w:top w:val="single" w:sz="4" w:space="0" w:color="9595E0" w:themeColor="accent1" w:themeTint="66"/>
        <w:left w:val="single" w:sz="4" w:space="0" w:color="9595E0" w:themeColor="accent1" w:themeTint="66"/>
        <w:bottom w:val="single" w:sz="4" w:space="0" w:color="9595E0" w:themeColor="accent1" w:themeTint="66"/>
        <w:right w:val="single" w:sz="4" w:space="0" w:color="9595E0" w:themeColor="accent1" w:themeTint="66"/>
        <w:insideH w:val="single" w:sz="4" w:space="0" w:color="9595E0" w:themeColor="accent1" w:themeTint="66"/>
        <w:insideV w:val="single" w:sz="4" w:space="0" w:color="9595E0" w:themeColor="accent1" w:themeTint="66"/>
      </w:tblBorders>
    </w:tblPr>
    <w:tblStylePr w:type="firstRow">
      <w:rPr>
        <w:b/>
        <w:bCs/>
      </w:rPr>
      <w:tblPr/>
      <w:tcPr>
        <w:tcBorders>
          <w:bottom w:val="single" w:sz="12" w:space="0" w:color="6060D0" w:themeColor="accent1" w:themeTint="99"/>
        </w:tcBorders>
      </w:tcPr>
    </w:tblStylePr>
    <w:tblStylePr w:type="lastRow">
      <w:rPr>
        <w:b/>
        <w:bCs/>
      </w:rPr>
      <w:tblPr/>
      <w:tcPr>
        <w:tcBorders>
          <w:top w:val="double" w:sz="2" w:space="0" w:color="6060D0" w:themeColor="accent1" w:themeTint="99"/>
        </w:tcBorders>
      </w:tcPr>
    </w:tblStylePr>
    <w:tblStylePr w:type="firstCol">
      <w:rPr>
        <w:b/>
        <w:bCs/>
      </w:rPr>
    </w:tblStylePr>
    <w:tblStylePr w:type="lastCol">
      <w:rPr>
        <w:b/>
        <w:bCs/>
      </w:rPr>
    </w:tblStylePr>
  </w:style>
  <w:style w:type="table" w:styleId="Rutenettabell1lysuthevingsfarge2">
    <w:name w:val="Grid Table 1 Light Accent 2"/>
    <w:basedOn w:val="Vanligtabell"/>
    <w:uiPriority w:val="46"/>
    <w:rsid w:val="00893D2C"/>
    <w:pPr>
      <w:spacing w:after="0" w:line="240" w:lineRule="auto"/>
    </w:pPr>
    <w:tblPr>
      <w:tblStyleRowBandSize w:val="1"/>
      <w:tblStyleColBandSize w:val="1"/>
      <w:tblBorders>
        <w:top w:val="single" w:sz="4" w:space="0" w:color="FFDFC4" w:themeColor="accent2" w:themeTint="66"/>
        <w:left w:val="single" w:sz="4" w:space="0" w:color="FFDFC4" w:themeColor="accent2" w:themeTint="66"/>
        <w:bottom w:val="single" w:sz="4" w:space="0" w:color="FFDFC4" w:themeColor="accent2" w:themeTint="66"/>
        <w:right w:val="single" w:sz="4" w:space="0" w:color="FFDFC4" w:themeColor="accent2" w:themeTint="66"/>
        <w:insideH w:val="single" w:sz="4" w:space="0" w:color="FFDFC4" w:themeColor="accent2" w:themeTint="66"/>
        <w:insideV w:val="single" w:sz="4" w:space="0" w:color="FFDFC4" w:themeColor="accent2" w:themeTint="66"/>
      </w:tblBorders>
    </w:tblPr>
    <w:tblStylePr w:type="firstRow">
      <w:rPr>
        <w:b/>
        <w:bCs/>
      </w:rPr>
      <w:tblPr/>
      <w:tcPr>
        <w:tcBorders>
          <w:bottom w:val="single" w:sz="12" w:space="0" w:color="FFD0A7" w:themeColor="accent2" w:themeTint="99"/>
        </w:tcBorders>
      </w:tcPr>
    </w:tblStylePr>
    <w:tblStylePr w:type="lastRow">
      <w:rPr>
        <w:b/>
        <w:bCs/>
      </w:rPr>
      <w:tblPr/>
      <w:tcPr>
        <w:tcBorders>
          <w:top w:val="double" w:sz="2" w:space="0" w:color="FFD0A7" w:themeColor="accent2" w:themeTint="99"/>
        </w:tcBorders>
      </w:tcPr>
    </w:tblStylePr>
    <w:tblStylePr w:type="firstCol">
      <w:rPr>
        <w:b/>
        <w:bCs/>
      </w:rPr>
    </w:tblStylePr>
    <w:tblStylePr w:type="lastCol">
      <w:rPr>
        <w:b/>
        <w:bCs/>
      </w:rPr>
    </w:tblStylePr>
  </w:style>
  <w:style w:type="table" w:styleId="Rutenettabell1lysuthevingsfarge3">
    <w:name w:val="Grid Table 1 Light Accent 3"/>
    <w:basedOn w:val="Vanligtabell"/>
    <w:uiPriority w:val="46"/>
    <w:rsid w:val="00893D2C"/>
    <w:pPr>
      <w:spacing w:after="0" w:line="240" w:lineRule="auto"/>
    </w:pPr>
    <w:tblPr>
      <w:tblStyleRowBandSize w:val="1"/>
      <w:tblStyleColBandSize w:val="1"/>
      <w:tblBorders>
        <w:top w:val="single" w:sz="4" w:space="0" w:color="AAD7DC" w:themeColor="accent3" w:themeTint="66"/>
        <w:left w:val="single" w:sz="4" w:space="0" w:color="AAD7DC" w:themeColor="accent3" w:themeTint="66"/>
        <w:bottom w:val="single" w:sz="4" w:space="0" w:color="AAD7DC" w:themeColor="accent3" w:themeTint="66"/>
        <w:right w:val="single" w:sz="4" w:space="0" w:color="AAD7DC" w:themeColor="accent3" w:themeTint="66"/>
        <w:insideH w:val="single" w:sz="4" w:space="0" w:color="AAD7DC" w:themeColor="accent3" w:themeTint="66"/>
        <w:insideV w:val="single" w:sz="4" w:space="0" w:color="AAD7DC" w:themeColor="accent3" w:themeTint="66"/>
      </w:tblBorders>
    </w:tblPr>
    <w:tblStylePr w:type="firstRow">
      <w:rPr>
        <w:b/>
        <w:bCs/>
      </w:rPr>
      <w:tblPr/>
      <w:tcPr>
        <w:tcBorders>
          <w:bottom w:val="single" w:sz="12" w:space="0" w:color="80C3CB" w:themeColor="accent3" w:themeTint="99"/>
        </w:tcBorders>
      </w:tcPr>
    </w:tblStylePr>
    <w:tblStylePr w:type="lastRow">
      <w:rPr>
        <w:b/>
        <w:bCs/>
      </w:rPr>
      <w:tblPr/>
      <w:tcPr>
        <w:tcBorders>
          <w:top w:val="double" w:sz="2" w:space="0" w:color="80C3CB" w:themeColor="accent3" w:themeTint="99"/>
        </w:tcBorders>
      </w:tcPr>
    </w:tblStylePr>
    <w:tblStylePr w:type="firstCol">
      <w:rPr>
        <w:b/>
        <w:bCs/>
      </w:rPr>
    </w:tblStylePr>
    <w:tblStylePr w:type="lastCol">
      <w:rPr>
        <w:b/>
        <w:bCs/>
      </w:rPr>
    </w:tblStylePr>
  </w:style>
  <w:style w:type="table" w:styleId="Rutenettabell1lysuthevingsfarge4">
    <w:name w:val="Grid Table 1 Light Accent 4"/>
    <w:basedOn w:val="Vanligtabell"/>
    <w:uiPriority w:val="46"/>
    <w:rsid w:val="00893D2C"/>
    <w:pPr>
      <w:spacing w:after="0" w:line="240" w:lineRule="auto"/>
    </w:pPr>
    <w:tblPr>
      <w:tblStyleRowBandSize w:val="1"/>
      <w:tblStyleColBandSize w:val="1"/>
      <w:tblBorders>
        <w:top w:val="single" w:sz="4" w:space="0" w:color="B1B19C" w:themeColor="accent4" w:themeTint="66"/>
        <w:left w:val="single" w:sz="4" w:space="0" w:color="B1B19C" w:themeColor="accent4" w:themeTint="66"/>
        <w:bottom w:val="single" w:sz="4" w:space="0" w:color="B1B19C" w:themeColor="accent4" w:themeTint="66"/>
        <w:right w:val="single" w:sz="4" w:space="0" w:color="B1B19C" w:themeColor="accent4" w:themeTint="66"/>
        <w:insideH w:val="single" w:sz="4" w:space="0" w:color="B1B19C" w:themeColor="accent4" w:themeTint="66"/>
        <w:insideV w:val="single" w:sz="4" w:space="0" w:color="B1B19C" w:themeColor="accent4" w:themeTint="66"/>
      </w:tblBorders>
    </w:tblPr>
    <w:tblStylePr w:type="firstRow">
      <w:rPr>
        <w:b/>
        <w:bCs/>
      </w:rPr>
      <w:tblPr/>
      <w:tcPr>
        <w:tcBorders>
          <w:bottom w:val="single" w:sz="12" w:space="0" w:color="88886C" w:themeColor="accent4" w:themeTint="99"/>
        </w:tcBorders>
      </w:tcPr>
    </w:tblStylePr>
    <w:tblStylePr w:type="lastRow">
      <w:rPr>
        <w:b/>
        <w:bCs/>
      </w:rPr>
      <w:tblPr/>
      <w:tcPr>
        <w:tcBorders>
          <w:top w:val="double" w:sz="2" w:space="0" w:color="88886C" w:themeColor="accent4" w:themeTint="99"/>
        </w:tcBorders>
      </w:tcPr>
    </w:tblStylePr>
    <w:tblStylePr w:type="firstCol">
      <w:rPr>
        <w:b/>
        <w:bCs/>
      </w:rPr>
    </w:tblStylePr>
    <w:tblStylePr w:type="lastCol">
      <w:rPr>
        <w:b/>
        <w:bCs/>
      </w:rPr>
    </w:tblStylePr>
  </w:style>
  <w:style w:type="table" w:styleId="Rutenettabell1lysuthevingsfarge5">
    <w:name w:val="Grid Table 1 Light Accent 5"/>
    <w:basedOn w:val="Vanligtabell"/>
    <w:uiPriority w:val="46"/>
    <w:rsid w:val="00893D2C"/>
    <w:pPr>
      <w:spacing w:after="0" w:line="240" w:lineRule="auto"/>
    </w:pPr>
    <w:tblPr>
      <w:tblStyleRowBandSize w:val="1"/>
      <w:tblStyleColBandSize w:val="1"/>
      <w:tblBorders>
        <w:top w:val="single" w:sz="4" w:space="0" w:color="FDF7F1" w:themeColor="accent5" w:themeTint="66"/>
        <w:left w:val="single" w:sz="4" w:space="0" w:color="FDF7F1" w:themeColor="accent5" w:themeTint="66"/>
        <w:bottom w:val="single" w:sz="4" w:space="0" w:color="FDF7F1" w:themeColor="accent5" w:themeTint="66"/>
        <w:right w:val="single" w:sz="4" w:space="0" w:color="FDF7F1" w:themeColor="accent5" w:themeTint="66"/>
        <w:insideH w:val="single" w:sz="4" w:space="0" w:color="FDF7F1" w:themeColor="accent5" w:themeTint="66"/>
        <w:insideV w:val="single" w:sz="4" w:space="0" w:color="FDF7F1" w:themeColor="accent5" w:themeTint="66"/>
      </w:tblBorders>
    </w:tblPr>
    <w:tblStylePr w:type="firstRow">
      <w:rPr>
        <w:b/>
        <w:bCs/>
      </w:rPr>
      <w:tblPr/>
      <w:tcPr>
        <w:tcBorders>
          <w:bottom w:val="single" w:sz="12" w:space="0" w:color="FDF3EB" w:themeColor="accent5" w:themeTint="99"/>
        </w:tcBorders>
      </w:tcPr>
    </w:tblStylePr>
    <w:tblStylePr w:type="lastRow">
      <w:rPr>
        <w:b/>
        <w:bCs/>
      </w:rPr>
      <w:tblPr/>
      <w:tcPr>
        <w:tcBorders>
          <w:top w:val="double" w:sz="2" w:space="0" w:color="FDF3EB" w:themeColor="accent5" w:themeTint="99"/>
        </w:tcBorders>
      </w:tcPr>
    </w:tblStylePr>
    <w:tblStylePr w:type="firstCol">
      <w:rPr>
        <w:b/>
        <w:bCs/>
      </w:rPr>
    </w:tblStylePr>
    <w:tblStylePr w:type="lastCol">
      <w:rPr>
        <w:b/>
        <w:bCs/>
      </w:rPr>
    </w:tblStylePr>
  </w:style>
  <w:style w:type="table" w:styleId="Rutenettabell1lysuthevingsfarge6">
    <w:name w:val="Grid Table 1 Light Accent 6"/>
    <w:basedOn w:val="Vanligtabell"/>
    <w:uiPriority w:val="46"/>
    <w:rsid w:val="00893D2C"/>
    <w:pPr>
      <w:spacing w:after="0" w:line="240" w:lineRule="auto"/>
    </w:pPr>
    <w:tblPr>
      <w:tblStyleRowBandSize w:val="1"/>
      <w:tblStyleColBandSize w:val="1"/>
      <w:tblBorders>
        <w:top w:val="single" w:sz="4" w:space="0" w:color="F9FCFC" w:themeColor="accent6" w:themeTint="66"/>
        <w:left w:val="single" w:sz="4" w:space="0" w:color="F9FCFC" w:themeColor="accent6" w:themeTint="66"/>
        <w:bottom w:val="single" w:sz="4" w:space="0" w:color="F9FCFC" w:themeColor="accent6" w:themeTint="66"/>
        <w:right w:val="single" w:sz="4" w:space="0" w:color="F9FCFC" w:themeColor="accent6" w:themeTint="66"/>
        <w:insideH w:val="single" w:sz="4" w:space="0" w:color="F9FCFC" w:themeColor="accent6" w:themeTint="66"/>
        <w:insideV w:val="single" w:sz="4" w:space="0" w:color="F9FCFC" w:themeColor="accent6" w:themeTint="66"/>
      </w:tblBorders>
    </w:tblPr>
    <w:tblStylePr w:type="firstRow">
      <w:rPr>
        <w:b/>
        <w:bCs/>
      </w:rPr>
      <w:tblPr/>
      <w:tcPr>
        <w:tcBorders>
          <w:bottom w:val="single" w:sz="12" w:space="0" w:color="F7FAFA" w:themeColor="accent6" w:themeTint="99"/>
        </w:tcBorders>
      </w:tcPr>
    </w:tblStylePr>
    <w:tblStylePr w:type="lastRow">
      <w:rPr>
        <w:b/>
        <w:bCs/>
      </w:rPr>
      <w:tblPr/>
      <w:tcPr>
        <w:tcBorders>
          <w:top w:val="double" w:sz="2" w:space="0" w:color="F7FAFA" w:themeColor="accent6" w:themeTint="99"/>
        </w:tcBorders>
      </w:tcPr>
    </w:tblStylePr>
    <w:tblStylePr w:type="firstCol">
      <w:rPr>
        <w:b/>
        <w:bCs/>
      </w:rPr>
    </w:tblStylePr>
    <w:tblStylePr w:type="lastCol">
      <w:rPr>
        <w:b/>
        <w:bCs/>
      </w:rPr>
    </w:tblStylePr>
  </w:style>
  <w:style w:type="table" w:styleId="Rutenettabell2">
    <w:name w:val="Grid Table 2"/>
    <w:basedOn w:val="Vanligtabell"/>
    <w:uiPriority w:val="47"/>
    <w:rsid w:val="00893D2C"/>
    <w:pPr>
      <w:spacing w:after="0" w:line="240" w:lineRule="auto"/>
    </w:pPr>
    <w:tblPr>
      <w:tblStyleRowBandSize w:val="1"/>
      <w:tblStyleColBandSize w:val="1"/>
      <w:tblBorders>
        <w:top w:val="single" w:sz="2" w:space="0" w:color="88886C" w:themeColor="text1" w:themeTint="99"/>
        <w:bottom w:val="single" w:sz="2" w:space="0" w:color="88886C" w:themeColor="text1" w:themeTint="99"/>
        <w:insideH w:val="single" w:sz="2" w:space="0" w:color="88886C" w:themeColor="text1" w:themeTint="99"/>
        <w:insideV w:val="single" w:sz="2" w:space="0" w:color="88886C" w:themeColor="text1" w:themeTint="99"/>
      </w:tblBorders>
    </w:tblPr>
    <w:tblStylePr w:type="firstRow">
      <w:rPr>
        <w:b/>
        <w:bCs/>
      </w:rPr>
      <w:tblPr/>
      <w:tcPr>
        <w:tcBorders>
          <w:top w:val="nil"/>
          <w:bottom w:val="single" w:sz="12" w:space="0" w:color="88886C" w:themeColor="text1" w:themeTint="99"/>
          <w:insideH w:val="nil"/>
          <w:insideV w:val="nil"/>
        </w:tcBorders>
        <w:shd w:val="clear" w:color="auto" w:fill="FFFFFF" w:themeFill="background1"/>
      </w:tcPr>
    </w:tblStylePr>
    <w:tblStylePr w:type="lastRow">
      <w:rPr>
        <w:b/>
        <w:bCs/>
      </w:rPr>
      <w:tblPr/>
      <w:tcPr>
        <w:tcBorders>
          <w:top w:val="double" w:sz="2" w:space="0" w:color="88886C"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8D8CD" w:themeFill="text1" w:themeFillTint="33"/>
      </w:tcPr>
    </w:tblStylePr>
    <w:tblStylePr w:type="band1Horz">
      <w:tblPr/>
      <w:tcPr>
        <w:shd w:val="clear" w:color="auto" w:fill="D8D8CD" w:themeFill="text1" w:themeFillTint="33"/>
      </w:tcPr>
    </w:tblStylePr>
  </w:style>
  <w:style w:type="table" w:styleId="Rutenettabell2uthevingsfarge1">
    <w:name w:val="Grid Table 2 Accent 1"/>
    <w:basedOn w:val="Vanligtabell"/>
    <w:uiPriority w:val="47"/>
    <w:rsid w:val="00893D2C"/>
    <w:pPr>
      <w:spacing w:after="0" w:line="240" w:lineRule="auto"/>
    </w:pPr>
    <w:tblPr>
      <w:tblStyleRowBandSize w:val="1"/>
      <w:tblStyleColBandSize w:val="1"/>
      <w:tblBorders>
        <w:top w:val="single" w:sz="2" w:space="0" w:color="6060D0" w:themeColor="accent1" w:themeTint="99"/>
        <w:bottom w:val="single" w:sz="2" w:space="0" w:color="6060D0" w:themeColor="accent1" w:themeTint="99"/>
        <w:insideH w:val="single" w:sz="2" w:space="0" w:color="6060D0" w:themeColor="accent1" w:themeTint="99"/>
        <w:insideV w:val="single" w:sz="2" w:space="0" w:color="6060D0" w:themeColor="accent1" w:themeTint="99"/>
      </w:tblBorders>
    </w:tblPr>
    <w:tblStylePr w:type="firstRow">
      <w:rPr>
        <w:b/>
        <w:bCs/>
      </w:rPr>
      <w:tblPr/>
      <w:tcPr>
        <w:tcBorders>
          <w:top w:val="nil"/>
          <w:bottom w:val="single" w:sz="12" w:space="0" w:color="6060D0" w:themeColor="accent1" w:themeTint="99"/>
          <w:insideH w:val="nil"/>
          <w:insideV w:val="nil"/>
        </w:tcBorders>
        <w:shd w:val="clear" w:color="auto" w:fill="FFFFFF" w:themeFill="background1"/>
      </w:tcPr>
    </w:tblStylePr>
    <w:tblStylePr w:type="lastRow">
      <w:rPr>
        <w:b/>
        <w:bCs/>
      </w:rPr>
      <w:tblPr/>
      <w:tcPr>
        <w:tcBorders>
          <w:top w:val="double" w:sz="2" w:space="0" w:color="6060D0"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9C9EF" w:themeFill="accent1" w:themeFillTint="33"/>
      </w:tcPr>
    </w:tblStylePr>
    <w:tblStylePr w:type="band1Horz">
      <w:tblPr/>
      <w:tcPr>
        <w:shd w:val="clear" w:color="auto" w:fill="C9C9EF" w:themeFill="accent1" w:themeFillTint="33"/>
      </w:tcPr>
    </w:tblStylePr>
  </w:style>
  <w:style w:type="table" w:styleId="Rutenettabell2uthevingsfarge2">
    <w:name w:val="Grid Table 2 Accent 2"/>
    <w:basedOn w:val="Vanligtabell"/>
    <w:uiPriority w:val="47"/>
    <w:rsid w:val="00893D2C"/>
    <w:pPr>
      <w:spacing w:after="0" w:line="240" w:lineRule="auto"/>
    </w:pPr>
    <w:tblPr>
      <w:tblStyleRowBandSize w:val="1"/>
      <w:tblStyleColBandSize w:val="1"/>
      <w:tblBorders>
        <w:top w:val="single" w:sz="2" w:space="0" w:color="FFD0A7" w:themeColor="accent2" w:themeTint="99"/>
        <w:bottom w:val="single" w:sz="2" w:space="0" w:color="FFD0A7" w:themeColor="accent2" w:themeTint="99"/>
        <w:insideH w:val="single" w:sz="2" w:space="0" w:color="FFD0A7" w:themeColor="accent2" w:themeTint="99"/>
        <w:insideV w:val="single" w:sz="2" w:space="0" w:color="FFD0A7" w:themeColor="accent2" w:themeTint="99"/>
      </w:tblBorders>
    </w:tblPr>
    <w:tblStylePr w:type="firstRow">
      <w:rPr>
        <w:b/>
        <w:bCs/>
      </w:rPr>
      <w:tblPr/>
      <w:tcPr>
        <w:tcBorders>
          <w:top w:val="nil"/>
          <w:bottom w:val="single" w:sz="12" w:space="0" w:color="FFD0A7" w:themeColor="accent2" w:themeTint="99"/>
          <w:insideH w:val="nil"/>
          <w:insideV w:val="nil"/>
        </w:tcBorders>
        <w:shd w:val="clear" w:color="auto" w:fill="FFFFFF" w:themeFill="background1"/>
      </w:tcPr>
    </w:tblStylePr>
    <w:tblStylePr w:type="lastRow">
      <w:rPr>
        <w:b/>
        <w:bCs/>
      </w:rPr>
      <w:tblPr/>
      <w:tcPr>
        <w:tcBorders>
          <w:top w:val="double" w:sz="2" w:space="0" w:color="FFD0A7"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FE1" w:themeFill="accent2" w:themeFillTint="33"/>
      </w:tcPr>
    </w:tblStylePr>
    <w:tblStylePr w:type="band1Horz">
      <w:tblPr/>
      <w:tcPr>
        <w:shd w:val="clear" w:color="auto" w:fill="FFEFE1" w:themeFill="accent2" w:themeFillTint="33"/>
      </w:tcPr>
    </w:tblStylePr>
  </w:style>
  <w:style w:type="table" w:styleId="Rutenettabell2uthevingsfarge3">
    <w:name w:val="Grid Table 2 Accent 3"/>
    <w:basedOn w:val="Vanligtabell"/>
    <w:uiPriority w:val="47"/>
    <w:rsid w:val="00893D2C"/>
    <w:pPr>
      <w:spacing w:after="0" w:line="240" w:lineRule="auto"/>
    </w:pPr>
    <w:tblPr>
      <w:tblStyleRowBandSize w:val="1"/>
      <w:tblStyleColBandSize w:val="1"/>
      <w:tblBorders>
        <w:top w:val="single" w:sz="2" w:space="0" w:color="80C3CB" w:themeColor="accent3" w:themeTint="99"/>
        <w:bottom w:val="single" w:sz="2" w:space="0" w:color="80C3CB" w:themeColor="accent3" w:themeTint="99"/>
        <w:insideH w:val="single" w:sz="2" w:space="0" w:color="80C3CB" w:themeColor="accent3" w:themeTint="99"/>
        <w:insideV w:val="single" w:sz="2" w:space="0" w:color="80C3CB" w:themeColor="accent3" w:themeTint="99"/>
      </w:tblBorders>
    </w:tblPr>
    <w:tblStylePr w:type="firstRow">
      <w:rPr>
        <w:b/>
        <w:bCs/>
      </w:rPr>
      <w:tblPr/>
      <w:tcPr>
        <w:tcBorders>
          <w:top w:val="nil"/>
          <w:bottom w:val="single" w:sz="12" w:space="0" w:color="80C3CB" w:themeColor="accent3" w:themeTint="99"/>
          <w:insideH w:val="nil"/>
          <w:insideV w:val="nil"/>
        </w:tcBorders>
        <w:shd w:val="clear" w:color="auto" w:fill="FFFFFF" w:themeFill="background1"/>
      </w:tcPr>
    </w:tblStylePr>
    <w:tblStylePr w:type="lastRow">
      <w:rPr>
        <w:b/>
        <w:bCs/>
      </w:rPr>
      <w:tblPr/>
      <w:tcPr>
        <w:tcBorders>
          <w:top w:val="double" w:sz="2" w:space="0" w:color="80C3C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EBED" w:themeFill="accent3" w:themeFillTint="33"/>
      </w:tcPr>
    </w:tblStylePr>
    <w:tblStylePr w:type="band1Horz">
      <w:tblPr/>
      <w:tcPr>
        <w:shd w:val="clear" w:color="auto" w:fill="D4EBED" w:themeFill="accent3" w:themeFillTint="33"/>
      </w:tcPr>
    </w:tblStylePr>
  </w:style>
  <w:style w:type="table" w:styleId="Rutenettabell2uthevingsfarge4">
    <w:name w:val="Grid Table 2 Accent 4"/>
    <w:basedOn w:val="Vanligtabell"/>
    <w:uiPriority w:val="47"/>
    <w:rsid w:val="00893D2C"/>
    <w:pPr>
      <w:spacing w:after="0" w:line="240" w:lineRule="auto"/>
    </w:pPr>
    <w:tblPr>
      <w:tblStyleRowBandSize w:val="1"/>
      <w:tblStyleColBandSize w:val="1"/>
      <w:tblBorders>
        <w:top w:val="single" w:sz="2" w:space="0" w:color="88886C" w:themeColor="accent4" w:themeTint="99"/>
        <w:bottom w:val="single" w:sz="2" w:space="0" w:color="88886C" w:themeColor="accent4" w:themeTint="99"/>
        <w:insideH w:val="single" w:sz="2" w:space="0" w:color="88886C" w:themeColor="accent4" w:themeTint="99"/>
        <w:insideV w:val="single" w:sz="2" w:space="0" w:color="88886C" w:themeColor="accent4" w:themeTint="99"/>
      </w:tblBorders>
    </w:tblPr>
    <w:tblStylePr w:type="firstRow">
      <w:rPr>
        <w:b/>
        <w:bCs/>
      </w:rPr>
      <w:tblPr/>
      <w:tcPr>
        <w:tcBorders>
          <w:top w:val="nil"/>
          <w:bottom w:val="single" w:sz="12" w:space="0" w:color="88886C" w:themeColor="accent4" w:themeTint="99"/>
          <w:insideH w:val="nil"/>
          <w:insideV w:val="nil"/>
        </w:tcBorders>
        <w:shd w:val="clear" w:color="auto" w:fill="FFFFFF" w:themeFill="background1"/>
      </w:tcPr>
    </w:tblStylePr>
    <w:tblStylePr w:type="lastRow">
      <w:rPr>
        <w:b/>
        <w:bCs/>
      </w:rPr>
      <w:tblPr/>
      <w:tcPr>
        <w:tcBorders>
          <w:top w:val="double" w:sz="2" w:space="0" w:color="88886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8D8CD" w:themeFill="accent4" w:themeFillTint="33"/>
      </w:tcPr>
    </w:tblStylePr>
    <w:tblStylePr w:type="band1Horz">
      <w:tblPr/>
      <w:tcPr>
        <w:shd w:val="clear" w:color="auto" w:fill="D8D8CD" w:themeFill="accent4" w:themeFillTint="33"/>
      </w:tcPr>
    </w:tblStylePr>
  </w:style>
  <w:style w:type="table" w:styleId="Rutenettabell2uthevingsfarge5">
    <w:name w:val="Grid Table 2 Accent 5"/>
    <w:basedOn w:val="Vanligtabell"/>
    <w:uiPriority w:val="47"/>
    <w:rsid w:val="00893D2C"/>
    <w:pPr>
      <w:spacing w:after="0" w:line="240" w:lineRule="auto"/>
    </w:pPr>
    <w:tblPr>
      <w:tblStyleRowBandSize w:val="1"/>
      <w:tblStyleColBandSize w:val="1"/>
      <w:tblBorders>
        <w:top w:val="single" w:sz="2" w:space="0" w:color="FDF3EB" w:themeColor="accent5" w:themeTint="99"/>
        <w:bottom w:val="single" w:sz="2" w:space="0" w:color="FDF3EB" w:themeColor="accent5" w:themeTint="99"/>
        <w:insideH w:val="single" w:sz="2" w:space="0" w:color="FDF3EB" w:themeColor="accent5" w:themeTint="99"/>
        <w:insideV w:val="single" w:sz="2" w:space="0" w:color="FDF3EB" w:themeColor="accent5" w:themeTint="99"/>
      </w:tblBorders>
    </w:tblPr>
    <w:tblStylePr w:type="firstRow">
      <w:rPr>
        <w:b/>
        <w:bCs/>
      </w:rPr>
      <w:tblPr/>
      <w:tcPr>
        <w:tcBorders>
          <w:top w:val="nil"/>
          <w:bottom w:val="single" w:sz="12" w:space="0" w:color="FDF3EB" w:themeColor="accent5" w:themeTint="99"/>
          <w:insideH w:val="nil"/>
          <w:insideV w:val="nil"/>
        </w:tcBorders>
        <w:shd w:val="clear" w:color="auto" w:fill="FFFFFF" w:themeFill="background1"/>
      </w:tcPr>
    </w:tblStylePr>
    <w:tblStylePr w:type="lastRow">
      <w:rPr>
        <w:b/>
        <w:bCs/>
      </w:rPr>
      <w:tblPr/>
      <w:tcPr>
        <w:tcBorders>
          <w:top w:val="double" w:sz="2" w:space="0" w:color="FDF3E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FBF8" w:themeFill="accent5" w:themeFillTint="33"/>
      </w:tcPr>
    </w:tblStylePr>
    <w:tblStylePr w:type="band1Horz">
      <w:tblPr/>
      <w:tcPr>
        <w:shd w:val="clear" w:color="auto" w:fill="FEFBF8" w:themeFill="accent5" w:themeFillTint="33"/>
      </w:tcPr>
    </w:tblStylePr>
  </w:style>
  <w:style w:type="table" w:styleId="Rutenettabell2uthevingsfarge6">
    <w:name w:val="Grid Table 2 Accent 6"/>
    <w:basedOn w:val="Vanligtabell"/>
    <w:uiPriority w:val="47"/>
    <w:rsid w:val="00893D2C"/>
    <w:pPr>
      <w:spacing w:after="0" w:line="240" w:lineRule="auto"/>
    </w:pPr>
    <w:tblPr>
      <w:tblStyleRowBandSize w:val="1"/>
      <w:tblStyleColBandSize w:val="1"/>
      <w:tblBorders>
        <w:top w:val="single" w:sz="2" w:space="0" w:color="F7FAFA" w:themeColor="accent6" w:themeTint="99"/>
        <w:bottom w:val="single" w:sz="2" w:space="0" w:color="F7FAFA" w:themeColor="accent6" w:themeTint="99"/>
        <w:insideH w:val="single" w:sz="2" w:space="0" w:color="F7FAFA" w:themeColor="accent6" w:themeTint="99"/>
        <w:insideV w:val="single" w:sz="2" w:space="0" w:color="F7FAFA" w:themeColor="accent6" w:themeTint="99"/>
      </w:tblBorders>
    </w:tblPr>
    <w:tblStylePr w:type="firstRow">
      <w:rPr>
        <w:b/>
        <w:bCs/>
      </w:rPr>
      <w:tblPr/>
      <w:tcPr>
        <w:tcBorders>
          <w:top w:val="nil"/>
          <w:bottom w:val="single" w:sz="12" w:space="0" w:color="F7FAFA" w:themeColor="accent6" w:themeTint="99"/>
          <w:insideH w:val="nil"/>
          <w:insideV w:val="nil"/>
        </w:tcBorders>
        <w:shd w:val="clear" w:color="auto" w:fill="FFFFFF" w:themeFill="background1"/>
      </w:tcPr>
    </w:tblStylePr>
    <w:tblStylePr w:type="lastRow">
      <w:rPr>
        <w:b/>
        <w:bCs/>
      </w:rPr>
      <w:tblPr/>
      <w:tcPr>
        <w:tcBorders>
          <w:top w:val="double" w:sz="2" w:space="0" w:color="F7FAF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DFD" w:themeFill="accent6" w:themeFillTint="33"/>
      </w:tcPr>
    </w:tblStylePr>
    <w:tblStylePr w:type="band1Horz">
      <w:tblPr/>
      <w:tcPr>
        <w:shd w:val="clear" w:color="auto" w:fill="FCFDFD" w:themeFill="accent6" w:themeFillTint="33"/>
      </w:tcPr>
    </w:tblStylePr>
  </w:style>
  <w:style w:type="table" w:styleId="Rutenettabell3">
    <w:name w:val="Grid Table 3"/>
    <w:basedOn w:val="Vanligtabell"/>
    <w:uiPriority w:val="48"/>
    <w:rsid w:val="00893D2C"/>
    <w:pPr>
      <w:spacing w:after="0" w:line="240" w:lineRule="auto"/>
    </w:pPr>
    <w:tblPr>
      <w:tblStyleRowBandSize w:val="1"/>
      <w:tblStyleColBandSize w:val="1"/>
      <w:tblBorders>
        <w:top w:val="single" w:sz="4" w:space="0" w:color="88886C" w:themeColor="text1" w:themeTint="99"/>
        <w:left w:val="single" w:sz="4" w:space="0" w:color="88886C" w:themeColor="text1" w:themeTint="99"/>
        <w:bottom w:val="single" w:sz="4" w:space="0" w:color="88886C" w:themeColor="text1" w:themeTint="99"/>
        <w:right w:val="single" w:sz="4" w:space="0" w:color="88886C" w:themeColor="text1" w:themeTint="99"/>
        <w:insideH w:val="single" w:sz="4" w:space="0" w:color="88886C" w:themeColor="text1" w:themeTint="99"/>
        <w:insideV w:val="single" w:sz="4" w:space="0" w:color="88886C"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D8CD" w:themeFill="text1" w:themeFillTint="33"/>
      </w:tcPr>
    </w:tblStylePr>
    <w:tblStylePr w:type="band1Horz">
      <w:tblPr/>
      <w:tcPr>
        <w:shd w:val="clear" w:color="auto" w:fill="D8D8CD" w:themeFill="text1" w:themeFillTint="33"/>
      </w:tcPr>
    </w:tblStylePr>
    <w:tblStylePr w:type="neCell">
      <w:tblPr/>
      <w:tcPr>
        <w:tcBorders>
          <w:bottom w:val="single" w:sz="4" w:space="0" w:color="88886C" w:themeColor="text1" w:themeTint="99"/>
        </w:tcBorders>
      </w:tcPr>
    </w:tblStylePr>
    <w:tblStylePr w:type="nwCell">
      <w:tblPr/>
      <w:tcPr>
        <w:tcBorders>
          <w:bottom w:val="single" w:sz="4" w:space="0" w:color="88886C" w:themeColor="text1" w:themeTint="99"/>
        </w:tcBorders>
      </w:tcPr>
    </w:tblStylePr>
    <w:tblStylePr w:type="seCell">
      <w:tblPr/>
      <w:tcPr>
        <w:tcBorders>
          <w:top w:val="single" w:sz="4" w:space="0" w:color="88886C" w:themeColor="text1" w:themeTint="99"/>
        </w:tcBorders>
      </w:tcPr>
    </w:tblStylePr>
    <w:tblStylePr w:type="swCell">
      <w:tblPr/>
      <w:tcPr>
        <w:tcBorders>
          <w:top w:val="single" w:sz="4" w:space="0" w:color="88886C" w:themeColor="text1" w:themeTint="99"/>
        </w:tcBorders>
      </w:tcPr>
    </w:tblStylePr>
  </w:style>
  <w:style w:type="table" w:styleId="Rutenettabell3uthevingsfarge1">
    <w:name w:val="Grid Table 3 Accent 1"/>
    <w:basedOn w:val="Vanligtabell"/>
    <w:uiPriority w:val="48"/>
    <w:rsid w:val="00893D2C"/>
    <w:pPr>
      <w:spacing w:after="0" w:line="240" w:lineRule="auto"/>
    </w:pPr>
    <w:tblPr>
      <w:tblStyleRowBandSize w:val="1"/>
      <w:tblStyleColBandSize w:val="1"/>
      <w:tblBorders>
        <w:top w:val="single" w:sz="4" w:space="0" w:color="6060D0" w:themeColor="accent1" w:themeTint="99"/>
        <w:left w:val="single" w:sz="4" w:space="0" w:color="6060D0" w:themeColor="accent1" w:themeTint="99"/>
        <w:bottom w:val="single" w:sz="4" w:space="0" w:color="6060D0" w:themeColor="accent1" w:themeTint="99"/>
        <w:right w:val="single" w:sz="4" w:space="0" w:color="6060D0" w:themeColor="accent1" w:themeTint="99"/>
        <w:insideH w:val="single" w:sz="4" w:space="0" w:color="6060D0" w:themeColor="accent1" w:themeTint="99"/>
        <w:insideV w:val="single" w:sz="4" w:space="0" w:color="6060D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C9EF" w:themeFill="accent1" w:themeFillTint="33"/>
      </w:tcPr>
    </w:tblStylePr>
    <w:tblStylePr w:type="band1Horz">
      <w:tblPr/>
      <w:tcPr>
        <w:shd w:val="clear" w:color="auto" w:fill="C9C9EF" w:themeFill="accent1" w:themeFillTint="33"/>
      </w:tcPr>
    </w:tblStylePr>
    <w:tblStylePr w:type="neCell">
      <w:tblPr/>
      <w:tcPr>
        <w:tcBorders>
          <w:bottom w:val="single" w:sz="4" w:space="0" w:color="6060D0" w:themeColor="accent1" w:themeTint="99"/>
        </w:tcBorders>
      </w:tcPr>
    </w:tblStylePr>
    <w:tblStylePr w:type="nwCell">
      <w:tblPr/>
      <w:tcPr>
        <w:tcBorders>
          <w:bottom w:val="single" w:sz="4" w:space="0" w:color="6060D0" w:themeColor="accent1" w:themeTint="99"/>
        </w:tcBorders>
      </w:tcPr>
    </w:tblStylePr>
    <w:tblStylePr w:type="seCell">
      <w:tblPr/>
      <w:tcPr>
        <w:tcBorders>
          <w:top w:val="single" w:sz="4" w:space="0" w:color="6060D0" w:themeColor="accent1" w:themeTint="99"/>
        </w:tcBorders>
      </w:tcPr>
    </w:tblStylePr>
    <w:tblStylePr w:type="swCell">
      <w:tblPr/>
      <w:tcPr>
        <w:tcBorders>
          <w:top w:val="single" w:sz="4" w:space="0" w:color="6060D0" w:themeColor="accent1" w:themeTint="99"/>
        </w:tcBorders>
      </w:tcPr>
    </w:tblStylePr>
  </w:style>
  <w:style w:type="table" w:styleId="Rutenettabell3uthevingsfarge2">
    <w:name w:val="Grid Table 3 Accent 2"/>
    <w:basedOn w:val="Vanligtabell"/>
    <w:uiPriority w:val="48"/>
    <w:rsid w:val="00893D2C"/>
    <w:pPr>
      <w:spacing w:after="0" w:line="240" w:lineRule="auto"/>
    </w:pPr>
    <w:tblPr>
      <w:tblStyleRowBandSize w:val="1"/>
      <w:tblStyleColBandSize w:val="1"/>
      <w:tblBorders>
        <w:top w:val="single" w:sz="4" w:space="0" w:color="FFD0A7" w:themeColor="accent2" w:themeTint="99"/>
        <w:left w:val="single" w:sz="4" w:space="0" w:color="FFD0A7" w:themeColor="accent2" w:themeTint="99"/>
        <w:bottom w:val="single" w:sz="4" w:space="0" w:color="FFD0A7" w:themeColor="accent2" w:themeTint="99"/>
        <w:right w:val="single" w:sz="4" w:space="0" w:color="FFD0A7" w:themeColor="accent2" w:themeTint="99"/>
        <w:insideH w:val="single" w:sz="4" w:space="0" w:color="FFD0A7" w:themeColor="accent2" w:themeTint="99"/>
        <w:insideV w:val="single" w:sz="4" w:space="0" w:color="FFD0A7"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FE1" w:themeFill="accent2" w:themeFillTint="33"/>
      </w:tcPr>
    </w:tblStylePr>
    <w:tblStylePr w:type="band1Horz">
      <w:tblPr/>
      <w:tcPr>
        <w:shd w:val="clear" w:color="auto" w:fill="FFEFE1" w:themeFill="accent2" w:themeFillTint="33"/>
      </w:tcPr>
    </w:tblStylePr>
    <w:tblStylePr w:type="neCell">
      <w:tblPr/>
      <w:tcPr>
        <w:tcBorders>
          <w:bottom w:val="single" w:sz="4" w:space="0" w:color="FFD0A7" w:themeColor="accent2" w:themeTint="99"/>
        </w:tcBorders>
      </w:tcPr>
    </w:tblStylePr>
    <w:tblStylePr w:type="nwCell">
      <w:tblPr/>
      <w:tcPr>
        <w:tcBorders>
          <w:bottom w:val="single" w:sz="4" w:space="0" w:color="FFD0A7" w:themeColor="accent2" w:themeTint="99"/>
        </w:tcBorders>
      </w:tcPr>
    </w:tblStylePr>
    <w:tblStylePr w:type="seCell">
      <w:tblPr/>
      <w:tcPr>
        <w:tcBorders>
          <w:top w:val="single" w:sz="4" w:space="0" w:color="FFD0A7" w:themeColor="accent2" w:themeTint="99"/>
        </w:tcBorders>
      </w:tcPr>
    </w:tblStylePr>
    <w:tblStylePr w:type="swCell">
      <w:tblPr/>
      <w:tcPr>
        <w:tcBorders>
          <w:top w:val="single" w:sz="4" w:space="0" w:color="FFD0A7" w:themeColor="accent2" w:themeTint="99"/>
        </w:tcBorders>
      </w:tcPr>
    </w:tblStylePr>
  </w:style>
  <w:style w:type="table" w:styleId="Rutenettabell3uthevingsfarge3">
    <w:name w:val="Grid Table 3 Accent 3"/>
    <w:basedOn w:val="Vanligtabell"/>
    <w:uiPriority w:val="48"/>
    <w:rsid w:val="00893D2C"/>
    <w:pPr>
      <w:spacing w:after="0" w:line="240" w:lineRule="auto"/>
    </w:pPr>
    <w:tblPr>
      <w:tblStyleRowBandSize w:val="1"/>
      <w:tblStyleColBandSize w:val="1"/>
      <w:tblBorders>
        <w:top w:val="single" w:sz="4" w:space="0" w:color="80C3CB" w:themeColor="accent3" w:themeTint="99"/>
        <w:left w:val="single" w:sz="4" w:space="0" w:color="80C3CB" w:themeColor="accent3" w:themeTint="99"/>
        <w:bottom w:val="single" w:sz="4" w:space="0" w:color="80C3CB" w:themeColor="accent3" w:themeTint="99"/>
        <w:right w:val="single" w:sz="4" w:space="0" w:color="80C3CB" w:themeColor="accent3" w:themeTint="99"/>
        <w:insideH w:val="single" w:sz="4" w:space="0" w:color="80C3CB" w:themeColor="accent3" w:themeTint="99"/>
        <w:insideV w:val="single" w:sz="4" w:space="0" w:color="80C3C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EBED" w:themeFill="accent3" w:themeFillTint="33"/>
      </w:tcPr>
    </w:tblStylePr>
    <w:tblStylePr w:type="band1Horz">
      <w:tblPr/>
      <w:tcPr>
        <w:shd w:val="clear" w:color="auto" w:fill="D4EBED" w:themeFill="accent3" w:themeFillTint="33"/>
      </w:tcPr>
    </w:tblStylePr>
    <w:tblStylePr w:type="neCell">
      <w:tblPr/>
      <w:tcPr>
        <w:tcBorders>
          <w:bottom w:val="single" w:sz="4" w:space="0" w:color="80C3CB" w:themeColor="accent3" w:themeTint="99"/>
        </w:tcBorders>
      </w:tcPr>
    </w:tblStylePr>
    <w:tblStylePr w:type="nwCell">
      <w:tblPr/>
      <w:tcPr>
        <w:tcBorders>
          <w:bottom w:val="single" w:sz="4" w:space="0" w:color="80C3CB" w:themeColor="accent3" w:themeTint="99"/>
        </w:tcBorders>
      </w:tcPr>
    </w:tblStylePr>
    <w:tblStylePr w:type="seCell">
      <w:tblPr/>
      <w:tcPr>
        <w:tcBorders>
          <w:top w:val="single" w:sz="4" w:space="0" w:color="80C3CB" w:themeColor="accent3" w:themeTint="99"/>
        </w:tcBorders>
      </w:tcPr>
    </w:tblStylePr>
    <w:tblStylePr w:type="swCell">
      <w:tblPr/>
      <w:tcPr>
        <w:tcBorders>
          <w:top w:val="single" w:sz="4" w:space="0" w:color="80C3CB" w:themeColor="accent3" w:themeTint="99"/>
        </w:tcBorders>
      </w:tcPr>
    </w:tblStylePr>
  </w:style>
  <w:style w:type="table" w:styleId="Rutenettabell3uthevingsfarge4">
    <w:name w:val="Grid Table 3 Accent 4"/>
    <w:basedOn w:val="Vanligtabell"/>
    <w:uiPriority w:val="48"/>
    <w:rsid w:val="00893D2C"/>
    <w:pPr>
      <w:spacing w:after="0" w:line="240" w:lineRule="auto"/>
    </w:pPr>
    <w:tblPr>
      <w:tblStyleRowBandSize w:val="1"/>
      <w:tblStyleColBandSize w:val="1"/>
      <w:tblBorders>
        <w:top w:val="single" w:sz="4" w:space="0" w:color="88886C" w:themeColor="accent4" w:themeTint="99"/>
        <w:left w:val="single" w:sz="4" w:space="0" w:color="88886C" w:themeColor="accent4" w:themeTint="99"/>
        <w:bottom w:val="single" w:sz="4" w:space="0" w:color="88886C" w:themeColor="accent4" w:themeTint="99"/>
        <w:right w:val="single" w:sz="4" w:space="0" w:color="88886C" w:themeColor="accent4" w:themeTint="99"/>
        <w:insideH w:val="single" w:sz="4" w:space="0" w:color="88886C" w:themeColor="accent4" w:themeTint="99"/>
        <w:insideV w:val="single" w:sz="4" w:space="0" w:color="88886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D8CD" w:themeFill="accent4" w:themeFillTint="33"/>
      </w:tcPr>
    </w:tblStylePr>
    <w:tblStylePr w:type="band1Horz">
      <w:tblPr/>
      <w:tcPr>
        <w:shd w:val="clear" w:color="auto" w:fill="D8D8CD" w:themeFill="accent4" w:themeFillTint="33"/>
      </w:tcPr>
    </w:tblStylePr>
    <w:tblStylePr w:type="neCell">
      <w:tblPr/>
      <w:tcPr>
        <w:tcBorders>
          <w:bottom w:val="single" w:sz="4" w:space="0" w:color="88886C" w:themeColor="accent4" w:themeTint="99"/>
        </w:tcBorders>
      </w:tcPr>
    </w:tblStylePr>
    <w:tblStylePr w:type="nwCell">
      <w:tblPr/>
      <w:tcPr>
        <w:tcBorders>
          <w:bottom w:val="single" w:sz="4" w:space="0" w:color="88886C" w:themeColor="accent4" w:themeTint="99"/>
        </w:tcBorders>
      </w:tcPr>
    </w:tblStylePr>
    <w:tblStylePr w:type="seCell">
      <w:tblPr/>
      <w:tcPr>
        <w:tcBorders>
          <w:top w:val="single" w:sz="4" w:space="0" w:color="88886C" w:themeColor="accent4" w:themeTint="99"/>
        </w:tcBorders>
      </w:tcPr>
    </w:tblStylePr>
    <w:tblStylePr w:type="swCell">
      <w:tblPr/>
      <w:tcPr>
        <w:tcBorders>
          <w:top w:val="single" w:sz="4" w:space="0" w:color="88886C" w:themeColor="accent4" w:themeTint="99"/>
        </w:tcBorders>
      </w:tcPr>
    </w:tblStylePr>
  </w:style>
  <w:style w:type="table" w:styleId="Rutenettabell3uthevingsfarge5">
    <w:name w:val="Grid Table 3 Accent 5"/>
    <w:basedOn w:val="Vanligtabell"/>
    <w:uiPriority w:val="48"/>
    <w:rsid w:val="00893D2C"/>
    <w:pPr>
      <w:spacing w:after="0" w:line="240" w:lineRule="auto"/>
    </w:pPr>
    <w:tblPr>
      <w:tblStyleRowBandSize w:val="1"/>
      <w:tblStyleColBandSize w:val="1"/>
      <w:tblBorders>
        <w:top w:val="single" w:sz="4" w:space="0" w:color="FDF3EB" w:themeColor="accent5" w:themeTint="99"/>
        <w:left w:val="single" w:sz="4" w:space="0" w:color="FDF3EB" w:themeColor="accent5" w:themeTint="99"/>
        <w:bottom w:val="single" w:sz="4" w:space="0" w:color="FDF3EB" w:themeColor="accent5" w:themeTint="99"/>
        <w:right w:val="single" w:sz="4" w:space="0" w:color="FDF3EB" w:themeColor="accent5" w:themeTint="99"/>
        <w:insideH w:val="single" w:sz="4" w:space="0" w:color="FDF3EB" w:themeColor="accent5" w:themeTint="99"/>
        <w:insideV w:val="single" w:sz="4" w:space="0" w:color="FDF3E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BF8" w:themeFill="accent5" w:themeFillTint="33"/>
      </w:tcPr>
    </w:tblStylePr>
    <w:tblStylePr w:type="band1Horz">
      <w:tblPr/>
      <w:tcPr>
        <w:shd w:val="clear" w:color="auto" w:fill="FEFBF8" w:themeFill="accent5" w:themeFillTint="33"/>
      </w:tcPr>
    </w:tblStylePr>
    <w:tblStylePr w:type="neCell">
      <w:tblPr/>
      <w:tcPr>
        <w:tcBorders>
          <w:bottom w:val="single" w:sz="4" w:space="0" w:color="FDF3EB" w:themeColor="accent5" w:themeTint="99"/>
        </w:tcBorders>
      </w:tcPr>
    </w:tblStylePr>
    <w:tblStylePr w:type="nwCell">
      <w:tblPr/>
      <w:tcPr>
        <w:tcBorders>
          <w:bottom w:val="single" w:sz="4" w:space="0" w:color="FDF3EB" w:themeColor="accent5" w:themeTint="99"/>
        </w:tcBorders>
      </w:tcPr>
    </w:tblStylePr>
    <w:tblStylePr w:type="seCell">
      <w:tblPr/>
      <w:tcPr>
        <w:tcBorders>
          <w:top w:val="single" w:sz="4" w:space="0" w:color="FDF3EB" w:themeColor="accent5" w:themeTint="99"/>
        </w:tcBorders>
      </w:tcPr>
    </w:tblStylePr>
    <w:tblStylePr w:type="swCell">
      <w:tblPr/>
      <w:tcPr>
        <w:tcBorders>
          <w:top w:val="single" w:sz="4" w:space="0" w:color="FDF3EB" w:themeColor="accent5" w:themeTint="99"/>
        </w:tcBorders>
      </w:tcPr>
    </w:tblStylePr>
  </w:style>
  <w:style w:type="table" w:styleId="Rutenettabell3uthevingsfarge6">
    <w:name w:val="Grid Table 3 Accent 6"/>
    <w:basedOn w:val="Vanligtabell"/>
    <w:uiPriority w:val="48"/>
    <w:rsid w:val="00893D2C"/>
    <w:pPr>
      <w:spacing w:after="0" w:line="240" w:lineRule="auto"/>
    </w:pPr>
    <w:tblPr>
      <w:tblStyleRowBandSize w:val="1"/>
      <w:tblStyleColBandSize w:val="1"/>
      <w:tblBorders>
        <w:top w:val="single" w:sz="4" w:space="0" w:color="F7FAFA" w:themeColor="accent6" w:themeTint="99"/>
        <w:left w:val="single" w:sz="4" w:space="0" w:color="F7FAFA" w:themeColor="accent6" w:themeTint="99"/>
        <w:bottom w:val="single" w:sz="4" w:space="0" w:color="F7FAFA" w:themeColor="accent6" w:themeTint="99"/>
        <w:right w:val="single" w:sz="4" w:space="0" w:color="F7FAFA" w:themeColor="accent6" w:themeTint="99"/>
        <w:insideH w:val="single" w:sz="4" w:space="0" w:color="F7FAFA" w:themeColor="accent6" w:themeTint="99"/>
        <w:insideV w:val="single" w:sz="4" w:space="0" w:color="F7FAF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DFD" w:themeFill="accent6" w:themeFillTint="33"/>
      </w:tcPr>
    </w:tblStylePr>
    <w:tblStylePr w:type="band1Horz">
      <w:tblPr/>
      <w:tcPr>
        <w:shd w:val="clear" w:color="auto" w:fill="FCFDFD" w:themeFill="accent6" w:themeFillTint="33"/>
      </w:tcPr>
    </w:tblStylePr>
    <w:tblStylePr w:type="neCell">
      <w:tblPr/>
      <w:tcPr>
        <w:tcBorders>
          <w:bottom w:val="single" w:sz="4" w:space="0" w:color="F7FAFA" w:themeColor="accent6" w:themeTint="99"/>
        </w:tcBorders>
      </w:tcPr>
    </w:tblStylePr>
    <w:tblStylePr w:type="nwCell">
      <w:tblPr/>
      <w:tcPr>
        <w:tcBorders>
          <w:bottom w:val="single" w:sz="4" w:space="0" w:color="F7FAFA" w:themeColor="accent6" w:themeTint="99"/>
        </w:tcBorders>
      </w:tcPr>
    </w:tblStylePr>
    <w:tblStylePr w:type="seCell">
      <w:tblPr/>
      <w:tcPr>
        <w:tcBorders>
          <w:top w:val="single" w:sz="4" w:space="0" w:color="F7FAFA" w:themeColor="accent6" w:themeTint="99"/>
        </w:tcBorders>
      </w:tcPr>
    </w:tblStylePr>
    <w:tblStylePr w:type="swCell">
      <w:tblPr/>
      <w:tcPr>
        <w:tcBorders>
          <w:top w:val="single" w:sz="4" w:space="0" w:color="F7FAFA" w:themeColor="accent6" w:themeTint="99"/>
        </w:tcBorders>
      </w:tcPr>
    </w:tblStylePr>
  </w:style>
  <w:style w:type="table" w:styleId="Rutenettabell4">
    <w:name w:val="Grid Table 4"/>
    <w:basedOn w:val="Vanligtabell"/>
    <w:uiPriority w:val="49"/>
    <w:rsid w:val="00893D2C"/>
    <w:pPr>
      <w:spacing w:after="0" w:line="240" w:lineRule="auto"/>
    </w:pPr>
    <w:tblPr>
      <w:tblStyleRowBandSize w:val="1"/>
      <w:tblStyleColBandSize w:val="1"/>
      <w:tblBorders>
        <w:top w:val="single" w:sz="4" w:space="0" w:color="88886C" w:themeColor="text1" w:themeTint="99"/>
        <w:left w:val="single" w:sz="4" w:space="0" w:color="88886C" w:themeColor="text1" w:themeTint="99"/>
        <w:bottom w:val="single" w:sz="4" w:space="0" w:color="88886C" w:themeColor="text1" w:themeTint="99"/>
        <w:right w:val="single" w:sz="4" w:space="0" w:color="88886C" w:themeColor="text1" w:themeTint="99"/>
        <w:insideH w:val="single" w:sz="4" w:space="0" w:color="88886C" w:themeColor="text1" w:themeTint="99"/>
        <w:insideV w:val="single" w:sz="4" w:space="0" w:color="88886C" w:themeColor="text1" w:themeTint="99"/>
      </w:tblBorders>
    </w:tblPr>
    <w:tblStylePr w:type="firstRow">
      <w:rPr>
        <w:b/>
        <w:bCs/>
        <w:color w:val="FFFFFF" w:themeColor="background1"/>
      </w:rPr>
      <w:tblPr/>
      <w:tcPr>
        <w:tcBorders>
          <w:top w:val="single" w:sz="4" w:space="0" w:color="26261E" w:themeColor="text1"/>
          <w:left w:val="single" w:sz="4" w:space="0" w:color="26261E" w:themeColor="text1"/>
          <w:bottom w:val="single" w:sz="4" w:space="0" w:color="26261E" w:themeColor="text1"/>
          <w:right w:val="single" w:sz="4" w:space="0" w:color="26261E" w:themeColor="text1"/>
          <w:insideH w:val="nil"/>
          <w:insideV w:val="nil"/>
        </w:tcBorders>
        <w:shd w:val="clear" w:color="auto" w:fill="26261E" w:themeFill="text1"/>
      </w:tcPr>
    </w:tblStylePr>
    <w:tblStylePr w:type="lastRow">
      <w:rPr>
        <w:b/>
        <w:bCs/>
      </w:rPr>
      <w:tblPr/>
      <w:tcPr>
        <w:tcBorders>
          <w:top w:val="double" w:sz="4" w:space="0" w:color="26261E" w:themeColor="text1"/>
        </w:tcBorders>
      </w:tcPr>
    </w:tblStylePr>
    <w:tblStylePr w:type="firstCol">
      <w:rPr>
        <w:b/>
        <w:bCs/>
      </w:rPr>
    </w:tblStylePr>
    <w:tblStylePr w:type="lastCol">
      <w:rPr>
        <w:b/>
        <w:bCs/>
      </w:rPr>
    </w:tblStylePr>
    <w:tblStylePr w:type="band1Vert">
      <w:tblPr/>
      <w:tcPr>
        <w:shd w:val="clear" w:color="auto" w:fill="D8D8CD" w:themeFill="text1" w:themeFillTint="33"/>
      </w:tcPr>
    </w:tblStylePr>
    <w:tblStylePr w:type="band1Horz">
      <w:tblPr/>
      <w:tcPr>
        <w:shd w:val="clear" w:color="auto" w:fill="D8D8CD" w:themeFill="text1" w:themeFillTint="33"/>
      </w:tcPr>
    </w:tblStylePr>
  </w:style>
  <w:style w:type="table" w:styleId="Rutenettabell4uthevingsfarge1">
    <w:name w:val="Grid Table 4 Accent 1"/>
    <w:basedOn w:val="Vanligtabell"/>
    <w:uiPriority w:val="49"/>
    <w:rsid w:val="00893D2C"/>
    <w:pPr>
      <w:spacing w:after="0" w:line="240" w:lineRule="auto"/>
    </w:pPr>
    <w:tblPr>
      <w:tblStyleRowBandSize w:val="1"/>
      <w:tblStyleColBandSize w:val="1"/>
      <w:tblBorders>
        <w:top w:val="single" w:sz="4" w:space="0" w:color="6060D0" w:themeColor="accent1" w:themeTint="99"/>
        <w:left w:val="single" w:sz="4" w:space="0" w:color="6060D0" w:themeColor="accent1" w:themeTint="99"/>
        <w:bottom w:val="single" w:sz="4" w:space="0" w:color="6060D0" w:themeColor="accent1" w:themeTint="99"/>
        <w:right w:val="single" w:sz="4" w:space="0" w:color="6060D0" w:themeColor="accent1" w:themeTint="99"/>
        <w:insideH w:val="single" w:sz="4" w:space="0" w:color="6060D0" w:themeColor="accent1" w:themeTint="99"/>
        <w:insideV w:val="single" w:sz="4" w:space="0" w:color="6060D0" w:themeColor="accent1" w:themeTint="99"/>
      </w:tblBorders>
    </w:tblPr>
    <w:tblStylePr w:type="firstRow">
      <w:rPr>
        <w:b/>
        <w:bCs/>
        <w:color w:val="FFFFFF" w:themeColor="background1"/>
      </w:rPr>
      <w:tblPr/>
      <w:tcPr>
        <w:tcBorders>
          <w:top w:val="single" w:sz="4" w:space="0" w:color="262682" w:themeColor="accent1"/>
          <w:left w:val="single" w:sz="4" w:space="0" w:color="262682" w:themeColor="accent1"/>
          <w:bottom w:val="single" w:sz="4" w:space="0" w:color="262682" w:themeColor="accent1"/>
          <w:right w:val="single" w:sz="4" w:space="0" w:color="262682" w:themeColor="accent1"/>
          <w:insideH w:val="nil"/>
          <w:insideV w:val="nil"/>
        </w:tcBorders>
        <w:shd w:val="clear" w:color="auto" w:fill="262682" w:themeFill="accent1"/>
      </w:tcPr>
    </w:tblStylePr>
    <w:tblStylePr w:type="lastRow">
      <w:rPr>
        <w:b/>
        <w:bCs/>
      </w:rPr>
      <w:tblPr/>
      <w:tcPr>
        <w:tcBorders>
          <w:top w:val="double" w:sz="4" w:space="0" w:color="262682" w:themeColor="accent1"/>
        </w:tcBorders>
      </w:tcPr>
    </w:tblStylePr>
    <w:tblStylePr w:type="firstCol">
      <w:rPr>
        <w:b/>
        <w:bCs/>
      </w:rPr>
    </w:tblStylePr>
    <w:tblStylePr w:type="lastCol">
      <w:rPr>
        <w:b/>
        <w:bCs/>
      </w:rPr>
    </w:tblStylePr>
    <w:tblStylePr w:type="band1Vert">
      <w:tblPr/>
      <w:tcPr>
        <w:shd w:val="clear" w:color="auto" w:fill="C9C9EF" w:themeFill="accent1" w:themeFillTint="33"/>
      </w:tcPr>
    </w:tblStylePr>
    <w:tblStylePr w:type="band1Horz">
      <w:tblPr/>
      <w:tcPr>
        <w:shd w:val="clear" w:color="auto" w:fill="C9C9EF" w:themeFill="accent1" w:themeFillTint="33"/>
      </w:tcPr>
    </w:tblStylePr>
  </w:style>
  <w:style w:type="table" w:styleId="Rutenettabell4uthevingsfarge2">
    <w:name w:val="Grid Table 4 Accent 2"/>
    <w:basedOn w:val="Vanligtabell"/>
    <w:uiPriority w:val="49"/>
    <w:rsid w:val="00893D2C"/>
    <w:pPr>
      <w:spacing w:after="0" w:line="240" w:lineRule="auto"/>
    </w:pPr>
    <w:tblPr>
      <w:tblStyleRowBandSize w:val="1"/>
      <w:tblStyleColBandSize w:val="1"/>
      <w:tblBorders>
        <w:top w:val="single" w:sz="4" w:space="0" w:color="FFD0A7" w:themeColor="accent2" w:themeTint="99"/>
        <w:left w:val="single" w:sz="4" w:space="0" w:color="FFD0A7" w:themeColor="accent2" w:themeTint="99"/>
        <w:bottom w:val="single" w:sz="4" w:space="0" w:color="FFD0A7" w:themeColor="accent2" w:themeTint="99"/>
        <w:right w:val="single" w:sz="4" w:space="0" w:color="FFD0A7" w:themeColor="accent2" w:themeTint="99"/>
        <w:insideH w:val="single" w:sz="4" w:space="0" w:color="FFD0A7" w:themeColor="accent2" w:themeTint="99"/>
        <w:insideV w:val="single" w:sz="4" w:space="0" w:color="FFD0A7" w:themeColor="accent2" w:themeTint="99"/>
      </w:tblBorders>
    </w:tblPr>
    <w:tblStylePr w:type="firstRow">
      <w:rPr>
        <w:b/>
        <w:bCs/>
        <w:color w:val="FFFFFF" w:themeColor="background1"/>
      </w:rPr>
      <w:tblPr/>
      <w:tcPr>
        <w:tcBorders>
          <w:top w:val="single" w:sz="4" w:space="0" w:color="FFB26D" w:themeColor="accent2"/>
          <w:left w:val="single" w:sz="4" w:space="0" w:color="FFB26D" w:themeColor="accent2"/>
          <w:bottom w:val="single" w:sz="4" w:space="0" w:color="FFB26D" w:themeColor="accent2"/>
          <w:right w:val="single" w:sz="4" w:space="0" w:color="FFB26D" w:themeColor="accent2"/>
          <w:insideH w:val="nil"/>
          <w:insideV w:val="nil"/>
        </w:tcBorders>
        <w:shd w:val="clear" w:color="auto" w:fill="FFB26D" w:themeFill="accent2"/>
      </w:tcPr>
    </w:tblStylePr>
    <w:tblStylePr w:type="lastRow">
      <w:rPr>
        <w:b/>
        <w:bCs/>
      </w:rPr>
      <w:tblPr/>
      <w:tcPr>
        <w:tcBorders>
          <w:top w:val="double" w:sz="4" w:space="0" w:color="FFB26D" w:themeColor="accent2"/>
        </w:tcBorders>
      </w:tcPr>
    </w:tblStylePr>
    <w:tblStylePr w:type="firstCol">
      <w:rPr>
        <w:b/>
        <w:bCs/>
      </w:rPr>
    </w:tblStylePr>
    <w:tblStylePr w:type="lastCol">
      <w:rPr>
        <w:b/>
        <w:bCs/>
      </w:rPr>
    </w:tblStylePr>
    <w:tblStylePr w:type="band1Vert">
      <w:tblPr/>
      <w:tcPr>
        <w:shd w:val="clear" w:color="auto" w:fill="FFEFE1" w:themeFill="accent2" w:themeFillTint="33"/>
      </w:tcPr>
    </w:tblStylePr>
    <w:tblStylePr w:type="band1Horz">
      <w:tblPr/>
      <w:tcPr>
        <w:shd w:val="clear" w:color="auto" w:fill="FFEFE1" w:themeFill="accent2" w:themeFillTint="33"/>
      </w:tcPr>
    </w:tblStylePr>
  </w:style>
  <w:style w:type="table" w:styleId="Rutenettabell4uthevingsfarge3">
    <w:name w:val="Grid Table 4 Accent 3"/>
    <w:basedOn w:val="Vanligtabell"/>
    <w:uiPriority w:val="49"/>
    <w:rsid w:val="00893D2C"/>
    <w:pPr>
      <w:spacing w:after="0" w:line="240" w:lineRule="auto"/>
    </w:pPr>
    <w:tblPr>
      <w:tblStyleRowBandSize w:val="1"/>
      <w:tblStyleColBandSize w:val="1"/>
      <w:tblBorders>
        <w:top w:val="single" w:sz="4" w:space="0" w:color="80C3CB" w:themeColor="accent3" w:themeTint="99"/>
        <w:left w:val="single" w:sz="4" w:space="0" w:color="80C3CB" w:themeColor="accent3" w:themeTint="99"/>
        <w:bottom w:val="single" w:sz="4" w:space="0" w:color="80C3CB" w:themeColor="accent3" w:themeTint="99"/>
        <w:right w:val="single" w:sz="4" w:space="0" w:color="80C3CB" w:themeColor="accent3" w:themeTint="99"/>
        <w:insideH w:val="single" w:sz="4" w:space="0" w:color="80C3CB" w:themeColor="accent3" w:themeTint="99"/>
        <w:insideV w:val="single" w:sz="4" w:space="0" w:color="80C3CB" w:themeColor="accent3" w:themeTint="99"/>
      </w:tblBorders>
    </w:tblPr>
    <w:tblStylePr w:type="firstRow">
      <w:rPr>
        <w:b/>
        <w:bCs/>
        <w:color w:val="FFFFFF" w:themeColor="background1"/>
      </w:rPr>
      <w:tblPr/>
      <w:tcPr>
        <w:tcBorders>
          <w:top w:val="single" w:sz="4" w:space="0" w:color="3E8F98" w:themeColor="accent3"/>
          <w:left w:val="single" w:sz="4" w:space="0" w:color="3E8F98" w:themeColor="accent3"/>
          <w:bottom w:val="single" w:sz="4" w:space="0" w:color="3E8F98" w:themeColor="accent3"/>
          <w:right w:val="single" w:sz="4" w:space="0" w:color="3E8F98" w:themeColor="accent3"/>
          <w:insideH w:val="nil"/>
          <w:insideV w:val="nil"/>
        </w:tcBorders>
        <w:shd w:val="clear" w:color="auto" w:fill="3E8F98" w:themeFill="accent3"/>
      </w:tcPr>
    </w:tblStylePr>
    <w:tblStylePr w:type="lastRow">
      <w:rPr>
        <w:b/>
        <w:bCs/>
      </w:rPr>
      <w:tblPr/>
      <w:tcPr>
        <w:tcBorders>
          <w:top w:val="double" w:sz="4" w:space="0" w:color="3E8F98" w:themeColor="accent3"/>
        </w:tcBorders>
      </w:tcPr>
    </w:tblStylePr>
    <w:tblStylePr w:type="firstCol">
      <w:rPr>
        <w:b/>
        <w:bCs/>
      </w:rPr>
    </w:tblStylePr>
    <w:tblStylePr w:type="lastCol">
      <w:rPr>
        <w:b/>
        <w:bCs/>
      </w:rPr>
    </w:tblStylePr>
    <w:tblStylePr w:type="band1Vert">
      <w:tblPr/>
      <w:tcPr>
        <w:shd w:val="clear" w:color="auto" w:fill="D4EBED" w:themeFill="accent3" w:themeFillTint="33"/>
      </w:tcPr>
    </w:tblStylePr>
    <w:tblStylePr w:type="band1Horz">
      <w:tblPr/>
      <w:tcPr>
        <w:shd w:val="clear" w:color="auto" w:fill="D4EBED" w:themeFill="accent3" w:themeFillTint="33"/>
      </w:tcPr>
    </w:tblStylePr>
  </w:style>
  <w:style w:type="table" w:styleId="Rutenettabell4uthevingsfarge4">
    <w:name w:val="Grid Table 4 Accent 4"/>
    <w:basedOn w:val="Vanligtabell"/>
    <w:uiPriority w:val="49"/>
    <w:rsid w:val="00893D2C"/>
    <w:pPr>
      <w:spacing w:after="0" w:line="240" w:lineRule="auto"/>
    </w:pPr>
    <w:tblPr>
      <w:tblStyleRowBandSize w:val="1"/>
      <w:tblStyleColBandSize w:val="1"/>
      <w:tblBorders>
        <w:top w:val="single" w:sz="4" w:space="0" w:color="88886C" w:themeColor="accent4" w:themeTint="99"/>
        <w:left w:val="single" w:sz="4" w:space="0" w:color="88886C" w:themeColor="accent4" w:themeTint="99"/>
        <w:bottom w:val="single" w:sz="4" w:space="0" w:color="88886C" w:themeColor="accent4" w:themeTint="99"/>
        <w:right w:val="single" w:sz="4" w:space="0" w:color="88886C" w:themeColor="accent4" w:themeTint="99"/>
        <w:insideH w:val="single" w:sz="4" w:space="0" w:color="88886C" w:themeColor="accent4" w:themeTint="99"/>
        <w:insideV w:val="single" w:sz="4" w:space="0" w:color="88886C" w:themeColor="accent4" w:themeTint="99"/>
      </w:tblBorders>
    </w:tblPr>
    <w:tblStylePr w:type="firstRow">
      <w:rPr>
        <w:b/>
        <w:bCs/>
        <w:color w:val="FFFFFF" w:themeColor="background1"/>
      </w:rPr>
      <w:tblPr/>
      <w:tcPr>
        <w:tcBorders>
          <w:top w:val="single" w:sz="4" w:space="0" w:color="26261E" w:themeColor="accent4"/>
          <w:left w:val="single" w:sz="4" w:space="0" w:color="26261E" w:themeColor="accent4"/>
          <w:bottom w:val="single" w:sz="4" w:space="0" w:color="26261E" w:themeColor="accent4"/>
          <w:right w:val="single" w:sz="4" w:space="0" w:color="26261E" w:themeColor="accent4"/>
          <w:insideH w:val="nil"/>
          <w:insideV w:val="nil"/>
        </w:tcBorders>
        <w:shd w:val="clear" w:color="auto" w:fill="26261E" w:themeFill="accent4"/>
      </w:tcPr>
    </w:tblStylePr>
    <w:tblStylePr w:type="lastRow">
      <w:rPr>
        <w:b/>
        <w:bCs/>
      </w:rPr>
      <w:tblPr/>
      <w:tcPr>
        <w:tcBorders>
          <w:top w:val="double" w:sz="4" w:space="0" w:color="26261E" w:themeColor="accent4"/>
        </w:tcBorders>
      </w:tcPr>
    </w:tblStylePr>
    <w:tblStylePr w:type="firstCol">
      <w:rPr>
        <w:b/>
        <w:bCs/>
      </w:rPr>
    </w:tblStylePr>
    <w:tblStylePr w:type="lastCol">
      <w:rPr>
        <w:b/>
        <w:bCs/>
      </w:rPr>
    </w:tblStylePr>
    <w:tblStylePr w:type="band1Vert">
      <w:tblPr/>
      <w:tcPr>
        <w:shd w:val="clear" w:color="auto" w:fill="D8D8CD" w:themeFill="accent4" w:themeFillTint="33"/>
      </w:tcPr>
    </w:tblStylePr>
    <w:tblStylePr w:type="band1Horz">
      <w:tblPr/>
      <w:tcPr>
        <w:shd w:val="clear" w:color="auto" w:fill="D8D8CD" w:themeFill="accent4" w:themeFillTint="33"/>
      </w:tcPr>
    </w:tblStylePr>
  </w:style>
  <w:style w:type="table" w:styleId="Rutenettabell4uthevingsfarge5">
    <w:name w:val="Grid Table 4 Accent 5"/>
    <w:basedOn w:val="Vanligtabell"/>
    <w:uiPriority w:val="49"/>
    <w:rsid w:val="00893D2C"/>
    <w:pPr>
      <w:spacing w:after="0" w:line="240" w:lineRule="auto"/>
    </w:pPr>
    <w:tblPr>
      <w:tblStyleRowBandSize w:val="1"/>
      <w:tblStyleColBandSize w:val="1"/>
      <w:tblBorders>
        <w:top w:val="single" w:sz="4" w:space="0" w:color="FDF3EB" w:themeColor="accent5" w:themeTint="99"/>
        <w:left w:val="single" w:sz="4" w:space="0" w:color="FDF3EB" w:themeColor="accent5" w:themeTint="99"/>
        <w:bottom w:val="single" w:sz="4" w:space="0" w:color="FDF3EB" w:themeColor="accent5" w:themeTint="99"/>
        <w:right w:val="single" w:sz="4" w:space="0" w:color="FDF3EB" w:themeColor="accent5" w:themeTint="99"/>
        <w:insideH w:val="single" w:sz="4" w:space="0" w:color="FDF3EB" w:themeColor="accent5" w:themeTint="99"/>
        <w:insideV w:val="single" w:sz="4" w:space="0" w:color="FDF3EB" w:themeColor="accent5" w:themeTint="99"/>
      </w:tblBorders>
    </w:tblPr>
    <w:tblStylePr w:type="firstRow">
      <w:rPr>
        <w:b/>
        <w:bCs/>
        <w:color w:val="FFFFFF" w:themeColor="background1"/>
      </w:rPr>
      <w:tblPr/>
      <w:tcPr>
        <w:tcBorders>
          <w:top w:val="single" w:sz="4" w:space="0" w:color="FCECDE" w:themeColor="accent5"/>
          <w:left w:val="single" w:sz="4" w:space="0" w:color="FCECDE" w:themeColor="accent5"/>
          <w:bottom w:val="single" w:sz="4" w:space="0" w:color="FCECDE" w:themeColor="accent5"/>
          <w:right w:val="single" w:sz="4" w:space="0" w:color="FCECDE" w:themeColor="accent5"/>
          <w:insideH w:val="nil"/>
          <w:insideV w:val="nil"/>
        </w:tcBorders>
        <w:shd w:val="clear" w:color="auto" w:fill="FCECDE" w:themeFill="accent5"/>
      </w:tcPr>
    </w:tblStylePr>
    <w:tblStylePr w:type="lastRow">
      <w:rPr>
        <w:b/>
        <w:bCs/>
      </w:rPr>
      <w:tblPr/>
      <w:tcPr>
        <w:tcBorders>
          <w:top w:val="double" w:sz="4" w:space="0" w:color="FCECDE" w:themeColor="accent5"/>
        </w:tcBorders>
      </w:tcPr>
    </w:tblStylePr>
    <w:tblStylePr w:type="firstCol">
      <w:rPr>
        <w:b/>
        <w:bCs/>
      </w:rPr>
    </w:tblStylePr>
    <w:tblStylePr w:type="lastCol">
      <w:rPr>
        <w:b/>
        <w:bCs/>
      </w:rPr>
    </w:tblStylePr>
    <w:tblStylePr w:type="band1Vert">
      <w:tblPr/>
      <w:tcPr>
        <w:shd w:val="clear" w:color="auto" w:fill="FEFBF8" w:themeFill="accent5" w:themeFillTint="33"/>
      </w:tcPr>
    </w:tblStylePr>
    <w:tblStylePr w:type="band1Horz">
      <w:tblPr/>
      <w:tcPr>
        <w:shd w:val="clear" w:color="auto" w:fill="FEFBF8" w:themeFill="accent5" w:themeFillTint="33"/>
      </w:tcPr>
    </w:tblStylePr>
  </w:style>
  <w:style w:type="table" w:styleId="Rutenettabell4uthevingsfarge6">
    <w:name w:val="Grid Table 4 Accent 6"/>
    <w:basedOn w:val="Vanligtabell"/>
    <w:uiPriority w:val="49"/>
    <w:rsid w:val="00893D2C"/>
    <w:pPr>
      <w:spacing w:after="0" w:line="240" w:lineRule="auto"/>
    </w:pPr>
    <w:tblPr>
      <w:tblStyleRowBandSize w:val="1"/>
      <w:tblStyleColBandSize w:val="1"/>
      <w:tblBorders>
        <w:top w:val="single" w:sz="4" w:space="0" w:color="F7FAFA" w:themeColor="accent6" w:themeTint="99"/>
        <w:left w:val="single" w:sz="4" w:space="0" w:color="F7FAFA" w:themeColor="accent6" w:themeTint="99"/>
        <w:bottom w:val="single" w:sz="4" w:space="0" w:color="F7FAFA" w:themeColor="accent6" w:themeTint="99"/>
        <w:right w:val="single" w:sz="4" w:space="0" w:color="F7FAFA" w:themeColor="accent6" w:themeTint="99"/>
        <w:insideH w:val="single" w:sz="4" w:space="0" w:color="F7FAFA" w:themeColor="accent6" w:themeTint="99"/>
        <w:insideV w:val="single" w:sz="4" w:space="0" w:color="F7FAFA" w:themeColor="accent6" w:themeTint="99"/>
      </w:tblBorders>
    </w:tblPr>
    <w:tblStylePr w:type="firstRow">
      <w:rPr>
        <w:b/>
        <w:bCs/>
        <w:color w:val="FFFFFF" w:themeColor="background1"/>
      </w:rPr>
      <w:tblPr/>
      <w:tcPr>
        <w:tcBorders>
          <w:top w:val="single" w:sz="4" w:space="0" w:color="F2F8F8" w:themeColor="accent6"/>
          <w:left w:val="single" w:sz="4" w:space="0" w:color="F2F8F8" w:themeColor="accent6"/>
          <w:bottom w:val="single" w:sz="4" w:space="0" w:color="F2F8F8" w:themeColor="accent6"/>
          <w:right w:val="single" w:sz="4" w:space="0" w:color="F2F8F8" w:themeColor="accent6"/>
          <w:insideH w:val="nil"/>
          <w:insideV w:val="nil"/>
        </w:tcBorders>
        <w:shd w:val="clear" w:color="auto" w:fill="F2F8F8" w:themeFill="accent6"/>
      </w:tcPr>
    </w:tblStylePr>
    <w:tblStylePr w:type="lastRow">
      <w:rPr>
        <w:b/>
        <w:bCs/>
      </w:rPr>
      <w:tblPr/>
      <w:tcPr>
        <w:tcBorders>
          <w:top w:val="double" w:sz="4" w:space="0" w:color="F2F8F8" w:themeColor="accent6"/>
        </w:tcBorders>
      </w:tcPr>
    </w:tblStylePr>
    <w:tblStylePr w:type="firstCol">
      <w:rPr>
        <w:b/>
        <w:bCs/>
      </w:rPr>
    </w:tblStylePr>
    <w:tblStylePr w:type="lastCol">
      <w:rPr>
        <w:b/>
        <w:bCs/>
      </w:rPr>
    </w:tblStylePr>
    <w:tblStylePr w:type="band1Vert">
      <w:tblPr/>
      <w:tcPr>
        <w:shd w:val="clear" w:color="auto" w:fill="FCFDFD" w:themeFill="accent6" w:themeFillTint="33"/>
      </w:tcPr>
    </w:tblStylePr>
    <w:tblStylePr w:type="band1Horz">
      <w:tblPr/>
      <w:tcPr>
        <w:shd w:val="clear" w:color="auto" w:fill="FCFDFD" w:themeFill="accent6" w:themeFillTint="33"/>
      </w:tcPr>
    </w:tblStylePr>
  </w:style>
  <w:style w:type="table" w:styleId="Rutenettabell5mrk">
    <w:name w:val="Grid Table 5 Dark"/>
    <w:basedOn w:val="Vanligtabell"/>
    <w:uiPriority w:val="50"/>
    <w:rsid w:val="00893D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D8CD"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261E"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261E"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261E"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261E" w:themeFill="text1"/>
      </w:tcPr>
    </w:tblStylePr>
    <w:tblStylePr w:type="band1Vert">
      <w:tblPr/>
      <w:tcPr>
        <w:shd w:val="clear" w:color="auto" w:fill="B1B19C" w:themeFill="text1" w:themeFillTint="66"/>
      </w:tcPr>
    </w:tblStylePr>
    <w:tblStylePr w:type="band1Horz">
      <w:tblPr/>
      <w:tcPr>
        <w:shd w:val="clear" w:color="auto" w:fill="B1B19C" w:themeFill="text1" w:themeFillTint="66"/>
      </w:tcPr>
    </w:tblStylePr>
  </w:style>
  <w:style w:type="table" w:styleId="Rutenettabell5mrkuthevingsfarge1">
    <w:name w:val="Grid Table 5 Dark Accent 1"/>
    <w:basedOn w:val="Vanligtabell"/>
    <w:uiPriority w:val="50"/>
    <w:rsid w:val="00893D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9C9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26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26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26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2682" w:themeFill="accent1"/>
      </w:tcPr>
    </w:tblStylePr>
    <w:tblStylePr w:type="band1Vert">
      <w:tblPr/>
      <w:tcPr>
        <w:shd w:val="clear" w:color="auto" w:fill="9595E0" w:themeFill="accent1" w:themeFillTint="66"/>
      </w:tcPr>
    </w:tblStylePr>
    <w:tblStylePr w:type="band1Horz">
      <w:tblPr/>
      <w:tcPr>
        <w:shd w:val="clear" w:color="auto" w:fill="9595E0" w:themeFill="accent1" w:themeFillTint="66"/>
      </w:tcPr>
    </w:tblStylePr>
  </w:style>
  <w:style w:type="table" w:styleId="Rutenettabell5mrkuthevingsfarge2">
    <w:name w:val="Grid Table 5 Dark Accent 2"/>
    <w:basedOn w:val="Vanligtabell"/>
    <w:uiPriority w:val="50"/>
    <w:rsid w:val="00893D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FE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B26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B26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B26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B26D" w:themeFill="accent2"/>
      </w:tcPr>
    </w:tblStylePr>
    <w:tblStylePr w:type="band1Vert">
      <w:tblPr/>
      <w:tcPr>
        <w:shd w:val="clear" w:color="auto" w:fill="FFDFC4" w:themeFill="accent2" w:themeFillTint="66"/>
      </w:tcPr>
    </w:tblStylePr>
    <w:tblStylePr w:type="band1Horz">
      <w:tblPr/>
      <w:tcPr>
        <w:shd w:val="clear" w:color="auto" w:fill="FFDFC4" w:themeFill="accent2" w:themeFillTint="66"/>
      </w:tcPr>
    </w:tblStylePr>
  </w:style>
  <w:style w:type="table" w:styleId="Rutenettabell5mrkuthevingsfarge3">
    <w:name w:val="Grid Table 5 Dark Accent 3"/>
    <w:basedOn w:val="Vanligtabell"/>
    <w:uiPriority w:val="50"/>
    <w:rsid w:val="00893D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EB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E8F9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E8F9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E8F9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E8F98" w:themeFill="accent3"/>
      </w:tcPr>
    </w:tblStylePr>
    <w:tblStylePr w:type="band1Vert">
      <w:tblPr/>
      <w:tcPr>
        <w:shd w:val="clear" w:color="auto" w:fill="AAD7DC" w:themeFill="accent3" w:themeFillTint="66"/>
      </w:tcPr>
    </w:tblStylePr>
    <w:tblStylePr w:type="band1Horz">
      <w:tblPr/>
      <w:tcPr>
        <w:shd w:val="clear" w:color="auto" w:fill="AAD7DC" w:themeFill="accent3" w:themeFillTint="66"/>
      </w:tcPr>
    </w:tblStylePr>
  </w:style>
  <w:style w:type="table" w:styleId="Rutenettabell5mrkuthevingsfarge4">
    <w:name w:val="Grid Table 5 Dark Accent 4"/>
    <w:basedOn w:val="Vanligtabell"/>
    <w:uiPriority w:val="50"/>
    <w:rsid w:val="00893D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D8C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261E"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261E"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261E"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261E" w:themeFill="accent4"/>
      </w:tcPr>
    </w:tblStylePr>
    <w:tblStylePr w:type="band1Vert">
      <w:tblPr/>
      <w:tcPr>
        <w:shd w:val="clear" w:color="auto" w:fill="B1B19C" w:themeFill="accent4" w:themeFillTint="66"/>
      </w:tcPr>
    </w:tblStylePr>
    <w:tblStylePr w:type="band1Horz">
      <w:tblPr/>
      <w:tcPr>
        <w:shd w:val="clear" w:color="auto" w:fill="B1B19C" w:themeFill="accent4" w:themeFillTint="66"/>
      </w:tcPr>
    </w:tblStylePr>
  </w:style>
  <w:style w:type="table" w:styleId="Rutenettabell5mrkuthevingsfarge5">
    <w:name w:val="Grid Table 5 Dark Accent 5"/>
    <w:basedOn w:val="Vanligtabell"/>
    <w:uiPriority w:val="50"/>
    <w:rsid w:val="00893D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FBF8"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CECD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CECD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CECD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CECDE" w:themeFill="accent5"/>
      </w:tcPr>
    </w:tblStylePr>
    <w:tblStylePr w:type="band1Vert">
      <w:tblPr/>
      <w:tcPr>
        <w:shd w:val="clear" w:color="auto" w:fill="FDF7F1" w:themeFill="accent5" w:themeFillTint="66"/>
      </w:tcPr>
    </w:tblStylePr>
    <w:tblStylePr w:type="band1Horz">
      <w:tblPr/>
      <w:tcPr>
        <w:shd w:val="clear" w:color="auto" w:fill="FDF7F1" w:themeFill="accent5" w:themeFillTint="66"/>
      </w:tcPr>
    </w:tblStylePr>
  </w:style>
  <w:style w:type="table" w:styleId="Rutenettabell5mrkuthevingsfarge6">
    <w:name w:val="Grid Table 5 Dark Accent 6"/>
    <w:basedOn w:val="Vanligtabell"/>
    <w:uiPriority w:val="50"/>
    <w:rsid w:val="00893D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DF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2F8F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2F8F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2F8F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2F8F8" w:themeFill="accent6"/>
      </w:tcPr>
    </w:tblStylePr>
    <w:tblStylePr w:type="band1Vert">
      <w:tblPr/>
      <w:tcPr>
        <w:shd w:val="clear" w:color="auto" w:fill="F9FCFC" w:themeFill="accent6" w:themeFillTint="66"/>
      </w:tcPr>
    </w:tblStylePr>
    <w:tblStylePr w:type="band1Horz">
      <w:tblPr/>
      <w:tcPr>
        <w:shd w:val="clear" w:color="auto" w:fill="F9FCFC" w:themeFill="accent6" w:themeFillTint="66"/>
      </w:tcPr>
    </w:tblStylePr>
  </w:style>
  <w:style w:type="table" w:styleId="Rutenettabell6fargerik">
    <w:name w:val="Grid Table 6 Colorful"/>
    <w:basedOn w:val="Vanligtabell"/>
    <w:uiPriority w:val="51"/>
    <w:rsid w:val="00893D2C"/>
    <w:pPr>
      <w:spacing w:after="0" w:line="240" w:lineRule="auto"/>
    </w:pPr>
    <w:rPr>
      <w:color w:val="26261E" w:themeColor="text1"/>
    </w:rPr>
    <w:tblPr>
      <w:tblStyleRowBandSize w:val="1"/>
      <w:tblStyleColBandSize w:val="1"/>
      <w:tblBorders>
        <w:top w:val="single" w:sz="4" w:space="0" w:color="88886C" w:themeColor="text1" w:themeTint="99"/>
        <w:left w:val="single" w:sz="4" w:space="0" w:color="88886C" w:themeColor="text1" w:themeTint="99"/>
        <w:bottom w:val="single" w:sz="4" w:space="0" w:color="88886C" w:themeColor="text1" w:themeTint="99"/>
        <w:right w:val="single" w:sz="4" w:space="0" w:color="88886C" w:themeColor="text1" w:themeTint="99"/>
        <w:insideH w:val="single" w:sz="4" w:space="0" w:color="88886C" w:themeColor="text1" w:themeTint="99"/>
        <w:insideV w:val="single" w:sz="4" w:space="0" w:color="88886C" w:themeColor="text1" w:themeTint="99"/>
      </w:tblBorders>
    </w:tblPr>
    <w:tblStylePr w:type="firstRow">
      <w:rPr>
        <w:b/>
        <w:bCs/>
      </w:rPr>
      <w:tblPr/>
      <w:tcPr>
        <w:tcBorders>
          <w:bottom w:val="single" w:sz="12" w:space="0" w:color="88886C" w:themeColor="text1" w:themeTint="99"/>
        </w:tcBorders>
      </w:tcPr>
    </w:tblStylePr>
    <w:tblStylePr w:type="lastRow">
      <w:rPr>
        <w:b/>
        <w:bCs/>
      </w:rPr>
      <w:tblPr/>
      <w:tcPr>
        <w:tcBorders>
          <w:top w:val="double" w:sz="4" w:space="0" w:color="88886C" w:themeColor="text1" w:themeTint="99"/>
        </w:tcBorders>
      </w:tcPr>
    </w:tblStylePr>
    <w:tblStylePr w:type="firstCol">
      <w:rPr>
        <w:b/>
        <w:bCs/>
      </w:rPr>
    </w:tblStylePr>
    <w:tblStylePr w:type="lastCol">
      <w:rPr>
        <w:b/>
        <w:bCs/>
      </w:rPr>
    </w:tblStylePr>
    <w:tblStylePr w:type="band1Vert">
      <w:tblPr/>
      <w:tcPr>
        <w:shd w:val="clear" w:color="auto" w:fill="D8D8CD" w:themeFill="text1" w:themeFillTint="33"/>
      </w:tcPr>
    </w:tblStylePr>
    <w:tblStylePr w:type="band1Horz">
      <w:tblPr/>
      <w:tcPr>
        <w:shd w:val="clear" w:color="auto" w:fill="D8D8CD" w:themeFill="text1" w:themeFillTint="33"/>
      </w:tcPr>
    </w:tblStylePr>
  </w:style>
  <w:style w:type="table" w:styleId="Rutenettabell6fargerikuthevingsfarge1">
    <w:name w:val="Grid Table 6 Colorful Accent 1"/>
    <w:basedOn w:val="Vanligtabell"/>
    <w:uiPriority w:val="51"/>
    <w:rsid w:val="00893D2C"/>
    <w:pPr>
      <w:spacing w:after="0" w:line="240" w:lineRule="auto"/>
    </w:pPr>
    <w:rPr>
      <w:color w:val="1C1C61" w:themeColor="accent1" w:themeShade="BF"/>
    </w:rPr>
    <w:tblPr>
      <w:tblStyleRowBandSize w:val="1"/>
      <w:tblStyleColBandSize w:val="1"/>
      <w:tblBorders>
        <w:top w:val="single" w:sz="4" w:space="0" w:color="6060D0" w:themeColor="accent1" w:themeTint="99"/>
        <w:left w:val="single" w:sz="4" w:space="0" w:color="6060D0" w:themeColor="accent1" w:themeTint="99"/>
        <w:bottom w:val="single" w:sz="4" w:space="0" w:color="6060D0" w:themeColor="accent1" w:themeTint="99"/>
        <w:right w:val="single" w:sz="4" w:space="0" w:color="6060D0" w:themeColor="accent1" w:themeTint="99"/>
        <w:insideH w:val="single" w:sz="4" w:space="0" w:color="6060D0" w:themeColor="accent1" w:themeTint="99"/>
        <w:insideV w:val="single" w:sz="4" w:space="0" w:color="6060D0" w:themeColor="accent1" w:themeTint="99"/>
      </w:tblBorders>
    </w:tblPr>
    <w:tblStylePr w:type="firstRow">
      <w:rPr>
        <w:b/>
        <w:bCs/>
      </w:rPr>
      <w:tblPr/>
      <w:tcPr>
        <w:tcBorders>
          <w:bottom w:val="single" w:sz="12" w:space="0" w:color="6060D0" w:themeColor="accent1" w:themeTint="99"/>
        </w:tcBorders>
      </w:tcPr>
    </w:tblStylePr>
    <w:tblStylePr w:type="lastRow">
      <w:rPr>
        <w:b/>
        <w:bCs/>
      </w:rPr>
      <w:tblPr/>
      <w:tcPr>
        <w:tcBorders>
          <w:top w:val="double" w:sz="4" w:space="0" w:color="6060D0" w:themeColor="accent1" w:themeTint="99"/>
        </w:tcBorders>
      </w:tcPr>
    </w:tblStylePr>
    <w:tblStylePr w:type="firstCol">
      <w:rPr>
        <w:b/>
        <w:bCs/>
      </w:rPr>
    </w:tblStylePr>
    <w:tblStylePr w:type="lastCol">
      <w:rPr>
        <w:b/>
        <w:bCs/>
      </w:rPr>
    </w:tblStylePr>
    <w:tblStylePr w:type="band1Vert">
      <w:tblPr/>
      <w:tcPr>
        <w:shd w:val="clear" w:color="auto" w:fill="C9C9EF" w:themeFill="accent1" w:themeFillTint="33"/>
      </w:tcPr>
    </w:tblStylePr>
    <w:tblStylePr w:type="band1Horz">
      <w:tblPr/>
      <w:tcPr>
        <w:shd w:val="clear" w:color="auto" w:fill="C9C9EF" w:themeFill="accent1" w:themeFillTint="33"/>
      </w:tcPr>
    </w:tblStylePr>
  </w:style>
  <w:style w:type="table" w:styleId="Rutenettabell6fargerikuthevingsfarge2">
    <w:name w:val="Grid Table 6 Colorful Accent 2"/>
    <w:basedOn w:val="Vanligtabell"/>
    <w:uiPriority w:val="51"/>
    <w:rsid w:val="00893D2C"/>
    <w:pPr>
      <w:spacing w:after="0" w:line="240" w:lineRule="auto"/>
    </w:pPr>
    <w:rPr>
      <w:color w:val="FF8111" w:themeColor="accent2" w:themeShade="BF"/>
    </w:rPr>
    <w:tblPr>
      <w:tblStyleRowBandSize w:val="1"/>
      <w:tblStyleColBandSize w:val="1"/>
      <w:tblBorders>
        <w:top w:val="single" w:sz="4" w:space="0" w:color="FFD0A7" w:themeColor="accent2" w:themeTint="99"/>
        <w:left w:val="single" w:sz="4" w:space="0" w:color="FFD0A7" w:themeColor="accent2" w:themeTint="99"/>
        <w:bottom w:val="single" w:sz="4" w:space="0" w:color="FFD0A7" w:themeColor="accent2" w:themeTint="99"/>
        <w:right w:val="single" w:sz="4" w:space="0" w:color="FFD0A7" w:themeColor="accent2" w:themeTint="99"/>
        <w:insideH w:val="single" w:sz="4" w:space="0" w:color="FFD0A7" w:themeColor="accent2" w:themeTint="99"/>
        <w:insideV w:val="single" w:sz="4" w:space="0" w:color="FFD0A7" w:themeColor="accent2" w:themeTint="99"/>
      </w:tblBorders>
    </w:tblPr>
    <w:tblStylePr w:type="firstRow">
      <w:rPr>
        <w:b/>
        <w:bCs/>
      </w:rPr>
      <w:tblPr/>
      <w:tcPr>
        <w:tcBorders>
          <w:bottom w:val="single" w:sz="12" w:space="0" w:color="FFD0A7" w:themeColor="accent2" w:themeTint="99"/>
        </w:tcBorders>
      </w:tcPr>
    </w:tblStylePr>
    <w:tblStylePr w:type="lastRow">
      <w:rPr>
        <w:b/>
        <w:bCs/>
      </w:rPr>
      <w:tblPr/>
      <w:tcPr>
        <w:tcBorders>
          <w:top w:val="double" w:sz="4" w:space="0" w:color="FFD0A7" w:themeColor="accent2" w:themeTint="99"/>
        </w:tcBorders>
      </w:tcPr>
    </w:tblStylePr>
    <w:tblStylePr w:type="firstCol">
      <w:rPr>
        <w:b/>
        <w:bCs/>
      </w:rPr>
    </w:tblStylePr>
    <w:tblStylePr w:type="lastCol">
      <w:rPr>
        <w:b/>
        <w:bCs/>
      </w:rPr>
    </w:tblStylePr>
    <w:tblStylePr w:type="band1Vert">
      <w:tblPr/>
      <w:tcPr>
        <w:shd w:val="clear" w:color="auto" w:fill="FFEFE1" w:themeFill="accent2" w:themeFillTint="33"/>
      </w:tcPr>
    </w:tblStylePr>
    <w:tblStylePr w:type="band1Horz">
      <w:tblPr/>
      <w:tcPr>
        <w:shd w:val="clear" w:color="auto" w:fill="FFEFE1" w:themeFill="accent2" w:themeFillTint="33"/>
      </w:tcPr>
    </w:tblStylePr>
  </w:style>
  <w:style w:type="table" w:styleId="Rutenettabell6fargerikuthevingsfarge3">
    <w:name w:val="Grid Table 6 Colorful Accent 3"/>
    <w:basedOn w:val="Vanligtabell"/>
    <w:uiPriority w:val="51"/>
    <w:rsid w:val="00893D2C"/>
    <w:pPr>
      <w:spacing w:after="0" w:line="240" w:lineRule="auto"/>
    </w:pPr>
    <w:rPr>
      <w:color w:val="2E6A71" w:themeColor="accent3" w:themeShade="BF"/>
    </w:rPr>
    <w:tblPr>
      <w:tblStyleRowBandSize w:val="1"/>
      <w:tblStyleColBandSize w:val="1"/>
      <w:tblBorders>
        <w:top w:val="single" w:sz="4" w:space="0" w:color="80C3CB" w:themeColor="accent3" w:themeTint="99"/>
        <w:left w:val="single" w:sz="4" w:space="0" w:color="80C3CB" w:themeColor="accent3" w:themeTint="99"/>
        <w:bottom w:val="single" w:sz="4" w:space="0" w:color="80C3CB" w:themeColor="accent3" w:themeTint="99"/>
        <w:right w:val="single" w:sz="4" w:space="0" w:color="80C3CB" w:themeColor="accent3" w:themeTint="99"/>
        <w:insideH w:val="single" w:sz="4" w:space="0" w:color="80C3CB" w:themeColor="accent3" w:themeTint="99"/>
        <w:insideV w:val="single" w:sz="4" w:space="0" w:color="80C3CB" w:themeColor="accent3" w:themeTint="99"/>
      </w:tblBorders>
    </w:tblPr>
    <w:tblStylePr w:type="firstRow">
      <w:rPr>
        <w:b/>
        <w:bCs/>
      </w:rPr>
      <w:tblPr/>
      <w:tcPr>
        <w:tcBorders>
          <w:bottom w:val="single" w:sz="12" w:space="0" w:color="80C3CB" w:themeColor="accent3" w:themeTint="99"/>
        </w:tcBorders>
      </w:tcPr>
    </w:tblStylePr>
    <w:tblStylePr w:type="lastRow">
      <w:rPr>
        <w:b/>
        <w:bCs/>
      </w:rPr>
      <w:tblPr/>
      <w:tcPr>
        <w:tcBorders>
          <w:top w:val="double" w:sz="4" w:space="0" w:color="80C3CB" w:themeColor="accent3" w:themeTint="99"/>
        </w:tcBorders>
      </w:tcPr>
    </w:tblStylePr>
    <w:tblStylePr w:type="firstCol">
      <w:rPr>
        <w:b/>
        <w:bCs/>
      </w:rPr>
    </w:tblStylePr>
    <w:tblStylePr w:type="lastCol">
      <w:rPr>
        <w:b/>
        <w:bCs/>
      </w:rPr>
    </w:tblStylePr>
    <w:tblStylePr w:type="band1Vert">
      <w:tblPr/>
      <w:tcPr>
        <w:shd w:val="clear" w:color="auto" w:fill="D4EBED" w:themeFill="accent3" w:themeFillTint="33"/>
      </w:tcPr>
    </w:tblStylePr>
    <w:tblStylePr w:type="band1Horz">
      <w:tblPr/>
      <w:tcPr>
        <w:shd w:val="clear" w:color="auto" w:fill="D4EBED" w:themeFill="accent3" w:themeFillTint="33"/>
      </w:tcPr>
    </w:tblStylePr>
  </w:style>
  <w:style w:type="table" w:styleId="Rutenettabell6fargerikuthevingsfarge4">
    <w:name w:val="Grid Table 6 Colorful Accent 4"/>
    <w:basedOn w:val="Vanligtabell"/>
    <w:uiPriority w:val="51"/>
    <w:rsid w:val="00893D2C"/>
    <w:pPr>
      <w:spacing w:after="0" w:line="240" w:lineRule="auto"/>
    </w:pPr>
    <w:rPr>
      <w:color w:val="1C1C16" w:themeColor="accent4" w:themeShade="BF"/>
    </w:rPr>
    <w:tblPr>
      <w:tblStyleRowBandSize w:val="1"/>
      <w:tblStyleColBandSize w:val="1"/>
      <w:tblBorders>
        <w:top w:val="single" w:sz="4" w:space="0" w:color="88886C" w:themeColor="accent4" w:themeTint="99"/>
        <w:left w:val="single" w:sz="4" w:space="0" w:color="88886C" w:themeColor="accent4" w:themeTint="99"/>
        <w:bottom w:val="single" w:sz="4" w:space="0" w:color="88886C" w:themeColor="accent4" w:themeTint="99"/>
        <w:right w:val="single" w:sz="4" w:space="0" w:color="88886C" w:themeColor="accent4" w:themeTint="99"/>
        <w:insideH w:val="single" w:sz="4" w:space="0" w:color="88886C" w:themeColor="accent4" w:themeTint="99"/>
        <w:insideV w:val="single" w:sz="4" w:space="0" w:color="88886C" w:themeColor="accent4" w:themeTint="99"/>
      </w:tblBorders>
    </w:tblPr>
    <w:tblStylePr w:type="firstRow">
      <w:rPr>
        <w:b/>
        <w:bCs/>
      </w:rPr>
      <w:tblPr/>
      <w:tcPr>
        <w:tcBorders>
          <w:bottom w:val="single" w:sz="12" w:space="0" w:color="88886C" w:themeColor="accent4" w:themeTint="99"/>
        </w:tcBorders>
      </w:tcPr>
    </w:tblStylePr>
    <w:tblStylePr w:type="lastRow">
      <w:rPr>
        <w:b/>
        <w:bCs/>
      </w:rPr>
      <w:tblPr/>
      <w:tcPr>
        <w:tcBorders>
          <w:top w:val="double" w:sz="4" w:space="0" w:color="88886C" w:themeColor="accent4" w:themeTint="99"/>
        </w:tcBorders>
      </w:tcPr>
    </w:tblStylePr>
    <w:tblStylePr w:type="firstCol">
      <w:rPr>
        <w:b/>
        <w:bCs/>
      </w:rPr>
    </w:tblStylePr>
    <w:tblStylePr w:type="lastCol">
      <w:rPr>
        <w:b/>
        <w:bCs/>
      </w:rPr>
    </w:tblStylePr>
    <w:tblStylePr w:type="band1Vert">
      <w:tblPr/>
      <w:tcPr>
        <w:shd w:val="clear" w:color="auto" w:fill="D8D8CD" w:themeFill="accent4" w:themeFillTint="33"/>
      </w:tcPr>
    </w:tblStylePr>
    <w:tblStylePr w:type="band1Horz">
      <w:tblPr/>
      <w:tcPr>
        <w:shd w:val="clear" w:color="auto" w:fill="D8D8CD" w:themeFill="accent4" w:themeFillTint="33"/>
      </w:tcPr>
    </w:tblStylePr>
  </w:style>
  <w:style w:type="table" w:styleId="Rutenettabell6fargerikuthevingsfarge5">
    <w:name w:val="Grid Table 6 Colorful Accent 5"/>
    <w:basedOn w:val="Vanligtabell"/>
    <w:uiPriority w:val="51"/>
    <w:rsid w:val="00893D2C"/>
    <w:pPr>
      <w:spacing w:after="0" w:line="240" w:lineRule="auto"/>
    </w:pPr>
    <w:rPr>
      <w:color w:val="F2AD70" w:themeColor="accent5" w:themeShade="BF"/>
    </w:rPr>
    <w:tblPr>
      <w:tblStyleRowBandSize w:val="1"/>
      <w:tblStyleColBandSize w:val="1"/>
      <w:tblBorders>
        <w:top w:val="single" w:sz="4" w:space="0" w:color="FDF3EB" w:themeColor="accent5" w:themeTint="99"/>
        <w:left w:val="single" w:sz="4" w:space="0" w:color="FDF3EB" w:themeColor="accent5" w:themeTint="99"/>
        <w:bottom w:val="single" w:sz="4" w:space="0" w:color="FDF3EB" w:themeColor="accent5" w:themeTint="99"/>
        <w:right w:val="single" w:sz="4" w:space="0" w:color="FDF3EB" w:themeColor="accent5" w:themeTint="99"/>
        <w:insideH w:val="single" w:sz="4" w:space="0" w:color="FDF3EB" w:themeColor="accent5" w:themeTint="99"/>
        <w:insideV w:val="single" w:sz="4" w:space="0" w:color="FDF3EB" w:themeColor="accent5" w:themeTint="99"/>
      </w:tblBorders>
    </w:tblPr>
    <w:tblStylePr w:type="firstRow">
      <w:rPr>
        <w:b/>
        <w:bCs/>
      </w:rPr>
      <w:tblPr/>
      <w:tcPr>
        <w:tcBorders>
          <w:bottom w:val="single" w:sz="12" w:space="0" w:color="FDF3EB" w:themeColor="accent5" w:themeTint="99"/>
        </w:tcBorders>
      </w:tcPr>
    </w:tblStylePr>
    <w:tblStylePr w:type="lastRow">
      <w:rPr>
        <w:b/>
        <w:bCs/>
      </w:rPr>
      <w:tblPr/>
      <w:tcPr>
        <w:tcBorders>
          <w:top w:val="double" w:sz="4" w:space="0" w:color="FDF3EB" w:themeColor="accent5" w:themeTint="99"/>
        </w:tcBorders>
      </w:tcPr>
    </w:tblStylePr>
    <w:tblStylePr w:type="firstCol">
      <w:rPr>
        <w:b/>
        <w:bCs/>
      </w:rPr>
    </w:tblStylePr>
    <w:tblStylePr w:type="lastCol">
      <w:rPr>
        <w:b/>
        <w:bCs/>
      </w:rPr>
    </w:tblStylePr>
    <w:tblStylePr w:type="band1Vert">
      <w:tblPr/>
      <w:tcPr>
        <w:shd w:val="clear" w:color="auto" w:fill="FEFBF8" w:themeFill="accent5" w:themeFillTint="33"/>
      </w:tcPr>
    </w:tblStylePr>
    <w:tblStylePr w:type="band1Horz">
      <w:tblPr/>
      <w:tcPr>
        <w:shd w:val="clear" w:color="auto" w:fill="FEFBF8" w:themeFill="accent5" w:themeFillTint="33"/>
      </w:tcPr>
    </w:tblStylePr>
  </w:style>
  <w:style w:type="table" w:styleId="Rutenettabell6fargerikuthevingsfarge6">
    <w:name w:val="Grid Table 6 Colorful Accent 6"/>
    <w:basedOn w:val="Vanligtabell"/>
    <w:uiPriority w:val="51"/>
    <w:rsid w:val="00893D2C"/>
    <w:pPr>
      <w:spacing w:after="0" w:line="240" w:lineRule="auto"/>
    </w:pPr>
    <w:rPr>
      <w:color w:val="A2CDCD" w:themeColor="accent6" w:themeShade="BF"/>
    </w:rPr>
    <w:tblPr>
      <w:tblStyleRowBandSize w:val="1"/>
      <w:tblStyleColBandSize w:val="1"/>
      <w:tblBorders>
        <w:top w:val="single" w:sz="4" w:space="0" w:color="F7FAFA" w:themeColor="accent6" w:themeTint="99"/>
        <w:left w:val="single" w:sz="4" w:space="0" w:color="F7FAFA" w:themeColor="accent6" w:themeTint="99"/>
        <w:bottom w:val="single" w:sz="4" w:space="0" w:color="F7FAFA" w:themeColor="accent6" w:themeTint="99"/>
        <w:right w:val="single" w:sz="4" w:space="0" w:color="F7FAFA" w:themeColor="accent6" w:themeTint="99"/>
        <w:insideH w:val="single" w:sz="4" w:space="0" w:color="F7FAFA" w:themeColor="accent6" w:themeTint="99"/>
        <w:insideV w:val="single" w:sz="4" w:space="0" w:color="F7FAFA" w:themeColor="accent6" w:themeTint="99"/>
      </w:tblBorders>
    </w:tblPr>
    <w:tblStylePr w:type="firstRow">
      <w:rPr>
        <w:b/>
        <w:bCs/>
      </w:rPr>
      <w:tblPr/>
      <w:tcPr>
        <w:tcBorders>
          <w:bottom w:val="single" w:sz="12" w:space="0" w:color="F7FAFA" w:themeColor="accent6" w:themeTint="99"/>
        </w:tcBorders>
      </w:tcPr>
    </w:tblStylePr>
    <w:tblStylePr w:type="lastRow">
      <w:rPr>
        <w:b/>
        <w:bCs/>
      </w:rPr>
      <w:tblPr/>
      <w:tcPr>
        <w:tcBorders>
          <w:top w:val="double" w:sz="4" w:space="0" w:color="F7FAFA" w:themeColor="accent6" w:themeTint="99"/>
        </w:tcBorders>
      </w:tcPr>
    </w:tblStylePr>
    <w:tblStylePr w:type="firstCol">
      <w:rPr>
        <w:b/>
        <w:bCs/>
      </w:rPr>
    </w:tblStylePr>
    <w:tblStylePr w:type="lastCol">
      <w:rPr>
        <w:b/>
        <w:bCs/>
      </w:rPr>
    </w:tblStylePr>
    <w:tblStylePr w:type="band1Vert">
      <w:tblPr/>
      <w:tcPr>
        <w:shd w:val="clear" w:color="auto" w:fill="FCFDFD" w:themeFill="accent6" w:themeFillTint="33"/>
      </w:tcPr>
    </w:tblStylePr>
    <w:tblStylePr w:type="band1Horz">
      <w:tblPr/>
      <w:tcPr>
        <w:shd w:val="clear" w:color="auto" w:fill="FCFDFD" w:themeFill="accent6" w:themeFillTint="33"/>
      </w:tcPr>
    </w:tblStylePr>
  </w:style>
  <w:style w:type="table" w:styleId="Rutenettabell7fargerik">
    <w:name w:val="Grid Table 7 Colorful"/>
    <w:basedOn w:val="Vanligtabell"/>
    <w:uiPriority w:val="52"/>
    <w:rsid w:val="00893D2C"/>
    <w:pPr>
      <w:spacing w:after="0" w:line="240" w:lineRule="auto"/>
    </w:pPr>
    <w:rPr>
      <w:color w:val="26261E" w:themeColor="text1"/>
    </w:rPr>
    <w:tblPr>
      <w:tblStyleRowBandSize w:val="1"/>
      <w:tblStyleColBandSize w:val="1"/>
      <w:tblBorders>
        <w:top w:val="single" w:sz="4" w:space="0" w:color="88886C" w:themeColor="text1" w:themeTint="99"/>
        <w:left w:val="single" w:sz="4" w:space="0" w:color="88886C" w:themeColor="text1" w:themeTint="99"/>
        <w:bottom w:val="single" w:sz="4" w:space="0" w:color="88886C" w:themeColor="text1" w:themeTint="99"/>
        <w:right w:val="single" w:sz="4" w:space="0" w:color="88886C" w:themeColor="text1" w:themeTint="99"/>
        <w:insideH w:val="single" w:sz="4" w:space="0" w:color="88886C" w:themeColor="text1" w:themeTint="99"/>
        <w:insideV w:val="single" w:sz="4" w:space="0" w:color="88886C"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D8CD" w:themeFill="text1" w:themeFillTint="33"/>
      </w:tcPr>
    </w:tblStylePr>
    <w:tblStylePr w:type="band1Horz">
      <w:tblPr/>
      <w:tcPr>
        <w:shd w:val="clear" w:color="auto" w:fill="D8D8CD" w:themeFill="text1" w:themeFillTint="33"/>
      </w:tcPr>
    </w:tblStylePr>
    <w:tblStylePr w:type="neCell">
      <w:tblPr/>
      <w:tcPr>
        <w:tcBorders>
          <w:bottom w:val="single" w:sz="4" w:space="0" w:color="88886C" w:themeColor="text1" w:themeTint="99"/>
        </w:tcBorders>
      </w:tcPr>
    </w:tblStylePr>
    <w:tblStylePr w:type="nwCell">
      <w:tblPr/>
      <w:tcPr>
        <w:tcBorders>
          <w:bottom w:val="single" w:sz="4" w:space="0" w:color="88886C" w:themeColor="text1" w:themeTint="99"/>
        </w:tcBorders>
      </w:tcPr>
    </w:tblStylePr>
    <w:tblStylePr w:type="seCell">
      <w:tblPr/>
      <w:tcPr>
        <w:tcBorders>
          <w:top w:val="single" w:sz="4" w:space="0" w:color="88886C" w:themeColor="text1" w:themeTint="99"/>
        </w:tcBorders>
      </w:tcPr>
    </w:tblStylePr>
    <w:tblStylePr w:type="swCell">
      <w:tblPr/>
      <w:tcPr>
        <w:tcBorders>
          <w:top w:val="single" w:sz="4" w:space="0" w:color="88886C" w:themeColor="text1" w:themeTint="99"/>
        </w:tcBorders>
      </w:tcPr>
    </w:tblStylePr>
  </w:style>
  <w:style w:type="table" w:styleId="Rutenettabell7fargerikuthevingsfarge1">
    <w:name w:val="Grid Table 7 Colorful Accent 1"/>
    <w:basedOn w:val="Vanligtabell"/>
    <w:uiPriority w:val="52"/>
    <w:rsid w:val="00893D2C"/>
    <w:pPr>
      <w:spacing w:after="0" w:line="240" w:lineRule="auto"/>
    </w:pPr>
    <w:rPr>
      <w:color w:val="1C1C61" w:themeColor="accent1" w:themeShade="BF"/>
    </w:rPr>
    <w:tblPr>
      <w:tblStyleRowBandSize w:val="1"/>
      <w:tblStyleColBandSize w:val="1"/>
      <w:tblBorders>
        <w:top w:val="single" w:sz="4" w:space="0" w:color="6060D0" w:themeColor="accent1" w:themeTint="99"/>
        <w:left w:val="single" w:sz="4" w:space="0" w:color="6060D0" w:themeColor="accent1" w:themeTint="99"/>
        <w:bottom w:val="single" w:sz="4" w:space="0" w:color="6060D0" w:themeColor="accent1" w:themeTint="99"/>
        <w:right w:val="single" w:sz="4" w:space="0" w:color="6060D0" w:themeColor="accent1" w:themeTint="99"/>
        <w:insideH w:val="single" w:sz="4" w:space="0" w:color="6060D0" w:themeColor="accent1" w:themeTint="99"/>
        <w:insideV w:val="single" w:sz="4" w:space="0" w:color="6060D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C9EF" w:themeFill="accent1" w:themeFillTint="33"/>
      </w:tcPr>
    </w:tblStylePr>
    <w:tblStylePr w:type="band1Horz">
      <w:tblPr/>
      <w:tcPr>
        <w:shd w:val="clear" w:color="auto" w:fill="C9C9EF" w:themeFill="accent1" w:themeFillTint="33"/>
      </w:tcPr>
    </w:tblStylePr>
    <w:tblStylePr w:type="neCell">
      <w:tblPr/>
      <w:tcPr>
        <w:tcBorders>
          <w:bottom w:val="single" w:sz="4" w:space="0" w:color="6060D0" w:themeColor="accent1" w:themeTint="99"/>
        </w:tcBorders>
      </w:tcPr>
    </w:tblStylePr>
    <w:tblStylePr w:type="nwCell">
      <w:tblPr/>
      <w:tcPr>
        <w:tcBorders>
          <w:bottom w:val="single" w:sz="4" w:space="0" w:color="6060D0" w:themeColor="accent1" w:themeTint="99"/>
        </w:tcBorders>
      </w:tcPr>
    </w:tblStylePr>
    <w:tblStylePr w:type="seCell">
      <w:tblPr/>
      <w:tcPr>
        <w:tcBorders>
          <w:top w:val="single" w:sz="4" w:space="0" w:color="6060D0" w:themeColor="accent1" w:themeTint="99"/>
        </w:tcBorders>
      </w:tcPr>
    </w:tblStylePr>
    <w:tblStylePr w:type="swCell">
      <w:tblPr/>
      <w:tcPr>
        <w:tcBorders>
          <w:top w:val="single" w:sz="4" w:space="0" w:color="6060D0" w:themeColor="accent1" w:themeTint="99"/>
        </w:tcBorders>
      </w:tcPr>
    </w:tblStylePr>
  </w:style>
  <w:style w:type="table" w:styleId="Rutenettabell7fargerikuthevingsfarge2">
    <w:name w:val="Grid Table 7 Colorful Accent 2"/>
    <w:basedOn w:val="Vanligtabell"/>
    <w:uiPriority w:val="52"/>
    <w:rsid w:val="00893D2C"/>
    <w:pPr>
      <w:spacing w:after="0" w:line="240" w:lineRule="auto"/>
    </w:pPr>
    <w:rPr>
      <w:color w:val="FF8111" w:themeColor="accent2" w:themeShade="BF"/>
    </w:rPr>
    <w:tblPr>
      <w:tblStyleRowBandSize w:val="1"/>
      <w:tblStyleColBandSize w:val="1"/>
      <w:tblBorders>
        <w:top w:val="single" w:sz="4" w:space="0" w:color="FFD0A7" w:themeColor="accent2" w:themeTint="99"/>
        <w:left w:val="single" w:sz="4" w:space="0" w:color="FFD0A7" w:themeColor="accent2" w:themeTint="99"/>
        <w:bottom w:val="single" w:sz="4" w:space="0" w:color="FFD0A7" w:themeColor="accent2" w:themeTint="99"/>
        <w:right w:val="single" w:sz="4" w:space="0" w:color="FFD0A7" w:themeColor="accent2" w:themeTint="99"/>
        <w:insideH w:val="single" w:sz="4" w:space="0" w:color="FFD0A7" w:themeColor="accent2" w:themeTint="99"/>
        <w:insideV w:val="single" w:sz="4" w:space="0" w:color="FFD0A7"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FE1" w:themeFill="accent2" w:themeFillTint="33"/>
      </w:tcPr>
    </w:tblStylePr>
    <w:tblStylePr w:type="band1Horz">
      <w:tblPr/>
      <w:tcPr>
        <w:shd w:val="clear" w:color="auto" w:fill="FFEFE1" w:themeFill="accent2" w:themeFillTint="33"/>
      </w:tcPr>
    </w:tblStylePr>
    <w:tblStylePr w:type="neCell">
      <w:tblPr/>
      <w:tcPr>
        <w:tcBorders>
          <w:bottom w:val="single" w:sz="4" w:space="0" w:color="FFD0A7" w:themeColor="accent2" w:themeTint="99"/>
        </w:tcBorders>
      </w:tcPr>
    </w:tblStylePr>
    <w:tblStylePr w:type="nwCell">
      <w:tblPr/>
      <w:tcPr>
        <w:tcBorders>
          <w:bottom w:val="single" w:sz="4" w:space="0" w:color="FFD0A7" w:themeColor="accent2" w:themeTint="99"/>
        </w:tcBorders>
      </w:tcPr>
    </w:tblStylePr>
    <w:tblStylePr w:type="seCell">
      <w:tblPr/>
      <w:tcPr>
        <w:tcBorders>
          <w:top w:val="single" w:sz="4" w:space="0" w:color="FFD0A7" w:themeColor="accent2" w:themeTint="99"/>
        </w:tcBorders>
      </w:tcPr>
    </w:tblStylePr>
    <w:tblStylePr w:type="swCell">
      <w:tblPr/>
      <w:tcPr>
        <w:tcBorders>
          <w:top w:val="single" w:sz="4" w:space="0" w:color="FFD0A7" w:themeColor="accent2" w:themeTint="99"/>
        </w:tcBorders>
      </w:tcPr>
    </w:tblStylePr>
  </w:style>
  <w:style w:type="table" w:styleId="Rutenettabell7fargerikuthevingsfarge3">
    <w:name w:val="Grid Table 7 Colorful Accent 3"/>
    <w:basedOn w:val="Vanligtabell"/>
    <w:uiPriority w:val="52"/>
    <w:rsid w:val="00893D2C"/>
    <w:pPr>
      <w:spacing w:after="0" w:line="240" w:lineRule="auto"/>
    </w:pPr>
    <w:rPr>
      <w:color w:val="2E6A71" w:themeColor="accent3" w:themeShade="BF"/>
    </w:rPr>
    <w:tblPr>
      <w:tblStyleRowBandSize w:val="1"/>
      <w:tblStyleColBandSize w:val="1"/>
      <w:tblBorders>
        <w:top w:val="single" w:sz="4" w:space="0" w:color="80C3CB" w:themeColor="accent3" w:themeTint="99"/>
        <w:left w:val="single" w:sz="4" w:space="0" w:color="80C3CB" w:themeColor="accent3" w:themeTint="99"/>
        <w:bottom w:val="single" w:sz="4" w:space="0" w:color="80C3CB" w:themeColor="accent3" w:themeTint="99"/>
        <w:right w:val="single" w:sz="4" w:space="0" w:color="80C3CB" w:themeColor="accent3" w:themeTint="99"/>
        <w:insideH w:val="single" w:sz="4" w:space="0" w:color="80C3CB" w:themeColor="accent3" w:themeTint="99"/>
        <w:insideV w:val="single" w:sz="4" w:space="0" w:color="80C3C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EBED" w:themeFill="accent3" w:themeFillTint="33"/>
      </w:tcPr>
    </w:tblStylePr>
    <w:tblStylePr w:type="band1Horz">
      <w:tblPr/>
      <w:tcPr>
        <w:shd w:val="clear" w:color="auto" w:fill="D4EBED" w:themeFill="accent3" w:themeFillTint="33"/>
      </w:tcPr>
    </w:tblStylePr>
    <w:tblStylePr w:type="neCell">
      <w:tblPr/>
      <w:tcPr>
        <w:tcBorders>
          <w:bottom w:val="single" w:sz="4" w:space="0" w:color="80C3CB" w:themeColor="accent3" w:themeTint="99"/>
        </w:tcBorders>
      </w:tcPr>
    </w:tblStylePr>
    <w:tblStylePr w:type="nwCell">
      <w:tblPr/>
      <w:tcPr>
        <w:tcBorders>
          <w:bottom w:val="single" w:sz="4" w:space="0" w:color="80C3CB" w:themeColor="accent3" w:themeTint="99"/>
        </w:tcBorders>
      </w:tcPr>
    </w:tblStylePr>
    <w:tblStylePr w:type="seCell">
      <w:tblPr/>
      <w:tcPr>
        <w:tcBorders>
          <w:top w:val="single" w:sz="4" w:space="0" w:color="80C3CB" w:themeColor="accent3" w:themeTint="99"/>
        </w:tcBorders>
      </w:tcPr>
    </w:tblStylePr>
    <w:tblStylePr w:type="swCell">
      <w:tblPr/>
      <w:tcPr>
        <w:tcBorders>
          <w:top w:val="single" w:sz="4" w:space="0" w:color="80C3CB" w:themeColor="accent3" w:themeTint="99"/>
        </w:tcBorders>
      </w:tcPr>
    </w:tblStylePr>
  </w:style>
  <w:style w:type="table" w:styleId="Rutenettabell7fargerikuthevingsfarge4">
    <w:name w:val="Grid Table 7 Colorful Accent 4"/>
    <w:basedOn w:val="Vanligtabell"/>
    <w:uiPriority w:val="52"/>
    <w:rsid w:val="00893D2C"/>
    <w:pPr>
      <w:spacing w:after="0" w:line="240" w:lineRule="auto"/>
    </w:pPr>
    <w:rPr>
      <w:color w:val="1C1C16" w:themeColor="accent4" w:themeShade="BF"/>
    </w:rPr>
    <w:tblPr>
      <w:tblStyleRowBandSize w:val="1"/>
      <w:tblStyleColBandSize w:val="1"/>
      <w:tblBorders>
        <w:top w:val="single" w:sz="4" w:space="0" w:color="88886C" w:themeColor="accent4" w:themeTint="99"/>
        <w:left w:val="single" w:sz="4" w:space="0" w:color="88886C" w:themeColor="accent4" w:themeTint="99"/>
        <w:bottom w:val="single" w:sz="4" w:space="0" w:color="88886C" w:themeColor="accent4" w:themeTint="99"/>
        <w:right w:val="single" w:sz="4" w:space="0" w:color="88886C" w:themeColor="accent4" w:themeTint="99"/>
        <w:insideH w:val="single" w:sz="4" w:space="0" w:color="88886C" w:themeColor="accent4" w:themeTint="99"/>
        <w:insideV w:val="single" w:sz="4" w:space="0" w:color="88886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D8CD" w:themeFill="accent4" w:themeFillTint="33"/>
      </w:tcPr>
    </w:tblStylePr>
    <w:tblStylePr w:type="band1Horz">
      <w:tblPr/>
      <w:tcPr>
        <w:shd w:val="clear" w:color="auto" w:fill="D8D8CD" w:themeFill="accent4" w:themeFillTint="33"/>
      </w:tcPr>
    </w:tblStylePr>
    <w:tblStylePr w:type="neCell">
      <w:tblPr/>
      <w:tcPr>
        <w:tcBorders>
          <w:bottom w:val="single" w:sz="4" w:space="0" w:color="88886C" w:themeColor="accent4" w:themeTint="99"/>
        </w:tcBorders>
      </w:tcPr>
    </w:tblStylePr>
    <w:tblStylePr w:type="nwCell">
      <w:tblPr/>
      <w:tcPr>
        <w:tcBorders>
          <w:bottom w:val="single" w:sz="4" w:space="0" w:color="88886C" w:themeColor="accent4" w:themeTint="99"/>
        </w:tcBorders>
      </w:tcPr>
    </w:tblStylePr>
    <w:tblStylePr w:type="seCell">
      <w:tblPr/>
      <w:tcPr>
        <w:tcBorders>
          <w:top w:val="single" w:sz="4" w:space="0" w:color="88886C" w:themeColor="accent4" w:themeTint="99"/>
        </w:tcBorders>
      </w:tcPr>
    </w:tblStylePr>
    <w:tblStylePr w:type="swCell">
      <w:tblPr/>
      <w:tcPr>
        <w:tcBorders>
          <w:top w:val="single" w:sz="4" w:space="0" w:color="88886C" w:themeColor="accent4" w:themeTint="99"/>
        </w:tcBorders>
      </w:tcPr>
    </w:tblStylePr>
  </w:style>
  <w:style w:type="table" w:styleId="Rutenettabell7fargerikuthevingsfarge5">
    <w:name w:val="Grid Table 7 Colorful Accent 5"/>
    <w:basedOn w:val="Vanligtabell"/>
    <w:uiPriority w:val="52"/>
    <w:rsid w:val="00893D2C"/>
    <w:pPr>
      <w:spacing w:after="0" w:line="240" w:lineRule="auto"/>
    </w:pPr>
    <w:rPr>
      <w:color w:val="F2AD70" w:themeColor="accent5" w:themeShade="BF"/>
    </w:rPr>
    <w:tblPr>
      <w:tblStyleRowBandSize w:val="1"/>
      <w:tblStyleColBandSize w:val="1"/>
      <w:tblBorders>
        <w:top w:val="single" w:sz="4" w:space="0" w:color="FDF3EB" w:themeColor="accent5" w:themeTint="99"/>
        <w:left w:val="single" w:sz="4" w:space="0" w:color="FDF3EB" w:themeColor="accent5" w:themeTint="99"/>
        <w:bottom w:val="single" w:sz="4" w:space="0" w:color="FDF3EB" w:themeColor="accent5" w:themeTint="99"/>
        <w:right w:val="single" w:sz="4" w:space="0" w:color="FDF3EB" w:themeColor="accent5" w:themeTint="99"/>
        <w:insideH w:val="single" w:sz="4" w:space="0" w:color="FDF3EB" w:themeColor="accent5" w:themeTint="99"/>
        <w:insideV w:val="single" w:sz="4" w:space="0" w:color="FDF3E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BF8" w:themeFill="accent5" w:themeFillTint="33"/>
      </w:tcPr>
    </w:tblStylePr>
    <w:tblStylePr w:type="band1Horz">
      <w:tblPr/>
      <w:tcPr>
        <w:shd w:val="clear" w:color="auto" w:fill="FEFBF8" w:themeFill="accent5" w:themeFillTint="33"/>
      </w:tcPr>
    </w:tblStylePr>
    <w:tblStylePr w:type="neCell">
      <w:tblPr/>
      <w:tcPr>
        <w:tcBorders>
          <w:bottom w:val="single" w:sz="4" w:space="0" w:color="FDF3EB" w:themeColor="accent5" w:themeTint="99"/>
        </w:tcBorders>
      </w:tcPr>
    </w:tblStylePr>
    <w:tblStylePr w:type="nwCell">
      <w:tblPr/>
      <w:tcPr>
        <w:tcBorders>
          <w:bottom w:val="single" w:sz="4" w:space="0" w:color="FDF3EB" w:themeColor="accent5" w:themeTint="99"/>
        </w:tcBorders>
      </w:tcPr>
    </w:tblStylePr>
    <w:tblStylePr w:type="seCell">
      <w:tblPr/>
      <w:tcPr>
        <w:tcBorders>
          <w:top w:val="single" w:sz="4" w:space="0" w:color="FDF3EB" w:themeColor="accent5" w:themeTint="99"/>
        </w:tcBorders>
      </w:tcPr>
    </w:tblStylePr>
    <w:tblStylePr w:type="swCell">
      <w:tblPr/>
      <w:tcPr>
        <w:tcBorders>
          <w:top w:val="single" w:sz="4" w:space="0" w:color="FDF3EB" w:themeColor="accent5" w:themeTint="99"/>
        </w:tcBorders>
      </w:tcPr>
    </w:tblStylePr>
  </w:style>
  <w:style w:type="table" w:styleId="Rutenettabell7fargerikuthevingsfarge6">
    <w:name w:val="Grid Table 7 Colorful Accent 6"/>
    <w:basedOn w:val="Vanligtabell"/>
    <w:uiPriority w:val="52"/>
    <w:rsid w:val="00893D2C"/>
    <w:pPr>
      <w:spacing w:after="0" w:line="240" w:lineRule="auto"/>
    </w:pPr>
    <w:rPr>
      <w:color w:val="A2CDCD" w:themeColor="accent6" w:themeShade="BF"/>
    </w:rPr>
    <w:tblPr>
      <w:tblStyleRowBandSize w:val="1"/>
      <w:tblStyleColBandSize w:val="1"/>
      <w:tblBorders>
        <w:top w:val="single" w:sz="4" w:space="0" w:color="F7FAFA" w:themeColor="accent6" w:themeTint="99"/>
        <w:left w:val="single" w:sz="4" w:space="0" w:color="F7FAFA" w:themeColor="accent6" w:themeTint="99"/>
        <w:bottom w:val="single" w:sz="4" w:space="0" w:color="F7FAFA" w:themeColor="accent6" w:themeTint="99"/>
        <w:right w:val="single" w:sz="4" w:space="0" w:color="F7FAFA" w:themeColor="accent6" w:themeTint="99"/>
        <w:insideH w:val="single" w:sz="4" w:space="0" w:color="F7FAFA" w:themeColor="accent6" w:themeTint="99"/>
        <w:insideV w:val="single" w:sz="4" w:space="0" w:color="F7FAF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DFD" w:themeFill="accent6" w:themeFillTint="33"/>
      </w:tcPr>
    </w:tblStylePr>
    <w:tblStylePr w:type="band1Horz">
      <w:tblPr/>
      <w:tcPr>
        <w:shd w:val="clear" w:color="auto" w:fill="FCFDFD" w:themeFill="accent6" w:themeFillTint="33"/>
      </w:tcPr>
    </w:tblStylePr>
    <w:tblStylePr w:type="neCell">
      <w:tblPr/>
      <w:tcPr>
        <w:tcBorders>
          <w:bottom w:val="single" w:sz="4" w:space="0" w:color="F7FAFA" w:themeColor="accent6" w:themeTint="99"/>
        </w:tcBorders>
      </w:tcPr>
    </w:tblStylePr>
    <w:tblStylePr w:type="nwCell">
      <w:tblPr/>
      <w:tcPr>
        <w:tcBorders>
          <w:bottom w:val="single" w:sz="4" w:space="0" w:color="F7FAFA" w:themeColor="accent6" w:themeTint="99"/>
        </w:tcBorders>
      </w:tcPr>
    </w:tblStylePr>
    <w:tblStylePr w:type="seCell">
      <w:tblPr/>
      <w:tcPr>
        <w:tcBorders>
          <w:top w:val="single" w:sz="4" w:space="0" w:color="F7FAFA" w:themeColor="accent6" w:themeTint="99"/>
        </w:tcBorders>
      </w:tcPr>
    </w:tblStylePr>
    <w:tblStylePr w:type="swCell">
      <w:tblPr/>
      <w:tcPr>
        <w:tcBorders>
          <w:top w:val="single" w:sz="4" w:space="0" w:color="F7FAFA" w:themeColor="accent6" w:themeTint="99"/>
        </w:tcBorders>
      </w:tcPr>
    </w:tblStylePr>
  </w:style>
  <w:style w:type="table" w:styleId="Rutenettabelllys">
    <w:name w:val="Grid Table Light"/>
    <w:basedOn w:val="Vanligtabell"/>
    <w:uiPriority w:val="40"/>
    <w:rsid w:val="00893D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idetall">
    <w:name w:val="page number"/>
    <w:basedOn w:val="Standardskriftforavsnitt"/>
    <w:uiPriority w:val="99"/>
    <w:semiHidden/>
    <w:unhideWhenUsed/>
    <w:rsid w:val="00893D2C"/>
  </w:style>
  <w:style w:type="paragraph" w:styleId="Sitat">
    <w:name w:val="Quote"/>
    <w:basedOn w:val="Normal"/>
    <w:next w:val="Normal"/>
    <w:link w:val="SitatTegn"/>
    <w:uiPriority w:val="29"/>
    <w:semiHidden/>
    <w:qFormat/>
    <w:rsid w:val="00893D2C"/>
    <w:pPr>
      <w:spacing w:before="200"/>
      <w:ind w:left="864" w:right="864"/>
      <w:jc w:val="center"/>
    </w:pPr>
    <w:rPr>
      <w:i/>
      <w:iCs/>
      <w:color w:val="63634E" w:themeColor="text1" w:themeTint="BF"/>
    </w:rPr>
  </w:style>
  <w:style w:type="character" w:customStyle="1" w:styleId="SitatTegn">
    <w:name w:val="Sitat Tegn"/>
    <w:basedOn w:val="Standardskriftforavsnitt"/>
    <w:link w:val="Sitat"/>
    <w:uiPriority w:val="29"/>
    <w:semiHidden/>
    <w:rsid w:val="00D5282D"/>
    <w:rPr>
      <w:i/>
      <w:iCs/>
      <w:color w:val="63634E" w:themeColor="text1" w:themeTint="BF"/>
    </w:rPr>
  </w:style>
  <w:style w:type="character" w:styleId="Sluttnotereferanse">
    <w:name w:val="endnote reference"/>
    <w:basedOn w:val="Standardskriftforavsnitt"/>
    <w:uiPriority w:val="99"/>
    <w:semiHidden/>
    <w:unhideWhenUsed/>
    <w:rsid w:val="00893D2C"/>
    <w:rPr>
      <w:vertAlign w:val="superscript"/>
    </w:rPr>
  </w:style>
  <w:style w:type="paragraph" w:styleId="Sluttnotetekst">
    <w:name w:val="endnote text"/>
    <w:basedOn w:val="Normal"/>
    <w:link w:val="SluttnotetekstTegn"/>
    <w:uiPriority w:val="99"/>
    <w:semiHidden/>
    <w:unhideWhenUsed/>
    <w:rsid w:val="00893D2C"/>
    <w:pPr>
      <w:spacing w:after="0" w:line="240" w:lineRule="auto"/>
    </w:pPr>
    <w:rPr>
      <w:sz w:val="20"/>
      <w:szCs w:val="20"/>
    </w:rPr>
  </w:style>
  <w:style w:type="character" w:customStyle="1" w:styleId="SluttnotetekstTegn">
    <w:name w:val="Sluttnotetekst Tegn"/>
    <w:basedOn w:val="Standardskriftforavsnitt"/>
    <w:link w:val="Sluttnotetekst"/>
    <w:uiPriority w:val="99"/>
    <w:semiHidden/>
    <w:rsid w:val="00893D2C"/>
    <w:rPr>
      <w:sz w:val="20"/>
      <w:szCs w:val="20"/>
    </w:rPr>
  </w:style>
  <w:style w:type="character" w:styleId="Smarthyperkobling">
    <w:name w:val="Smart Hyperlink"/>
    <w:basedOn w:val="Standardskriftforavsnitt"/>
    <w:uiPriority w:val="99"/>
    <w:semiHidden/>
    <w:unhideWhenUsed/>
    <w:rsid w:val="00893D2C"/>
    <w:rPr>
      <w:u w:val="dotted"/>
    </w:rPr>
  </w:style>
  <w:style w:type="character" w:styleId="Sterk">
    <w:name w:val="Strong"/>
    <w:basedOn w:val="Standardskriftforavsnitt"/>
    <w:uiPriority w:val="22"/>
    <w:semiHidden/>
    <w:qFormat/>
    <w:rsid w:val="00893D2C"/>
    <w:rPr>
      <w:b/>
      <w:bCs/>
    </w:rPr>
  </w:style>
  <w:style w:type="character" w:styleId="Sterkreferanse">
    <w:name w:val="Intense Reference"/>
    <w:basedOn w:val="Standardskriftforavsnitt"/>
    <w:uiPriority w:val="32"/>
    <w:semiHidden/>
    <w:qFormat/>
    <w:rsid w:val="00893D2C"/>
    <w:rPr>
      <w:b/>
      <w:bCs/>
      <w:smallCaps/>
      <w:color w:val="262682" w:themeColor="accent1"/>
      <w:spacing w:val="5"/>
    </w:rPr>
  </w:style>
  <w:style w:type="character" w:styleId="Sterkutheving">
    <w:name w:val="Intense Emphasis"/>
    <w:basedOn w:val="Standardskriftforavsnitt"/>
    <w:uiPriority w:val="21"/>
    <w:qFormat/>
    <w:rsid w:val="00341F53"/>
    <w:rPr>
      <w:b/>
      <w:i w:val="0"/>
      <w:iCs/>
      <w:color w:val="262682" w:themeColor="accent1"/>
    </w:rPr>
  </w:style>
  <w:style w:type="paragraph" w:styleId="Sterktsitat">
    <w:name w:val="Intense Quote"/>
    <w:basedOn w:val="Normal"/>
    <w:next w:val="Normal"/>
    <w:link w:val="SterktsitatTegn"/>
    <w:uiPriority w:val="30"/>
    <w:semiHidden/>
    <w:qFormat/>
    <w:rsid w:val="00893D2C"/>
    <w:pPr>
      <w:pBdr>
        <w:top w:val="single" w:sz="4" w:space="10" w:color="262682" w:themeColor="accent1"/>
        <w:bottom w:val="single" w:sz="4" w:space="10" w:color="262682" w:themeColor="accent1"/>
      </w:pBdr>
      <w:spacing w:before="360" w:after="360"/>
      <w:ind w:left="864" w:right="864"/>
      <w:jc w:val="center"/>
    </w:pPr>
    <w:rPr>
      <w:i/>
      <w:iCs/>
      <w:color w:val="262682" w:themeColor="accent1"/>
    </w:rPr>
  </w:style>
  <w:style w:type="character" w:customStyle="1" w:styleId="SterktsitatTegn">
    <w:name w:val="Sterkt sitat Tegn"/>
    <w:basedOn w:val="Standardskriftforavsnitt"/>
    <w:link w:val="Sterktsitat"/>
    <w:uiPriority w:val="30"/>
    <w:semiHidden/>
    <w:rsid w:val="00D5282D"/>
    <w:rPr>
      <w:i/>
      <w:iCs/>
      <w:color w:val="262682" w:themeColor="accent1"/>
    </w:rPr>
  </w:style>
  <w:style w:type="paragraph" w:styleId="Stikkordregisteroverskrift">
    <w:name w:val="index heading"/>
    <w:basedOn w:val="Normal"/>
    <w:next w:val="Indeks1"/>
    <w:uiPriority w:val="99"/>
    <w:semiHidden/>
    <w:unhideWhenUsed/>
    <w:rsid w:val="00893D2C"/>
    <w:rPr>
      <w:rFonts w:asciiTheme="majorHAnsi" w:eastAsiaTheme="majorEastAsia" w:hAnsiTheme="majorHAnsi" w:cstheme="majorBidi"/>
      <w:b/>
      <w:bCs/>
    </w:rPr>
  </w:style>
  <w:style w:type="character" w:styleId="Svakreferanse">
    <w:name w:val="Subtle Reference"/>
    <w:basedOn w:val="Standardskriftforavsnitt"/>
    <w:uiPriority w:val="31"/>
    <w:semiHidden/>
    <w:qFormat/>
    <w:rsid w:val="00893D2C"/>
    <w:rPr>
      <w:smallCaps/>
      <w:color w:val="7D7D62" w:themeColor="text1" w:themeTint="A5"/>
    </w:rPr>
  </w:style>
  <w:style w:type="character" w:styleId="Svakutheving">
    <w:name w:val="Subtle Emphasis"/>
    <w:basedOn w:val="Standardskriftforavsnitt"/>
    <w:uiPriority w:val="19"/>
    <w:semiHidden/>
    <w:qFormat/>
    <w:rsid w:val="00893D2C"/>
    <w:rPr>
      <w:i/>
      <w:iCs/>
      <w:color w:val="63634E" w:themeColor="text1" w:themeTint="BF"/>
    </w:rPr>
  </w:style>
  <w:style w:type="table" w:styleId="Tabell-3D-effekt1">
    <w:name w:val="Table 3D effects 1"/>
    <w:basedOn w:val="Vanligtabell"/>
    <w:uiPriority w:val="99"/>
    <w:semiHidden/>
    <w:unhideWhenUsed/>
    <w:rsid w:val="00893D2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3D-effekt2">
    <w:name w:val="Table 3D effects 2"/>
    <w:basedOn w:val="Vanligtabell"/>
    <w:uiPriority w:val="99"/>
    <w:semiHidden/>
    <w:unhideWhenUsed/>
    <w:rsid w:val="00893D2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3D-effekt3">
    <w:name w:val="Table 3D effects 3"/>
    <w:basedOn w:val="Vanligtabell"/>
    <w:uiPriority w:val="99"/>
    <w:semiHidden/>
    <w:unhideWhenUsed/>
    <w:rsid w:val="00893D2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egant">
    <w:name w:val="Table Elegant"/>
    <w:basedOn w:val="Vanligtabell"/>
    <w:uiPriority w:val="99"/>
    <w:semiHidden/>
    <w:unhideWhenUsed/>
    <w:rsid w:val="00893D2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fargerik1">
    <w:name w:val="Table Colorful 1"/>
    <w:basedOn w:val="Vanligtabell"/>
    <w:uiPriority w:val="99"/>
    <w:semiHidden/>
    <w:unhideWhenUsed/>
    <w:rsid w:val="00893D2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fargerik2">
    <w:name w:val="Table Colorful 2"/>
    <w:basedOn w:val="Vanligtabell"/>
    <w:uiPriority w:val="99"/>
    <w:semiHidden/>
    <w:unhideWhenUsed/>
    <w:rsid w:val="00893D2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fargerik3">
    <w:name w:val="Table Colorful 3"/>
    <w:basedOn w:val="Vanligtabell"/>
    <w:uiPriority w:val="99"/>
    <w:semiHidden/>
    <w:unhideWhenUsed/>
    <w:rsid w:val="00893D2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klassisk1">
    <w:name w:val="Table Classic 1"/>
    <w:basedOn w:val="Vanligtabell"/>
    <w:uiPriority w:val="99"/>
    <w:semiHidden/>
    <w:unhideWhenUsed/>
    <w:rsid w:val="00893D2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lassisk2">
    <w:name w:val="Table Classic 2"/>
    <w:basedOn w:val="Vanligtabell"/>
    <w:uiPriority w:val="99"/>
    <w:semiHidden/>
    <w:unhideWhenUsed/>
    <w:rsid w:val="00893D2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klassisk3">
    <w:name w:val="Table Classic 3"/>
    <w:basedOn w:val="Vanligtabell"/>
    <w:uiPriority w:val="99"/>
    <w:semiHidden/>
    <w:unhideWhenUsed/>
    <w:rsid w:val="00893D2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klassisk4">
    <w:name w:val="Table Classic 4"/>
    <w:basedOn w:val="Vanligtabell"/>
    <w:uiPriority w:val="99"/>
    <w:semiHidden/>
    <w:unhideWhenUsed/>
    <w:rsid w:val="00893D2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moderne">
    <w:name w:val="Table Contemporary"/>
    <w:basedOn w:val="Vanligtabell"/>
    <w:uiPriority w:val="99"/>
    <w:semiHidden/>
    <w:unhideWhenUsed/>
    <w:rsid w:val="00893D2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profesjonell">
    <w:name w:val="Table Professional"/>
    <w:basedOn w:val="Vanligtabell"/>
    <w:uiPriority w:val="99"/>
    <w:semiHidden/>
    <w:unhideWhenUsed/>
    <w:rsid w:val="00893D2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svak1">
    <w:name w:val="Table Subtle 1"/>
    <w:basedOn w:val="Vanligtabell"/>
    <w:uiPriority w:val="99"/>
    <w:semiHidden/>
    <w:unhideWhenUsed/>
    <w:rsid w:val="00893D2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svak2">
    <w:name w:val="Table Subtle 2"/>
    <w:basedOn w:val="Vanligtabell"/>
    <w:uiPriority w:val="99"/>
    <w:semiHidden/>
    <w:unhideWhenUsed/>
    <w:rsid w:val="00893D2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Web1">
    <w:name w:val="Table Web 1"/>
    <w:basedOn w:val="Vanligtabell"/>
    <w:uiPriority w:val="99"/>
    <w:semiHidden/>
    <w:unhideWhenUsed/>
    <w:rsid w:val="00893D2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Web2">
    <w:name w:val="Table Web 2"/>
    <w:basedOn w:val="Vanligtabell"/>
    <w:uiPriority w:val="99"/>
    <w:semiHidden/>
    <w:unhideWhenUsed/>
    <w:rsid w:val="00893D2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Web3">
    <w:name w:val="Table Web 3"/>
    <w:basedOn w:val="Vanligtabell"/>
    <w:uiPriority w:val="99"/>
    <w:semiHidden/>
    <w:unhideWhenUsed/>
    <w:rsid w:val="00893D2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iste1">
    <w:name w:val="Table List 1"/>
    <w:basedOn w:val="Vanligtabell"/>
    <w:uiPriority w:val="99"/>
    <w:semiHidden/>
    <w:unhideWhenUsed/>
    <w:rsid w:val="00893D2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Vanligtabell"/>
    <w:uiPriority w:val="99"/>
    <w:semiHidden/>
    <w:unhideWhenUsed/>
    <w:rsid w:val="00893D2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Vanligtabell"/>
    <w:uiPriority w:val="99"/>
    <w:semiHidden/>
    <w:unhideWhenUsed/>
    <w:rsid w:val="00893D2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Vanligtabell"/>
    <w:uiPriority w:val="99"/>
    <w:semiHidden/>
    <w:unhideWhenUsed/>
    <w:rsid w:val="00893D2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Vanligtabell"/>
    <w:uiPriority w:val="99"/>
    <w:semiHidden/>
    <w:unhideWhenUsed/>
    <w:rsid w:val="00893D2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Vanligtabell"/>
    <w:uiPriority w:val="99"/>
    <w:semiHidden/>
    <w:unhideWhenUsed/>
    <w:rsid w:val="00893D2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Vanligtabell"/>
    <w:uiPriority w:val="99"/>
    <w:semiHidden/>
    <w:unhideWhenUsed/>
    <w:rsid w:val="00893D2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Vanligtabell"/>
    <w:uiPriority w:val="99"/>
    <w:semiHidden/>
    <w:unhideWhenUsed/>
    <w:rsid w:val="00893D2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kolonne1">
    <w:name w:val="Table Columns 1"/>
    <w:basedOn w:val="Vanligtabell"/>
    <w:uiPriority w:val="99"/>
    <w:semiHidden/>
    <w:unhideWhenUsed/>
    <w:rsid w:val="00893D2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olonne2">
    <w:name w:val="Table Columns 2"/>
    <w:basedOn w:val="Vanligtabell"/>
    <w:uiPriority w:val="99"/>
    <w:semiHidden/>
    <w:unhideWhenUsed/>
    <w:rsid w:val="00893D2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olonne3">
    <w:name w:val="Table Columns 3"/>
    <w:basedOn w:val="Vanligtabell"/>
    <w:uiPriority w:val="99"/>
    <w:semiHidden/>
    <w:unhideWhenUsed/>
    <w:rsid w:val="00893D2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kolonne4">
    <w:name w:val="Table Columns 4"/>
    <w:basedOn w:val="Vanligtabell"/>
    <w:uiPriority w:val="99"/>
    <w:semiHidden/>
    <w:unhideWhenUsed/>
    <w:rsid w:val="00893D2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kolonne5">
    <w:name w:val="Table Columns 5"/>
    <w:basedOn w:val="Vanligtabell"/>
    <w:uiPriority w:val="99"/>
    <w:semiHidden/>
    <w:unhideWhenUsed/>
    <w:rsid w:val="00893D2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rutenett">
    <w:name w:val="Table Grid"/>
    <w:basedOn w:val="Vanligtabell"/>
    <w:uiPriority w:val="39"/>
    <w:rsid w:val="00893D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enett1">
    <w:name w:val="Table Grid 1"/>
    <w:basedOn w:val="Vanligtabell"/>
    <w:uiPriority w:val="99"/>
    <w:semiHidden/>
    <w:unhideWhenUsed/>
    <w:rsid w:val="00893D2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enett2">
    <w:name w:val="Table Grid 2"/>
    <w:basedOn w:val="Vanligtabell"/>
    <w:uiPriority w:val="99"/>
    <w:semiHidden/>
    <w:unhideWhenUsed/>
    <w:rsid w:val="00893D2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enett3">
    <w:name w:val="Table Grid 3"/>
    <w:basedOn w:val="Vanligtabell"/>
    <w:uiPriority w:val="99"/>
    <w:semiHidden/>
    <w:unhideWhenUsed/>
    <w:rsid w:val="00893D2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enett4">
    <w:name w:val="Table Grid 4"/>
    <w:basedOn w:val="Vanligtabell"/>
    <w:uiPriority w:val="99"/>
    <w:semiHidden/>
    <w:unhideWhenUsed/>
    <w:rsid w:val="00893D2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enett5">
    <w:name w:val="Table Grid 5"/>
    <w:basedOn w:val="Vanligtabell"/>
    <w:uiPriority w:val="99"/>
    <w:semiHidden/>
    <w:unhideWhenUsed/>
    <w:rsid w:val="00893D2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6">
    <w:name w:val="Table Grid 6"/>
    <w:basedOn w:val="Vanligtabell"/>
    <w:uiPriority w:val="99"/>
    <w:semiHidden/>
    <w:unhideWhenUsed/>
    <w:rsid w:val="00893D2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7">
    <w:name w:val="Table Grid 7"/>
    <w:basedOn w:val="Vanligtabell"/>
    <w:uiPriority w:val="99"/>
    <w:semiHidden/>
    <w:unhideWhenUsed/>
    <w:rsid w:val="00893D2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8">
    <w:name w:val="Table Grid 8"/>
    <w:basedOn w:val="Vanligtabell"/>
    <w:uiPriority w:val="99"/>
    <w:semiHidden/>
    <w:unhideWhenUsed/>
    <w:rsid w:val="00893D2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temaer">
    <w:name w:val="Table Theme"/>
    <w:basedOn w:val="Vanligtabell"/>
    <w:uiPriority w:val="99"/>
    <w:semiHidden/>
    <w:unhideWhenUsed/>
    <w:rsid w:val="00893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tel">
    <w:name w:val="Title"/>
    <w:basedOn w:val="Normal"/>
    <w:next w:val="Normal"/>
    <w:link w:val="TittelTegn"/>
    <w:uiPriority w:val="10"/>
    <w:semiHidden/>
    <w:qFormat/>
    <w:rsid w:val="00893D2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semiHidden/>
    <w:rsid w:val="00D5282D"/>
    <w:rPr>
      <w:rFonts w:asciiTheme="majorHAnsi" w:eastAsiaTheme="majorEastAsia" w:hAnsiTheme="majorHAnsi" w:cstheme="majorBidi"/>
      <w:spacing w:val="-10"/>
      <w:kern w:val="28"/>
      <w:sz w:val="56"/>
      <w:szCs w:val="56"/>
    </w:rPr>
  </w:style>
  <w:style w:type="character" w:styleId="Ulstomtale">
    <w:name w:val="Unresolved Mention"/>
    <w:basedOn w:val="Standardskriftforavsnitt"/>
    <w:uiPriority w:val="99"/>
    <w:unhideWhenUsed/>
    <w:rsid w:val="00893D2C"/>
    <w:rPr>
      <w:color w:val="605E5C"/>
      <w:shd w:val="clear" w:color="auto" w:fill="E1DFDD"/>
    </w:rPr>
  </w:style>
  <w:style w:type="paragraph" w:styleId="Underskrift">
    <w:name w:val="Signature"/>
    <w:basedOn w:val="Normal"/>
    <w:link w:val="UnderskriftTegn"/>
    <w:uiPriority w:val="99"/>
    <w:semiHidden/>
    <w:unhideWhenUsed/>
    <w:rsid w:val="00893D2C"/>
    <w:pPr>
      <w:spacing w:after="0" w:line="240" w:lineRule="auto"/>
      <w:ind w:left="4252"/>
    </w:pPr>
  </w:style>
  <w:style w:type="character" w:customStyle="1" w:styleId="UnderskriftTegn">
    <w:name w:val="Underskrift Tegn"/>
    <w:basedOn w:val="Standardskriftforavsnitt"/>
    <w:link w:val="Underskrift"/>
    <w:uiPriority w:val="99"/>
    <w:semiHidden/>
    <w:rsid w:val="00893D2C"/>
  </w:style>
  <w:style w:type="paragraph" w:styleId="Undertittel">
    <w:name w:val="Subtitle"/>
    <w:basedOn w:val="Normal"/>
    <w:next w:val="Normal"/>
    <w:link w:val="UndertittelTegn"/>
    <w:uiPriority w:val="11"/>
    <w:semiHidden/>
    <w:qFormat/>
    <w:rsid w:val="00893D2C"/>
    <w:pPr>
      <w:numPr>
        <w:ilvl w:val="1"/>
      </w:numPr>
    </w:pPr>
    <w:rPr>
      <w:rFonts w:eastAsiaTheme="minorEastAsia"/>
      <w:color w:val="7D7D62" w:themeColor="text1" w:themeTint="A5"/>
      <w:spacing w:val="15"/>
    </w:rPr>
  </w:style>
  <w:style w:type="character" w:customStyle="1" w:styleId="UndertittelTegn">
    <w:name w:val="Undertittel Tegn"/>
    <w:basedOn w:val="Standardskriftforavsnitt"/>
    <w:link w:val="Undertittel"/>
    <w:uiPriority w:val="11"/>
    <w:semiHidden/>
    <w:rsid w:val="00D5282D"/>
    <w:rPr>
      <w:rFonts w:eastAsiaTheme="minorEastAsia"/>
      <w:color w:val="7D7D62" w:themeColor="text1" w:themeTint="A5"/>
      <w:spacing w:val="15"/>
    </w:rPr>
  </w:style>
  <w:style w:type="character" w:styleId="Utheving">
    <w:name w:val="Emphasis"/>
    <w:basedOn w:val="Standardskriftforavsnitt"/>
    <w:uiPriority w:val="20"/>
    <w:qFormat/>
    <w:rsid w:val="00341F53"/>
    <w:rPr>
      <w:i w:val="0"/>
      <w:iCs/>
      <w:color w:val="262682" w:themeColor="accent1"/>
    </w:rPr>
  </w:style>
  <w:style w:type="paragraph" w:styleId="Vanliginnrykk">
    <w:name w:val="Normal Indent"/>
    <w:basedOn w:val="Normal"/>
    <w:uiPriority w:val="99"/>
    <w:semiHidden/>
    <w:unhideWhenUsed/>
    <w:rsid w:val="00893D2C"/>
    <w:pPr>
      <w:ind w:left="708"/>
    </w:pPr>
  </w:style>
  <w:style w:type="table" w:styleId="Vanligtabell1">
    <w:name w:val="Plain Table 1"/>
    <w:basedOn w:val="Vanligtabell"/>
    <w:uiPriority w:val="41"/>
    <w:rsid w:val="00893D2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anligtabell2">
    <w:name w:val="Plain Table 2"/>
    <w:basedOn w:val="Vanligtabell"/>
    <w:uiPriority w:val="42"/>
    <w:rsid w:val="00893D2C"/>
    <w:pPr>
      <w:spacing w:after="0" w:line="240" w:lineRule="auto"/>
    </w:pPr>
    <w:tblPr>
      <w:tblStyleRowBandSize w:val="1"/>
      <w:tblStyleColBandSize w:val="1"/>
      <w:tblBorders>
        <w:top w:val="single" w:sz="4" w:space="0" w:color="9D9D82" w:themeColor="text1" w:themeTint="80"/>
        <w:bottom w:val="single" w:sz="4" w:space="0" w:color="9D9D82" w:themeColor="text1" w:themeTint="80"/>
      </w:tblBorders>
    </w:tblPr>
    <w:tblStylePr w:type="firstRow">
      <w:rPr>
        <w:b/>
        <w:bCs/>
      </w:rPr>
      <w:tblPr/>
      <w:tcPr>
        <w:tcBorders>
          <w:bottom w:val="single" w:sz="4" w:space="0" w:color="9D9D82" w:themeColor="text1" w:themeTint="80"/>
        </w:tcBorders>
      </w:tcPr>
    </w:tblStylePr>
    <w:tblStylePr w:type="lastRow">
      <w:rPr>
        <w:b/>
        <w:bCs/>
      </w:rPr>
      <w:tblPr/>
      <w:tcPr>
        <w:tcBorders>
          <w:top w:val="single" w:sz="4" w:space="0" w:color="9D9D82" w:themeColor="text1" w:themeTint="80"/>
        </w:tcBorders>
      </w:tcPr>
    </w:tblStylePr>
    <w:tblStylePr w:type="firstCol">
      <w:rPr>
        <w:b/>
        <w:bCs/>
      </w:rPr>
    </w:tblStylePr>
    <w:tblStylePr w:type="lastCol">
      <w:rPr>
        <w:b/>
        <w:bCs/>
      </w:rPr>
    </w:tblStylePr>
    <w:tblStylePr w:type="band1Vert">
      <w:tblPr/>
      <w:tcPr>
        <w:tcBorders>
          <w:left w:val="single" w:sz="4" w:space="0" w:color="9D9D82" w:themeColor="text1" w:themeTint="80"/>
          <w:right w:val="single" w:sz="4" w:space="0" w:color="9D9D82" w:themeColor="text1" w:themeTint="80"/>
        </w:tcBorders>
      </w:tcPr>
    </w:tblStylePr>
    <w:tblStylePr w:type="band2Vert">
      <w:tblPr/>
      <w:tcPr>
        <w:tcBorders>
          <w:left w:val="single" w:sz="4" w:space="0" w:color="9D9D82" w:themeColor="text1" w:themeTint="80"/>
          <w:right w:val="single" w:sz="4" w:space="0" w:color="9D9D82" w:themeColor="text1" w:themeTint="80"/>
        </w:tcBorders>
      </w:tcPr>
    </w:tblStylePr>
    <w:tblStylePr w:type="band1Horz">
      <w:tblPr/>
      <w:tcPr>
        <w:tcBorders>
          <w:top w:val="single" w:sz="4" w:space="0" w:color="9D9D82" w:themeColor="text1" w:themeTint="80"/>
          <w:bottom w:val="single" w:sz="4" w:space="0" w:color="9D9D82" w:themeColor="text1" w:themeTint="80"/>
        </w:tcBorders>
      </w:tcPr>
    </w:tblStylePr>
  </w:style>
  <w:style w:type="table" w:styleId="Vanligtabell3">
    <w:name w:val="Plain Table 3"/>
    <w:basedOn w:val="Vanligtabell"/>
    <w:uiPriority w:val="43"/>
    <w:rsid w:val="00893D2C"/>
    <w:pPr>
      <w:spacing w:after="0" w:line="240" w:lineRule="auto"/>
    </w:pPr>
    <w:tblPr>
      <w:tblStyleRowBandSize w:val="1"/>
      <w:tblStyleColBandSize w:val="1"/>
    </w:tblPr>
    <w:tblStylePr w:type="firstRow">
      <w:rPr>
        <w:b/>
        <w:bCs/>
        <w:caps/>
      </w:rPr>
      <w:tblPr/>
      <w:tcPr>
        <w:tcBorders>
          <w:bottom w:val="single" w:sz="4" w:space="0" w:color="9D9D82"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D9D82"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Vanligtabell4">
    <w:name w:val="Plain Table 4"/>
    <w:basedOn w:val="Vanligtabell"/>
    <w:uiPriority w:val="44"/>
    <w:rsid w:val="00893D2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anligtabell5">
    <w:name w:val="Plain Table 5"/>
    <w:basedOn w:val="Vanligtabell"/>
    <w:uiPriority w:val="45"/>
    <w:rsid w:val="00893D2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D9D82"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D9D82"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D9D82"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D9D82"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Blstrek">
    <w:name w:val="Blå strek"/>
    <w:basedOn w:val="Normal"/>
    <w:next w:val="Normal"/>
    <w:uiPriority w:val="3"/>
    <w:qFormat/>
    <w:rsid w:val="00E10E80"/>
    <w:pPr>
      <w:pBdr>
        <w:top w:val="single" w:sz="4" w:space="1" w:color="262682" w:themeColor="accent1"/>
      </w:pBdr>
      <w:tabs>
        <w:tab w:val="left" w:pos="3400"/>
      </w:tabs>
      <w:spacing w:before="240" w:after="240" w:line="240" w:lineRule="auto"/>
    </w:pPr>
    <w:rPr>
      <w:sz w:val="2"/>
      <w:szCs w:val="2"/>
    </w:rPr>
  </w:style>
  <w:style w:type="paragraph" w:customStyle="1" w:styleId="Oransjestrek">
    <w:name w:val="Oransje strek"/>
    <w:basedOn w:val="Blstrek"/>
    <w:next w:val="Normal"/>
    <w:uiPriority w:val="3"/>
    <w:qFormat/>
    <w:rsid w:val="00E10E80"/>
    <w:pPr>
      <w:pBdr>
        <w:top w:val="none" w:sz="0" w:space="0" w:color="auto"/>
        <w:bottom w:val="single" w:sz="4" w:space="1" w:color="FFB26D" w:themeColor="accent2"/>
      </w:pBdr>
    </w:pPr>
  </w:style>
  <w:style w:type="character" w:customStyle="1" w:styleId="ListeavsnittTegn">
    <w:name w:val="Listeavsnitt Tegn"/>
    <w:basedOn w:val="Standardskriftforavsnitt"/>
    <w:link w:val="Listeavsnitt"/>
    <w:uiPriority w:val="34"/>
    <w:rsid w:val="001F588A"/>
  </w:style>
  <w:style w:type="paragraph" w:customStyle="1" w:styleId="Kulepunkter">
    <w:name w:val="Kulepunkter"/>
    <w:basedOn w:val="Listeavsnitt"/>
    <w:link w:val="KulepunkterTegn"/>
    <w:qFormat/>
    <w:rsid w:val="00C43638"/>
    <w:pPr>
      <w:keepLines/>
      <w:numPr>
        <w:numId w:val="14"/>
      </w:numPr>
      <w:tabs>
        <w:tab w:val="clear" w:pos="2155"/>
      </w:tabs>
      <w:suppressAutoHyphens/>
      <w:spacing w:after="0"/>
      <w:contextualSpacing w:val="0"/>
    </w:pPr>
    <w:rPr>
      <w:rFonts w:ascii="Georgia" w:eastAsia="Calibri" w:hAnsi="Georgia" w:cs="Times New Roman"/>
      <w:sz w:val="20"/>
      <w:szCs w:val="24"/>
      <w:lang w:eastAsia="ar-SA"/>
    </w:rPr>
  </w:style>
  <w:style w:type="character" w:customStyle="1" w:styleId="KulepunkterTegn">
    <w:name w:val="Kulepunkter Tegn"/>
    <w:basedOn w:val="ListeavsnittTegn"/>
    <w:link w:val="Kulepunkter"/>
    <w:rsid w:val="00C43638"/>
    <w:rPr>
      <w:rFonts w:ascii="Georgia" w:eastAsia="Calibri" w:hAnsi="Georgia" w:cs="Times New Roman"/>
      <w:sz w:val="20"/>
      <w:szCs w:val="24"/>
      <w:lang w:eastAsia="ar-SA"/>
    </w:rPr>
  </w:style>
  <w:style w:type="character" w:customStyle="1" w:styleId="normaltextrun">
    <w:name w:val="normaltextrun"/>
    <w:basedOn w:val="Standardskriftforavsnitt"/>
    <w:rsid w:val="009320DB"/>
  </w:style>
  <w:style w:type="character" w:customStyle="1" w:styleId="eop">
    <w:name w:val="eop"/>
    <w:basedOn w:val="Standardskriftforavsnitt"/>
    <w:rsid w:val="009320DB"/>
  </w:style>
  <w:style w:type="paragraph" w:styleId="Revisjon">
    <w:name w:val="Revision"/>
    <w:hidden/>
    <w:uiPriority w:val="99"/>
    <w:semiHidden/>
    <w:rsid w:val="009C6969"/>
    <w:pPr>
      <w:spacing w:after="0" w:line="240" w:lineRule="auto"/>
    </w:pPr>
  </w:style>
  <w:style w:type="paragraph" w:customStyle="1" w:styleId="Default">
    <w:name w:val="Default"/>
    <w:rsid w:val="00EF148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ragraph">
    <w:name w:val="paragraph"/>
    <w:basedOn w:val="Normal"/>
    <w:rsid w:val="003B5377"/>
    <w:pPr>
      <w:tabs>
        <w:tab w:val="clear" w:pos="2155"/>
      </w:tabs>
      <w:spacing w:before="100" w:beforeAutospacing="1" w:after="100" w:afterAutospacing="1" w:line="240" w:lineRule="auto"/>
    </w:pPr>
    <w:rPr>
      <w:rFonts w:ascii="Times New Roman" w:eastAsia="Times New Roman" w:hAnsi="Times New Roman" w:cs="Times New Roman"/>
      <w:sz w:val="24"/>
      <w:szCs w:val="24"/>
      <w:lang w:eastAsia="nb-NO"/>
    </w:rPr>
  </w:style>
  <w:style w:type="paragraph" w:customStyle="1" w:styleId="pf0">
    <w:name w:val="pf0"/>
    <w:basedOn w:val="Normal"/>
    <w:rsid w:val="00382ACF"/>
    <w:pPr>
      <w:tabs>
        <w:tab w:val="clear" w:pos="2155"/>
      </w:tabs>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cf01">
    <w:name w:val="cf01"/>
    <w:basedOn w:val="Standardskriftforavsnitt"/>
    <w:rsid w:val="00382AC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863555">
      <w:bodyDiv w:val="1"/>
      <w:marLeft w:val="0"/>
      <w:marRight w:val="0"/>
      <w:marTop w:val="0"/>
      <w:marBottom w:val="0"/>
      <w:divBdr>
        <w:top w:val="none" w:sz="0" w:space="0" w:color="auto"/>
        <w:left w:val="none" w:sz="0" w:space="0" w:color="auto"/>
        <w:bottom w:val="none" w:sz="0" w:space="0" w:color="auto"/>
        <w:right w:val="none" w:sz="0" w:space="0" w:color="auto"/>
      </w:divBdr>
    </w:div>
    <w:div w:id="247886555">
      <w:bodyDiv w:val="1"/>
      <w:marLeft w:val="0"/>
      <w:marRight w:val="0"/>
      <w:marTop w:val="0"/>
      <w:marBottom w:val="0"/>
      <w:divBdr>
        <w:top w:val="none" w:sz="0" w:space="0" w:color="auto"/>
        <w:left w:val="none" w:sz="0" w:space="0" w:color="auto"/>
        <w:bottom w:val="none" w:sz="0" w:space="0" w:color="auto"/>
        <w:right w:val="none" w:sz="0" w:space="0" w:color="auto"/>
      </w:divBdr>
    </w:div>
    <w:div w:id="298341385">
      <w:bodyDiv w:val="1"/>
      <w:marLeft w:val="0"/>
      <w:marRight w:val="0"/>
      <w:marTop w:val="0"/>
      <w:marBottom w:val="0"/>
      <w:divBdr>
        <w:top w:val="none" w:sz="0" w:space="0" w:color="auto"/>
        <w:left w:val="none" w:sz="0" w:space="0" w:color="auto"/>
        <w:bottom w:val="none" w:sz="0" w:space="0" w:color="auto"/>
        <w:right w:val="none" w:sz="0" w:space="0" w:color="auto"/>
      </w:divBdr>
    </w:div>
    <w:div w:id="494345544">
      <w:bodyDiv w:val="1"/>
      <w:marLeft w:val="0"/>
      <w:marRight w:val="0"/>
      <w:marTop w:val="0"/>
      <w:marBottom w:val="0"/>
      <w:divBdr>
        <w:top w:val="none" w:sz="0" w:space="0" w:color="auto"/>
        <w:left w:val="none" w:sz="0" w:space="0" w:color="auto"/>
        <w:bottom w:val="none" w:sz="0" w:space="0" w:color="auto"/>
        <w:right w:val="none" w:sz="0" w:space="0" w:color="auto"/>
      </w:divBdr>
    </w:div>
    <w:div w:id="623581600">
      <w:bodyDiv w:val="1"/>
      <w:marLeft w:val="0"/>
      <w:marRight w:val="0"/>
      <w:marTop w:val="0"/>
      <w:marBottom w:val="0"/>
      <w:divBdr>
        <w:top w:val="none" w:sz="0" w:space="0" w:color="auto"/>
        <w:left w:val="none" w:sz="0" w:space="0" w:color="auto"/>
        <w:bottom w:val="none" w:sz="0" w:space="0" w:color="auto"/>
        <w:right w:val="none" w:sz="0" w:space="0" w:color="auto"/>
      </w:divBdr>
    </w:div>
    <w:div w:id="714694086">
      <w:bodyDiv w:val="1"/>
      <w:marLeft w:val="0"/>
      <w:marRight w:val="0"/>
      <w:marTop w:val="0"/>
      <w:marBottom w:val="0"/>
      <w:divBdr>
        <w:top w:val="none" w:sz="0" w:space="0" w:color="auto"/>
        <w:left w:val="none" w:sz="0" w:space="0" w:color="auto"/>
        <w:bottom w:val="none" w:sz="0" w:space="0" w:color="auto"/>
        <w:right w:val="none" w:sz="0" w:space="0" w:color="auto"/>
      </w:divBdr>
    </w:div>
    <w:div w:id="774636919">
      <w:bodyDiv w:val="1"/>
      <w:marLeft w:val="0"/>
      <w:marRight w:val="0"/>
      <w:marTop w:val="0"/>
      <w:marBottom w:val="0"/>
      <w:divBdr>
        <w:top w:val="none" w:sz="0" w:space="0" w:color="auto"/>
        <w:left w:val="none" w:sz="0" w:space="0" w:color="auto"/>
        <w:bottom w:val="none" w:sz="0" w:space="0" w:color="auto"/>
        <w:right w:val="none" w:sz="0" w:space="0" w:color="auto"/>
      </w:divBdr>
      <w:divsChild>
        <w:div w:id="847250652">
          <w:marLeft w:val="274"/>
          <w:marRight w:val="0"/>
          <w:marTop w:val="0"/>
          <w:marBottom w:val="0"/>
          <w:divBdr>
            <w:top w:val="none" w:sz="0" w:space="0" w:color="auto"/>
            <w:left w:val="none" w:sz="0" w:space="0" w:color="auto"/>
            <w:bottom w:val="none" w:sz="0" w:space="0" w:color="auto"/>
            <w:right w:val="none" w:sz="0" w:space="0" w:color="auto"/>
          </w:divBdr>
        </w:div>
        <w:div w:id="967777463">
          <w:marLeft w:val="274"/>
          <w:marRight w:val="0"/>
          <w:marTop w:val="0"/>
          <w:marBottom w:val="0"/>
          <w:divBdr>
            <w:top w:val="none" w:sz="0" w:space="0" w:color="auto"/>
            <w:left w:val="none" w:sz="0" w:space="0" w:color="auto"/>
            <w:bottom w:val="none" w:sz="0" w:space="0" w:color="auto"/>
            <w:right w:val="none" w:sz="0" w:space="0" w:color="auto"/>
          </w:divBdr>
        </w:div>
        <w:div w:id="1039471942">
          <w:marLeft w:val="274"/>
          <w:marRight w:val="0"/>
          <w:marTop w:val="0"/>
          <w:marBottom w:val="0"/>
          <w:divBdr>
            <w:top w:val="none" w:sz="0" w:space="0" w:color="auto"/>
            <w:left w:val="none" w:sz="0" w:space="0" w:color="auto"/>
            <w:bottom w:val="none" w:sz="0" w:space="0" w:color="auto"/>
            <w:right w:val="none" w:sz="0" w:space="0" w:color="auto"/>
          </w:divBdr>
        </w:div>
        <w:div w:id="1668482094">
          <w:marLeft w:val="274"/>
          <w:marRight w:val="0"/>
          <w:marTop w:val="0"/>
          <w:marBottom w:val="0"/>
          <w:divBdr>
            <w:top w:val="none" w:sz="0" w:space="0" w:color="auto"/>
            <w:left w:val="none" w:sz="0" w:space="0" w:color="auto"/>
            <w:bottom w:val="none" w:sz="0" w:space="0" w:color="auto"/>
            <w:right w:val="none" w:sz="0" w:space="0" w:color="auto"/>
          </w:divBdr>
        </w:div>
        <w:div w:id="1691570459">
          <w:marLeft w:val="274"/>
          <w:marRight w:val="0"/>
          <w:marTop w:val="0"/>
          <w:marBottom w:val="0"/>
          <w:divBdr>
            <w:top w:val="none" w:sz="0" w:space="0" w:color="auto"/>
            <w:left w:val="none" w:sz="0" w:space="0" w:color="auto"/>
            <w:bottom w:val="none" w:sz="0" w:space="0" w:color="auto"/>
            <w:right w:val="none" w:sz="0" w:space="0" w:color="auto"/>
          </w:divBdr>
        </w:div>
      </w:divsChild>
    </w:div>
    <w:div w:id="987244218">
      <w:bodyDiv w:val="1"/>
      <w:marLeft w:val="0"/>
      <w:marRight w:val="0"/>
      <w:marTop w:val="0"/>
      <w:marBottom w:val="0"/>
      <w:divBdr>
        <w:top w:val="none" w:sz="0" w:space="0" w:color="auto"/>
        <w:left w:val="none" w:sz="0" w:space="0" w:color="auto"/>
        <w:bottom w:val="none" w:sz="0" w:space="0" w:color="auto"/>
        <w:right w:val="none" w:sz="0" w:space="0" w:color="auto"/>
      </w:divBdr>
    </w:div>
    <w:div w:id="1114128873">
      <w:bodyDiv w:val="1"/>
      <w:marLeft w:val="0"/>
      <w:marRight w:val="0"/>
      <w:marTop w:val="0"/>
      <w:marBottom w:val="0"/>
      <w:divBdr>
        <w:top w:val="none" w:sz="0" w:space="0" w:color="auto"/>
        <w:left w:val="none" w:sz="0" w:space="0" w:color="auto"/>
        <w:bottom w:val="none" w:sz="0" w:space="0" w:color="auto"/>
        <w:right w:val="none" w:sz="0" w:space="0" w:color="auto"/>
      </w:divBdr>
    </w:div>
    <w:div w:id="1288704891">
      <w:bodyDiv w:val="1"/>
      <w:marLeft w:val="0"/>
      <w:marRight w:val="0"/>
      <w:marTop w:val="0"/>
      <w:marBottom w:val="0"/>
      <w:divBdr>
        <w:top w:val="none" w:sz="0" w:space="0" w:color="auto"/>
        <w:left w:val="none" w:sz="0" w:space="0" w:color="auto"/>
        <w:bottom w:val="none" w:sz="0" w:space="0" w:color="auto"/>
        <w:right w:val="none" w:sz="0" w:space="0" w:color="auto"/>
      </w:divBdr>
      <w:divsChild>
        <w:div w:id="729157912">
          <w:marLeft w:val="0"/>
          <w:marRight w:val="0"/>
          <w:marTop w:val="0"/>
          <w:marBottom w:val="0"/>
          <w:divBdr>
            <w:top w:val="none" w:sz="0" w:space="0" w:color="auto"/>
            <w:left w:val="none" w:sz="0" w:space="0" w:color="auto"/>
            <w:bottom w:val="none" w:sz="0" w:space="0" w:color="auto"/>
            <w:right w:val="none" w:sz="0" w:space="0" w:color="auto"/>
          </w:divBdr>
        </w:div>
        <w:div w:id="899637081">
          <w:marLeft w:val="0"/>
          <w:marRight w:val="0"/>
          <w:marTop w:val="0"/>
          <w:marBottom w:val="0"/>
          <w:divBdr>
            <w:top w:val="none" w:sz="0" w:space="0" w:color="auto"/>
            <w:left w:val="none" w:sz="0" w:space="0" w:color="auto"/>
            <w:bottom w:val="none" w:sz="0" w:space="0" w:color="auto"/>
            <w:right w:val="none" w:sz="0" w:space="0" w:color="auto"/>
          </w:divBdr>
        </w:div>
        <w:div w:id="1886596673">
          <w:marLeft w:val="0"/>
          <w:marRight w:val="0"/>
          <w:marTop w:val="0"/>
          <w:marBottom w:val="0"/>
          <w:divBdr>
            <w:top w:val="none" w:sz="0" w:space="0" w:color="auto"/>
            <w:left w:val="none" w:sz="0" w:space="0" w:color="auto"/>
            <w:bottom w:val="none" w:sz="0" w:space="0" w:color="auto"/>
            <w:right w:val="none" w:sz="0" w:space="0" w:color="auto"/>
          </w:divBdr>
        </w:div>
        <w:div w:id="1904290817">
          <w:marLeft w:val="0"/>
          <w:marRight w:val="0"/>
          <w:marTop w:val="0"/>
          <w:marBottom w:val="0"/>
          <w:divBdr>
            <w:top w:val="none" w:sz="0" w:space="0" w:color="auto"/>
            <w:left w:val="none" w:sz="0" w:space="0" w:color="auto"/>
            <w:bottom w:val="none" w:sz="0" w:space="0" w:color="auto"/>
            <w:right w:val="none" w:sz="0" w:space="0" w:color="auto"/>
          </w:divBdr>
          <w:divsChild>
            <w:div w:id="38557146">
              <w:marLeft w:val="0"/>
              <w:marRight w:val="0"/>
              <w:marTop w:val="0"/>
              <w:marBottom w:val="0"/>
              <w:divBdr>
                <w:top w:val="none" w:sz="0" w:space="0" w:color="auto"/>
                <w:left w:val="none" w:sz="0" w:space="0" w:color="auto"/>
                <w:bottom w:val="none" w:sz="0" w:space="0" w:color="auto"/>
                <w:right w:val="none" w:sz="0" w:space="0" w:color="auto"/>
              </w:divBdr>
            </w:div>
            <w:div w:id="192159535">
              <w:marLeft w:val="0"/>
              <w:marRight w:val="0"/>
              <w:marTop w:val="0"/>
              <w:marBottom w:val="0"/>
              <w:divBdr>
                <w:top w:val="none" w:sz="0" w:space="0" w:color="auto"/>
                <w:left w:val="none" w:sz="0" w:space="0" w:color="auto"/>
                <w:bottom w:val="none" w:sz="0" w:space="0" w:color="auto"/>
                <w:right w:val="none" w:sz="0" w:space="0" w:color="auto"/>
              </w:divBdr>
            </w:div>
            <w:div w:id="386341734">
              <w:marLeft w:val="0"/>
              <w:marRight w:val="0"/>
              <w:marTop w:val="0"/>
              <w:marBottom w:val="0"/>
              <w:divBdr>
                <w:top w:val="none" w:sz="0" w:space="0" w:color="auto"/>
                <w:left w:val="none" w:sz="0" w:space="0" w:color="auto"/>
                <w:bottom w:val="none" w:sz="0" w:space="0" w:color="auto"/>
                <w:right w:val="none" w:sz="0" w:space="0" w:color="auto"/>
              </w:divBdr>
            </w:div>
            <w:div w:id="98955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906907">
      <w:bodyDiv w:val="1"/>
      <w:marLeft w:val="0"/>
      <w:marRight w:val="0"/>
      <w:marTop w:val="0"/>
      <w:marBottom w:val="0"/>
      <w:divBdr>
        <w:top w:val="none" w:sz="0" w:space="0" w:color="auto"/>
        <w:left w:val="none" w:sz="0" w:space="0" w:color="auto"/>
        <w:bottom w:val="none" w:sz="0" w:space="0" w:color="auto"/>
        <w:right w:val="none" w:sz="0" w:space="0" w:color="auto"/>
      </w:divBdr>
    </w:div>
    <w:div w:id="1559051404">
      <w:bodyDiv w:val="1"/>
      <w:marLeft w:val="0"/>
      <w:marRight w:val="0"/>
      <w:marTop w:val="0"/>
      <w:marBottom w:val="0"/>
      <w:divBdr>
        <w:top w:val="none" w:sz="0" w:space="0" w:color="auto"/>
        <w:left w:val="none" w:sz="0" w:space="0" w:color="auto"/>
        <w:bottom w:val="none" w:sz="0" w:space="0" w:color="auto"/>
        <w:right w:val="none" w:sz="0" w:space="0" w:color="auto"/>
      </w:divBdr>
    </w:div>
    <w:div w:id="1569270152">
      <w:bodyDiv w:val="1"/>
      <w:marLeft w:val="0"/>
      <w:marRight w:val="0"/>
      <w:marTop w:val="0"/>
      <w:marBottom w:val="0"/>
      <w:divBdr>
        <w:top w:val="none" w:sz="0" w:space="0" w:color="auto"/>
        <w:left w:val="none" w:sz="0" w:space="0" w:color="auto"/>
        <w:bottom w:val="none" w:sz="0" w:space="0" w:color="auto"/>
        <w:right w:val="none" w:sz="0" w:space="0" w:color="auto"/>
      </w:divBdr>
    </w:div>
    <w:div w:id="1650939718">
      <w:bodyDiv w:val="1"/>
      <w:marLeft w:val="0"/>
      <w:marRight w:val="0"/>
      <w:marTop w:val="0"/>
      <w:marBottom w:val="0"/>
      <w:divBdr>
        <w:top w:val="none" w:sz="0" w:space="0" w:color="auto"/>
        <w:left w:val="none" w:sz="0" w:space="0" w:color="auto"/>
        <w:bottom w:val="none" w:sz="0" w:space="0" w:color="auto"/>
        <w:right w:val="none" w:sz="0" w:space="0" w:color="auto"/>
      </w:divBdr>
    </w:div>
    <w:div w:id="1778328093">
      <w:bodyDiv w:val="1"/>
      <w:marLeft w:val="0"/>
      <w:marRight w:val="0"/>
      <w:marTop w:val="0"/>
      <w:marBottom w:val="0"/>
      <w:divBdr>
        <w:top w:val="none" w:sz="0" w:space="0" w:color="auto"/>
        <w:left w:val="none" w:sz="0" w:space="0" w:color="auto"/>
        <w:bottom w:val="none" w:sz="0" w:space="0" w:color="auto"/>
        <w:right w:val="none" w:sz="0" w:space="0" w:color="auto"/>
      </w:divBdr>
    </w:div>
    <w:div w:id="1928927509">
      <w:bodyDiv w:val="1"/>
      <w:marLeft w:val="0"/>
      <w:marRight w:val="0"/>
      <w:marTop w:val="0"/>
      <w:marBottom w:val="0"/>
      <w:divBdr>
        <w:top w:val="none" w:sz="0" w:space="0" w:color="auto"/>
        <w:left w:val="none" w:sz="0" w:space="0" w:color="auto"/>
        <w:bottom w:val="none" w:sz="0" w:space="0" w:color="auto"/>
        <w:right w:val="none" w:sz="0" w:space="0" w:color="auto"/>
      </w:divBdr>
    </w:div>
    <w:div w:id="1952665745">
      <w:bodyDiv w:val="1"/>
      <w:marLeft w:val="0"/>
      <w:marRight w:val="0"/>
      <w:marTop w:val="0"/>
      <w:marBottom w:val="0"/>
      <w:divBdr>
        <w:top w:val="none" w:sz="0" w:space="0" w:color="auto"/>
        <w:left w:val="none" w:sz="0" w:space="0" w:color="auto"/>
        <w:bottom w:val="none" w:sz="0" w:space="0" w:color="auto"/>
        <w:right w:val="none" w:sz="0" w:space="0" w:color="auto"/>
      </w:divBdr>
    </w:div>
    <w:div w:id="1961719467">
      <w:bodyDiv w:val="1"/>
      <w:marLeft w:val="0"/>
      <w:marRight w:val="0"/>
      <w:marTop w:val="0"/>
      <w:marBottom w:val="0"/>
      <w:divBdr>
        <w:top w:val="none" w:sz="0" w:space="0" w:color="auto"/>
        <w:left w:val="none" w:sz="0" w:space="0" w:color="auto"/>
        <w:bottom w:val="none" w:sz="0" w:space="0" w:color="auto"/>
        <w:right w:val="none" w:sz="0" w:space="0" w:color="auto"/>
      </w:divBdr>
    </w:div>
    <w:div w:id="2007123403">
      <w:bodyDiv w:val="1"/>
      <w:marLeft w:val="0"/>
      <w:marRight w:val="0"/>
      <w:marTop w:val="0"/>
      <w:marBottom w:val="0"/>
      <w:divBdr>
        <w:top w:val="none" w:sz="0" w:space="0" w:color="auto"/>
        <w:left w:val="none" w:sz="0" w:space="0" w:color="auto"/>
        <w:bottom w:val="none" w:sz="0" w:space="0" w:color="auto"/>
        <w:right w:val="none" w:sz="0" w:space="0" w:color="auto"/>
      </w:divBdr>
      <w:divsChild>
        <w:div w:id="377553716">
          <w:marLeft w:val="0"/>
          <w:marRight w:val="0"/>
          <w:marTop w:val="0"/>
          <w:marBottom w:val="0"/>
          <w:divBdr>
            <w:top w:val="none" w:sz="0" w:space="0" w:color="auto"/>
            <w:left w:val="none" w:sz="0" w:space="0" w:color="auto"/>
            <w:bottom w:val="none" w:sz="0" w:space="0" w:color="auto"/>
            <w:right w:val="none" w:sz="0" w:space="0" w:color="auto"/>
          </w:divBdr>
        </w:div>
        <w:div w:id="505562335">
          <w:marLeft w:val="0"/>
          <w:marRight w:val="0"/>
          <w:marTop w:val="0"/>
          <w:marBottom w:val="0"/>
          <w:divBdr>
            <w:top w:val="none" w:sz="0" w:space="0" w:color="auto"/>
            <w:left w:val="none" w:sz="0" w:space="0" w:color="auto"/>
            <w:bottom w:val="none" w:sz="0" w:space="0" w:color="auto"/>
            <w:right w:val="none" w:sz="0" w:space="0" w:color="auto"/>
          </w:divBdr>
        </w:div>
        <w:div w:id="1187787113">
          <w:marLeft w:val="0"/>
          <w:marRight w:val="0"/>
          <w:marTop w:val="0"/>
          <w:marBottom w:val="0"/>
          <w:divBdr>
            <w:top w:val="none" w:sz="0" w:space="0" w:color="auto"/>
            <w:left w:val="none" w:sz="0" w:space="0" w:color="auto"/>
            <w:bottom w:val="none" w:sz="0" w:space="0" w:color="auto"/>
            <w:right w:val="none" w:sz="0" w:space="0" w:color="auto"/>
          </w:divBdr>
        </w:div>
        <w:div w:id="1249147889">
          <w:marLeft w:val="0"/>
          <w:marRight w:val="0"/>
          <w:marTop w:val="0"/>
          <w:marBottom w:val="0"/>
          <w:divBdr>
            <w:top w:val="none" w:sz="0" w:space="0" w:color="auto"/>
            <w:left w:val="none" w:sz="0" w:space="0" w:color="auto"/>
            <w:bottom w:val="none" w:sz="0" w:space="0" w:color="auto"/>
            <w:right w:val="none" w:sz="0" w:space="0" w:color="auto"/>
          </w:divBdr>
        </w:div>
        <w:div w:id="1912813563">
          <w:marLeft w:val="0"/>
          <w:marRight w:val="0"/>
          <w:marTop w:val="0"/>
          <w:marBottom w:val="0"/>
          <w:divBdr>
            <w:top w:val="none" w:sz="0" w:space="0" w:color="auto"/>
            <w:left w:val="none" w:sz="0" w:space="0" w:color="auto"/>
            <w:bottom w:val="none" w:sz="0" w:space="0" w:color="auto"/>
            <w:right w:val="none" w:sz="0" w:space="0" w:color="auto"/>
          </w:divBdr>
        </w:div>
      </w:divsChild>
    </w:div>
    <w:div w:id="2037542847">
      <w:bodyDiv w:val="1"/>
      <w:marLeft w:val="0"/>
      <w:marRight w:val="0"/>
      <w:marTop w:val="0"/>
      <w:marBottom w:val="0"/>
      <w:divBdr>
        <w:top w:val="none" w:sz="0" w:space="0" w:color="auto"/>
        <w:left w:val="none" w:sz="0" w:space="0" w:color="auto"/>
        <w:bottom w:val="none" w:sz="0" w:space="0" w:color="auto"/>
        <w:right w:val="none" w:sz="0" w:space="0" w:color="auto"/>
      </w:divBdr>
    </w:div>
    <w:div w:id="2057970904">
      <w:bodyDiv w:val="1"/>
      <w:marLeft w:val="0"/>
      <w:marRight w:val="0"/>
      <w:marTop w:val="0"/>
      <w:marBottom w:val="0"/>
      <w:divBdr>
        <w:top w:val="none" w:sz="0" w:space="0" w:color="auto"/>
        <w:left w:val="none" w:sz="0" w:space="0" w:color="auto"/>
        <w:bottom w:val="none" w:sz="0" w:space="0" w:color="auto"/>
        <w:right w:val="none" w:sz="0" w:space="0" w:color="auto"/>
      </w:divBdr>
      <w:divsChild>
        <w:div w:id="120540436">
          <w:marLeft w:val="720"/>
          <w:marRight w:val="0"/>
          <w:marTop w:val="200"/>
          <w:marBottom w:val="0"/>
          <w:divBdr>
            <w:top w:val="none" w:sz="0" w:space="0" w:color="auto"/>
            <w:left w:val="none" w:sz="0" w:space="0" w:color="auto"/>
            <w:bottom w:val="none" w:sz="0" w:space="0" w:color="auto"/>
            <w:right w:val="none" w:sz="0" w:space="0" w:color="auto"/>
          </w:divBdr>
        </w:div>
        <w:div w:id="488715360">
          <w:marLeft w:val="720"/>
          <w:marRight w:val="0"/>
          <w:marTop w:val="200"/>
          <w:marBottom w:val="0"/>
          <w:divBdr>
            <w:top w:val="none" w:sz="0" w:space="0" w:color="auto"/>
            <w:left w:val="none" w:sz="0" w:space="0" w:color="auto"/>
            <w:bottom w:val="none" w:sz="0" w:space="0" w:color="auto"/>
            <w:right w:val="none" w:sz="0" w:space="0" w:color="auto"/>
          </w:divBdr>
        </w:div>
        <w:div w:id="848984000">
          <w:marLeft w:val="720"/>
          <w:marRight w:val="0"/>
          <w:marTop w:val="200"/>
          <w:marBottom w:val="0"/>
          <w:divBdr>
            <w:top w:val="none" w:sz="0" w:space="0" w:color="auto"/>
            <w:left w:val="none" w:sz="0" w:space="0" w:color="auto"/>
            <w:bottom w:val="none" w:sz="0" w:space="0" w:color="auto"/>
            <w:right w:val="none" w:sz="0" w:space="0" w:color="auto"/>
          </w:divBdr>
        </w:div>
        <w:div w:id="884946988">
          <w:marLeft w:val="720"/>
          <w:marRight w:val="0"/>
          <w:marTop w:val="200"/>
          <w:marBottom w:val="0"/>
          <w:divBdr>
            <w:top w:val="none" w:sz="0" w:space="0" w:color="auto"/>
            <w:left w:val="none" w:sz="0" w:space="0" w:color="auto"/>
            <w:bottom w:val="none" w:sz="0" w:space="0" w:color="auto"/>
            <w:right w:val="none" w:sz="0" w:space="0" w:color="auto"/>
          </w:divBdr>
        </w:div>
        <w:div w:id="988173788">
          <w:marLeft w:val="720"/>
          <w:marRight w:val="0"/>
          <w:marTop w:val="200"/>
          <w:marBottom w:val="0"/>
          <w:divBdr>
            <w:top w:val="none" w:sz="0" w:space="0" w:color="auto"/>
            <w:left w:val="none" w:sz="0" w:space="0" w:color="auto"/>
            <w:bottom w:val="none" w:sz="0" w:space="0" w:color="auto"/>
            <w:right w:val="none" w:sz="0" w:space="0" w:color="auto"/>
          </w:divBdr>
        </w:div>
        <w:div w:id="1124730340">
          <w:marLeft w:val="720"/>
          <w:marRight w:val="0"/>
          <w:marTop w:val="200"/>
          <w:marBottom w:val="0"/>
          <w:divBdr>
            <w:top w:val="none" w:sz="0" w:space="0" w:color="auto"/>
            <w:left w:val="none" w:sz="0" w:space="0" w:color="auto"/>
            <w:bottom w:val="none" w:sz="0" w:space="0" w:color="auto"/>
            <w:right w:val="none" w:sz="0" w:space="0" w:color="auto"/>
          </w:divBdr>
        </w:div>
        <w:div w:id="1129543468">
          <w:marLeft w:val="720"/>
          <w:marRight w:val="0"/>
          <w:marTop w:val="200"/>
          <w:marBottom w:val="0"/>
          <w:divBdr>
            <w:top w:val="none" w:sz="0" w:space="0" w:color="auto"/>
            <w:left w:val="none" w:sz="0" w:space="0" w:color="auto"/>
            <w:bottom w:val="none" w:sz="0" w:space="0" w:color="auto"/>
            <w:right w:val="none" w:sz="0" w:space="0" w:color="auto"/>
          </w:divBdr>
        </w:div>
        <w:div w:id="1346902988">
          <w:marLeft w:val="720"/>
          <w:marRight w:val="0"/>
          <w:marTop w:val="200"/>
          <w:marBottom w:val="0"/>
          <w:divBdr>
            <w:top w:val="none" w:sz="0" w:space="0" w:color="auto"/>
            <w:left w:val="none" w:sz="0" w:space="0" w:color="auto"/>
            <w:bottom w:val="none" w:sz="0" w:space="0" w:color="auto"/>
            <w:right w:val="none" w:sz="0" w:space="0" w:color="auto"/>
          </w:divBdr>
        </w:div>
        <w:div w:id="1981960592">
          <w:marLeft w:val="720"/>
          <w:marRight w:val="0"/>
          <w:marTop w:val="200"/>
          <w:marBottom w:val="0"/>
          <w:divBdr>
            <w:top w:val="none" w:sz="0" w:space="0" w:color="auto"/>
            <w:left w:val="none" w:sz="0" w:space="0" w:color="auto"/>
            <w:bottom w:val="none" w:sz="0" w:space="0" w:color="auto"/>
            <w:right w:val="none" w:sz="0" w:space="0" w:color="auto"/>
          </w:divBdr>
        </w:div>
      </w:divsChild>
    </w:div>
    <w:div w:id="2089189237">
      <w:bodyDiv w:val="1"/>
      <w:marLeft w:val="0"/>
      <w:marRight w:val="0"/>
      <w:marTop w:val="0"/>
      <w:marBottom w:val="0"/>
      <w:divBdr>
        <w:top w:val="none" w:sz="0" w:space="0" w:color="auto"/>
        <w:left w:val="none" w:sz="0" w:space="0" w:color="auto"/>
        <w:bottom w:val="none" w:sz="0" w:space="0" w:color="auto"/>
        <w:right w:val="none" w:sz="0" w:space="0" w:color="auto"/>
      </w:divBdr>
    </w:div>
    <w:div w:id="2112509806">
      <w:bodyDiv w:val="1"/>
      <w:marLeft w:val="0"/>
      <w:marRight w:val="0"/>
      <w:marTop w:val="0"/>
      <w:marBottom w:val="0"/>
      <w:divBdr>
        <w:top w:val="none" w:sz="0" w:space="0" w:color="auto"/>
        <w:left w:val="none" w:sz="0" w:space="0" w:color="auto"/>
        <w:bottom w:val="none" w:sz="0" w:space="0" w:color="auto"/>
        <w:right w:val="none" w:sz="0" w:space="0" w:color="auto"/>
      </w:divBdr>
    </w:div>
    <w:div w:id="2118787602">
      <w:bodyDiv w:val="1"/>
      <w:marLeft w:val="0"/>
      <w:marRight w:val="0"/>
      <w:marTop w:val="0"/>
      <w:marBottom w:val="0"/>
      <w:divBdr>
        <w:top w:val="none" w:sz="0" w:space="0" w:color="auto"/>
        <w:left w:val="none" w:sz="0" w:space="0" w:color="auto"/>
        <w:bottom w:val="none" w:sz="0" w:space="0" w:color="auto"/>
        <w:right w:val="none" w:sz="0" w:space="0" w:color="auto"/>
      </w:divBdr>
    </w:div>
    <w:div w:id="2132244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kademikerne.s3.amazonaws.com/Menon-rapport-St%C3%B8rrelse-teller.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menon.no/publication/oppdragsformer-i-radgivernaeringe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akademikerne.no/politikk/policydokumenter"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hyperlink" Target="https://www.regjeringen.no/contentassets/56f57d5936c24f56bb62ceebd250d3d0/saraldersgrenser-for-og-na-og-en-vurdering-av-det-framtidige-behovet.-arbeidsgrupperapport-juni-2023.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amfunnsokonomisk-analyse.no/nye-prosjekter/2024/4/10/studiestttens-kjpekraft"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ildeJ&#229;sund\Akademikerne\Akademikerne%20-%20Dokumenter\Maler\Nye%20maler\Standardm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85302323CC4E2FA956B082C5B2A714"/>
        <w:category>
          <w:name w:val="Generelt"/>
          <w:gallery w:val="placeholder"/>
        </w:category>
        <w:types>
          <w:type w:val="bbPlcHdr"/>
        </w:types>
        <w:behaviors>
          <w:behavior w:val="content"/>
        </w:behaviors>
        <w:guid w:val="{27E79A80-0A1F-4B71-A36E-4B7E61C520D4}"/>
      </w:docPartPr>
      <w:docPartBody>
        <w:p w:rsidR="005C4B88" w:rsidRDefault="00187F1D">
          <w:pPr>
            <w:pStyle w:val="9485302323CC4E2FA956B082C5B2A714"/>
          </w:pPr>
          <w:r w:rsidRPr="00000866">
            <w:t>[Overskrift]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haroni">
    <w:charset w:val="B1"/>
    <w:family w:val="auto"/>
    <w:pitch w:val="variable"/>
    <w:sig w:usb0="00000803" w:usb1="00000000" w:usb2="00000000" w:usb3="00000000" w:csb0="00000021"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F1D"/>
    <w:rsid w:val="0000767D"/>
    <w:rsid w:val="00015A1F"/>
    <w:rsid w:val="000203C2"/>
    <w:rsid w:val="00031E78"/>
    <w:rsid w:val="000344D9"/>
    <w:rsid w:val="00040FF8"/>
    <w:rsid w:val="0005529C"/>
    <w:rsid w:val="000623B8"/>
    <w:rsid w:val="00062F94"/>
    <w:rsid w:val="00066C8B"/>
    <w:rsid w:val="00091F6D"/>
    <w:rsid w:val="000A5D16"/>
    <w:rsid w:val="000B0630"/>
    <w:rsid w:val="000F7086"/>
    <w:rsid w:val="00104B1B"/>
    <w:rsid w:val="00125A4C"/>
    <w:rsid w:val="001667DD"/>
    <w:rsid w:val="00171CCD"/>
    <w:rsid w:val="001754BA"/>
    <w:rsid w:val="00187F1D"/>
    <w:rsid w:val="001A59D5"/>
    <w:rsid w:val="001B03AB"/>
    <w:rsid w:val="001B5F63"/>
    <w:rsid w:val="001E5F11"/>
    <w:rsid w:val="001F564E"/>
    <w:rsid w:val="00206B78"/>
    <w:rsid w:val="002131B2"/>
    <w:rsid w:val="00215644"/>
    <w:rsid w:val="00234072"/>
    <w:rsid w:val="00252AE3"/>
    <w:rsid w:val="00255635"/>
    <w:rsid w:val="00273EE5"/>
    <w:rsid w:val="0027665F"/>
    <w:rsid w:val="0028403D"/>
    <w:rsid w:val="00291A38"/>
    <w:rsid w:val="002A5D20"/>
    <w:rsid w:val="002A787D"/>
    <w:rsid w:val="00332B9C"/>
    <w:rsid w:val="00340682"/>
    <w:rsid w:val="003503DD"/>
    <w:rsid w:val="00362349"/>
    <w:rsid w:val="00363057"/>
    <w:rsid w:val="003751D1"/>
    <w:rsid w:val="00380037"/>
    <w:rsid w:val="00380C71"/>
    <w:rsid w:val="003A1C82"/>
    <w:rsid w:val="003C5FF1"/>
    <w:rsid w:val="004077DF"/>
    <w:rsid w:val="004132CC"/>
    <w:rsid w:val="004657F2"/>
    <w:rsid w:val="00466B76"/>
    <w:rsid w:val="00494FC0"/>
    <w:rsid w:val="0049619E"/>
    <w:rsid w:val="004B2331"/>
    <w:rsid w:val="004C3F1B"/>
    <w:rsid w:val="004F1AE1"/>
    <w:rsid w:val="00507F59"/>
    <w:rsid w:val="00533D86"/>
    <w:rsid w:val="0056753B"/>
    <w:rsid w:val="00580C85"/>
    <w:rsid w:val="0058181F"/>
    <w:rsid w:val="0058486C"/>
    <w:rsid w:val="005936CE"/>
    <w:rsid w:val="0059441E"/>
    <w:rsid w:val="005C4B88"/>
    <w:rsid w:val="005C58C5"/>
    <w:rsid w:val="005E050C"/>
    <w:rsid w:val="005F50D5"/>
    <w:rsid w:val="00603F06"/>
    <w:rsid w:val="00613E91"/>
    <w:rsid w:val="00620AD4"/>
    <w:rsid w:val="00623841"/>
    <w:rsid w:val="00626B24"/>
    <w:rsid w:val="006307AE"/>
    <w:rsid w:val="00640335"/>
    <w:rsid w:val="00683BE6"/>
    <w:rsid w:val="006D6945"/>
    <w:rsid w:val="00701B85"/>
    <w:rsid w:val="00703402"/>
    <w:rsid w:val="007073BD"/>
    <w:rsid w:val="007457E5"/>
    <w:rsid w:val="00750CCB"/>
    <w:rsid w:val="007567DC"/>
    <w:rsid w:val="007778CA"/>
    <w:rsid w:val="00794A97"/>
    <w:rsid w:val="007B38F3"/>
    <w:rsid w:val="007E7E9F"/>
    <w:rsid w:val="007F146D"/>
    <w:rsid w:val="00804B06"/>
    <w:rsid w:val="00806B94"/>
    <w:rsid w:val="008262A2"/>
    <w:rsid w:val="00871E8E"/>
    <w:rsid w:val="00886991"/>
    <w:rsid w:val="00891FD6"/>
    <w:rsid w:val="008938C5"/>
    <w:rsid w:val="0089729F"/>
    <w:rsid w:val="008B1009"/>
    <w:rsid w:val="008B1AAC"/>
    <w:rsid w:val="008B2F34"/>
    <w:rsid w:val="008F7014"/>
    <w:rsid w:val="009315A1"/>
    <w:rsid w:val="009446F6"/>
    <w:rsid w:val="0095705F"/>
    <w:rsid w:val="009768B6"/>
    <w:rsid w:val="009C2C2C"/>
    <w:rsid w:val="009D3654"/>
    <w:rsid w:val="009D7D18"/>
    <w:rsid w:val="00A13D91"/>
    <w:rsid w:val="00A422B4"/>
    <w:rsid w:val="00A43500"/>
    <w:rsid w:val="00A52D21"/>
    <w:rsid w:val="00A834D9"/>
    <w:rsid w:val="00AA1C94"/>
    <w:rsid w:val="00AA31F4"/>
    <w:rsid w:val="00AA5D8F"/>
    <w:rsid w:val="00AA7E74"/>
    <w:rsid w:val="00AB378C"/>
    <w:rsid w:val="00AB5ECF"/>
    <w:rsid w:val="00AE6479"/>
    <w:rsid w:val="00B235E2"/>
    <w:rsid w:val="00B56EBF"/>
    <w:rsid w:val="00B82CC5"/>
    <w:rsid w:val="00B84C34"/>
    <w:rsid w:val="00BC04FC"/>
    <w:rsid w:val="00BD031C"/>
    <w:rsid w:val="00C2790E"/>
    <w:rsid w:val="00C35CDB"/>
    <w:rsid w:val="00C53217"/>
    <w:rsid w:val="00C56E64"/>
    <w:rsid w:val="00C711DA"/>
    <w:rsid w:val="00C85211"/>
    <w:rsid w:val="00C93997"/>
    <w:rsid w:val="00CC0F3D"/>
    <w:rsid w:val="00CC1FC1"/>
    <w:rsid w:val="00CD59A5"/>
    <w:rsid w:val="00CE2860"/>
    <w:rsid w:val="00CE5151"/>
    <w:rsid w:val="00D003DF"/>
    <w:rsid w:val="00D14B99"/>
    <w:rsid w:val="00D16B3C"/>
    <w:rsid w:val="00D34BA0"/>
    <w:rsid w:val="00D50158"/>
    <w:rsid w:val="00D67A4E"/>
    <w:rsid w:val="00D77FAD"/>
    <w:rsid w:val="00D837AE"/>
    <w:rsid w:val="00D90985"/>
    <w:rsid w:val="00DA3B7E"/>
    <w:rsid w:val="00DB7D2C"/>
    <w:rsid w:val="00DC27AF"/>
    <w:rsid w:val="00DD523B"/>
    <w:rsid w:val="00E2755C"/>
    <w:rsid w:val="00E52C65"/>
    <w:rsid w:val="00E60453"/>
    <w:rsid w:val="00E67573"/>
    <w:rsid w:val="00E76ED6"/>
    <w:rsid w:val="00ED0802"/>
    <w:rsid w:val="00F44AF2"/>
    <w:rsid w:val="00F543DA"/>
    <w:rsid w:val="00FA3A2A"/>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Pr>
      <w:color w:val="808080"/>
    </w:rPr>
  </w:style>
  <w:style w:type="paragraph" w:customStyle="1" w:styleId="9485302323CC4E2FA956B082C5B2A714">
    <w:name w:val="9485302323CC4E2FA956B082C5B2A714"/>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Akademikerne">
      <a:dk1>
        <a:srgbClr val="26261E"/>
      </a:dk1>
      <a:lt1>
        <a:sysClr val="window" lastClr="FFFFFF"/>
      </a:lt1>
      <a:dk2>
        <a:srgbClr val="828282"/>
      </a:dk2>
      <a:lt2>
        <a:srgbClr val="F8F6F2"/>
      </a:lt2>
      <a:accent1>
        <a:srgbClr val="262682"/>
      </a:accent1>
      <a:accent2>
        <a:srgbClr val="FFB26D"/>
      </a:accent2>
      <a:accent3>
        <a:srgbClr val="3E8F98"/>
      </a:accent3>
      <a:accent4>
        <a:srgbClr val="26261E"/>
      </a:accent4>
      <a:accent5>
        <a:srgbClr val="FCECDE"/>
      </a:accent5>
      <a:accent6>
        <a:srgbClr val="F2F8F8"/>
      </a:accent6>
      <a:hlink>
        <a:srgbClr val="0563C1"/>
      </a:hlink>
      <a:folHlink>
        <a:srgbClr val="954F72"/>
      </a:folHlink>
    </a:clrScheme>
    <a:fontScheme name="Akademikerne">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E52A8DA6E0E8F42ABA7624FBB97C791" ma:contentTypeVersion="16" ma:contentTypeDescription="Opprett et nytt dokument." ma:contentTypeScope="" ma:versionID="380a2f2ef0c9ec318cf5ffd3001b351b">
  <xsd:schema xmlns:xsd="http://www.w3.org/2001/XMLSchema" xmlns:xs="http://www.w3.org/2001/XMLSchema" xmlns:p="http://schemas.microsoft.com/office/2006/metadata/properties" xmlns:ns2="cb91f666-3f48-4a07-9cfe-8ba1bb5b0ef5" xmlns:ns3="387c2cf3-97b9-4867-aa55-7b6706a2c1dd" targetNamespace="http://schemas.microsoft.com/office/2006/metadata/properties" ma:root="true" ma:fieldsID="3279f01612090c7b0bcc597c54ff98c9" ns2:_="" ns3:_="">
    <xsd:import namespace="cb91f666-3f48-4a07-9cfe-8ba1bb5b0ef5"/>
    <xsd:import namespace="387c2cf3-97b9-4867-aa55-7b6706a2c1d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91f666-3f48-4a07-9cfe-8ba1bb5b0e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0d67a388-5b98-4fb5-b70e-b280114bbf2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7c2cf3-97b9-4867-aa55-7b6706a2c1dd"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14" nillable="true" ma:displayName="Taxonomy Catch All Column" ma:hidden="true" ma:list="{1c925415-ea93-4090-b342-bde85c919a35}" ma:internalName="TaxCatchAll" ma:showField="CatchAllData" ma:web="387c2cf3-97b9-4867-aa55-7b6706a2c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b91f666-3f48-4a07-9cfe-8ba1bb5b0ef5">
      <Terms xmlns="http://schemas.microsoft.com/office/infopath/2007/PartnerControls"/>
    </lcf76f155ced4ddcb4097134ff3c332f>
    <TaxCatchAll xmlns="387c2cf3-97b9-4867-aa55-7b6706a2c1dd" xsi:nil="true"/>
    <SharedWithUsers xmlns="387c2cf3-97b9-4867-aa55-7b6706a2c1dd">
      <UserInfo>
        <DisplayName>Christine Meling</DisplayName>
        <AccountId>11</AccountId>
        <AccountType/>
      </UserInfo>
      <UserInfo>
        <DisplayName>Ingeborg Laugerud</DisplayName>
        <AccountId>21</AccountId>
        <AccountType/>
      </UserInfo>
      <UserInfo>
        <DisplayName>Andreas Christensen</DisplayName>
        <AccountId>287</AccountId>
        <AccountType/>
      </UserInfo>
      <UserInfo>
        <DisplayName>Annette Narverud</DisplayName>
        <AccountId>45</AccountId>
        <AccountType/>
      </UserInfo>
      <UserInfo>
        <DisplayName>Atle Gullestad</DisplayName>
        <AccountId>17</AccountId>
        <AccountType/>
      </UserInfo>
      <UserInfo>
        <DisplayName>Anette Bjørlin Basma</DisplayName>
        <AccountId>25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root>
</root>
</file>

<file path=customXml/itemProps1.xml><?xml version="1.0" encoding="utf-8"?>
<ds:datastoreItem xmlns:ds="http://schemas.openxmlformats.org/officeDocument/2006/customXml" ds:itemID="{4E4A0819-117D-433C-8B60-3D76C7CECA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91f666-3f48-4a07-9cfe-8ba1bb5b0ef5"/>
    <ds:schemaRef ds:uri="387c2cf3-97b9-4867-aa55-7b6706a2c1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6D4C2B-FDD4-4B5D-822F-4CC011BC16FE}">
  <ds:schemaRefs>
    <ds:schemaRef ds:uri="http://schemas.microsoft.com/office/2006/metadata/properties"/>
    <ds:schemaRef ds:uri="http://schemas.microsoft.com/office/infopath/2007/PartnerControls"/>
    <ds:schemaRef ds:uri="cb91f666-3f48-4a07-9cfe-8ba1bb5b0ef5"/>
    <ds:schemaRef ds:uri="387c2cf3-97b9-4867-aa55-7b6706a2c1dd"/>
  </ds:schemaRefs>
</ds:datastoreItem>
</file>

<file path=customXml/itemProps3.xml><?xml version="1.0" encoding="utf-8"?>
<ds:datastoreItem xmlns:ds="http://schemas.openxmlformats.org/officeDocument/2006/customXml" ds:itemID="{CFC5A051-7235-44BA-9CB5-8AEB2775B05C}">
  <ds:schemaRefs>
    <ds:schemaRef ds:uri="http://schemas.microsoft.com/sharepoint/v3/contenttype/forms"/>
  </ds:schemaRefs>
</ds:datastoreItem>
</file>

<file path=customXml/itemProps4.xml><?xml version="1.0" encoding="utf-8"?>
<ds:datastoreItem xmlns:ds="http://schemas.openxmlformats.org/officeDocument/2006/customXml" ds:itemID="{567C8E82-567A-453C-8EAA-797FDB3A729D}">
  <ds:schemaRefs>
    <ds:schemaRef ds:uri="http://schemas.openxmlformats.org/officeDocument/2006/bibliography"/>
  </ds:schemaRefs>
</ds:datastoreItem>
</file>

<file path=customXml/itemProps5.xml><?xml version="1.0" encoding="utf-8"?>
<ds:datastoreItem xmlns:ds="http://schemas.openxmlformats.org/officeDocument/2006/customXml" ds:itemID="{A15A0FAC-0DCE-4660-A8CA-C4BAEC8D4E4E}">
  <ds:schemaRefs/>
</ds:datastoreItem>
</file>

<file path=docProps/app.xml><?xml version="1.0" encoding="utf-8"?>
<Properties xmlns="http://schemas.openxmlformats.org/officeDocument/2006/extended-properties" xmlns:vt="http://schemas.openxmlformats.org/officeDocument/2006/docPropsVTypes">
  <Template>Standardmal</Template>
  <TotalTime>6</TotalTime>
  <Pages>31</Pages>
  <Words>8329</Words>
  <Characters>53263</Characters>
  <Application>Microsoft Office Word</Application>
  <DocSecurity>0</DocSecurity>
  <Lines>909</Lines>
  <Paragraphs>401</Paragraphs>
  <ScaleCrop>false</ScaleCrop>
  <Company/>
  <LinksUpToDate>false</LinksUpToDate>
  <CharactersWithSpaces>61622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Meling</dc:creator>
  <cp:keywords/>
  <dc:description/>
  <cp:lastModifiedBy>Hilde Jåsund</cp:lastModifiedBy>
  <cp:revision>56</cp:revision>
  <cp:lastPrinted>2024-05-19T16:09:00Z</cp:lastPrinted>
  <dcterms:created xsi:type="dcterms:W3CDTF">2024-09-20T05:36:00Z</dcterms:created>
  <dcterms:modified xsi:type="dcterms:W3CDTF">2026-03-17T13:38:00Z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100</vt:r8>
  </property>
  <property fmtid="{D5CDD505-2E9C-101B-9397-08002B2CF9AE}" pid="3" name="MediaServiceImageTags">
    <vt:lpwstr/>
  </property>
  <property fmtid="{D5CDD505-2E9C-101B-9397-08002B2CF9AE}" pid="4" name="ContentTypeId">
    <vt:lpwstr>0x0101000E52A8DA6E0E8F42ABA7624FBB97C791</vt:lpwstr>
  </property>
</Properties>
</file>