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114065518"/>
    <w:p w14:paraId="179E656A" w14:textId="7B67D3E4" w:rsidR="00893D2C" w:rsidRDefault="00000000" w:rsidP="00893D2C">
      <w:pPr>
        <w:pStyle w:val="Overskrift1"/>
      </w:pPr>
      <w:sdt>
        <w:sdtPr>
          <w:alias w:val="Overskrift"/>
          <w:id w:val="-663927157"/>
          <w:placeholder>
            <w:docPart w:val="831CEEBAFBF54334B91B61822312A8D6"/>
          </w:placeholder>
          <w:text w:multiLine="1"/>
        </w:sdtPr>
        <w:sdtContent>
          <w:r w:rsidR="00851A50">
            <w:t>Styrets beretning 20</w:t>
          </w:r>
          <w:r w:rsidR="007D1236">
            <w:t>2</w:t>
          </w:r>
          <w:r w:rsidR="000D7888">
            <w:t>0</w:t>
          </w:r>
          <w:r w:rsidR="00851A50">
            <w:t>-202</w:t>
          </w:r>
          <w:r w:rsidR="007D1236">
            <w:t>2</w:t>
          </w:r>
          <w:r w:rsidR="00851A50">
            <w:t xml:space="preserve"> </w:t>
          </w:r>
        </w:sdtContent>
      </w:sdt>
      <w:bookmarkEnd w:id="0"/>
    </w:p>
    <w:p w14:paraId="6341BE5D" w14:textId="3DC26C34" w:rsidR="0034674D" w:rsidRDefault="0034674D">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32A5573E" w14:textId="556F6175" w:rsidR="00FC3919" w:rsidRDefault="002F126F" w:rsidP="009A62AF">
      <w:pPr>
        <w:pStyle w:val="Overskrift2"/>
      </w:pPr>
      <w:bookmarkStart w:id="1" w:name="_Toc114065519"/>
      <w:r>
        <w:lastRenderedPageBreak/>
        <w:t>F</w:t>
      </w:r>
      <w:r w:rsidR="009861FE">
        <w:t>orord</w:t>
      </w:r>
      <w:bookmarkEnd w:id="1"/>
      <w:r w:rsidR="00470A91">
        <w:t xml:space="preserve"> </w:t>
      </w:r>
    </w:p>
    <w:p w14:paraId="2957F712" w14:textId="02C1DF03" w:rsidR="00483A4F" w:rsidRDefault="007A0DF0" w:rsidP="00523F5A">
      <w:pPr>
        <w:rPr>
          <w:rFonts w:eastAsia="Calibri" w:cstheme="minorHAnsi"/>
        </w:rPr>
      </w:pPr>
      <w:r w:rsidRPr="0075400F">
        <w:rPr>
          <w:rFonts w:eastAsia="Calibri" w:cstheme="minorHAnsi"/>
        </w:rPr>
        <w:t>V</w:t>
      </w:r>
      <w:r w:rsidR="15E3114A" w:rsidRPr="0075400F">
        <w:rPr>
          <w:rFonts w:eastAsia="Calibri" w:cstheme="minorHAnsi"/>
        </w:rPr>
        <w:t xml:space="preserve">i ser tilbake på de to siste årene med stolthet. </w:t>
      </w:r>
      <w:r w:rsidR="007C2704" w:rsidRPr="0075400F">
        <w:rPr>
          <w:rFonts w:eastAsia="Calibri" w:cstheme="minorHAnsi"/>
        </w:rPr>
        <w:t xml:space="preserve">Akademikerne </w:t>
      </w:r>
      <w:r w:rsidR="15E3114A" w:rsidRPr="0075400F">
        <w:rPr>
          <w:rFonts w:eastAsia="Calibri" w:cstheme="minorHAnsi"/>
        </w:rPr>
        <w:t>har</w:t>
      </w:r>
      <w:r w:rsidR="00062B3A">
        <w:rPr>
          <w:rFonts w:eastAsia="Calibri"/>
        </w:rPr>
        <w:t>,</w:t>
      </w:r>
      <w:r w:rsidR="15E3114A" w:rsidRPr="0075400F">
        <w:rPr>
          <w:rFonts w:eastAsia="Calibri" w:cstheme="minorHAnsi"/>
        </w:rPr>
        <w:t xml:space="preserve"> </w:t>
      </w:r>
      <w:r w:rsidR="00D147F5">
        <w:rPr>
          <w:rFonts w:eastAsia="Calibri" w:cstheme="minorHAnsi"/>
        </w:rPr>
        <w:t xml:space="preserve">sammen med medlemsforeningene </w:t>
      </w:r>
      <w:r w:rsidR="15E3114A" w:rsidRPr="0075400F">
        <w:rPr>
          <w:rFonts w:eastAsia="Calibri" w:cstheme="minorHAnsi"/>
        </w:rPr>
        <w:t>oppnådd</w:t>
      </w:r>
      <w:r w:rsidR="00062B3A">
        <w:rPr>
          <w:rFonts w:eastAsia="Calibri"/>
        </w:rPr>
        <w:t>,</w:t>
      </w:r>
      <w:r w:rsidR="15E3114A" w:rsidRPr="0075400F">
        <w:rPr>
          <w:rFonts w:eastAsia="Calibri" w:cstheme="minorHAnsi"/>
        </w:rPr>
        <w:t xml:space="preserve"> viktige gjennomslag </w:t>
      </w:r>
      <w:r w:rsidR="00516F77">
        <w:rPr>
          <w:rFonts w:eastAsia="Calibri" w:cstheme="minorHAnsi"/>
        </w:rPr>
        <w:t xml:space="preserve">i prioriterte saker </w:t>
      </w:r>
      <w:r w:rsidR="0045744B">
        <w:rPr>
          <w:rFonts w:eastAsia="Calibri" w:cstheme="minorHAnsi"/>
        </w:rPr>
        <w:t xml:space="preserve">over tid. Dette arbeidet </w:t>
      </w:r>
      <w:r w:rsidR="00704405">
        <w:rPr>
          <w:rFonts w:eastAsia="Calibri" w:cstheme="minorHAnsi"/>
        </w:rPr>
        <w:t xml:space="preserve">er langsiktig </w:t>
      </w:r>
      <w:r w:rsidR="009072D0">
        <w:rPr>
          <w:rFonts w:eastAsia="Calibri" w:cstheme="minorHAnsi"/>
        </w:rPr>
        <w:t xml:space="preserve">og </w:t>
      </w:r>
      <w:r w:rsidR="00DA4AB0">
        <w:rPr>
          <w:rFonts w:eastAsia="Calibri" w:cstheme="minorHAnsi"/>
        </w:rPr>
        <w:t>krever at vår politikk blir synliggjort overfor sentrale beslutningstakere.</w:t>
      </w:r>
    </w:p>
    <w:p w14:paraId="50CD66E1" w14:textId="33A287D0" w:rsidR="006B60FB" w:rsidRPr="0075400F" w:rsidRDefault="00DA4AB0" w:rsidP="00523F5A">
      <w:pPr>
        <w:rPr>
          <w:rFonts w:eastAsia="Calibri" w:cstheme="minorHAnsi"/>
        </w:rPr>
      </w:pPr>
      <w:r>
        <w:rPr>
          <w:rFonts w:eastAsia="Calibri" w:cstheme="minorHAnsi"/>
        </w:rPr>
        <w:t xml:space="preserve">Våre medlemsforeninger </w:t>
      </w:r>
      <w:r w:rsidR="15E3114A" w:rsidRPr="0075400F">
        <w:rPr>
          <w:rFonts w:eastAsia="Calibri" w:cstheme="minorHAnsi"/>
        </w:rPr>
        <w:t xml:space="preserve">har igjen hatt den sterkeste </w:t>
      </w:r>
      <w:r w:rsidR="00090ECF">
        <w:rPr>
          <w:rFonts w:eastAsia="Calibri" w:cstheme="minorHAnsi"/>
        </w:rPr>
        <w:t>medlems</w:t>
      </w:r>
      <w:r w:rsidR="15E3114A" w:rsidRPr="0075400F">
        <w:rPr>
          <w:rFonts w:eastAsia="Calibri" w:cstheme="minorHAnsi"/>
        </w:rPr>
        <w:t xml:space="preserve">veksten på arbeidstakersiden. </w:t>
      </w:r>
      <w:r w:rsidR="00463C96" w:rsidRPr="0075400F">
        <w:rPr>
          <w:rFonts w:eastAsia="Calibri" w:cstheme="minorHAnsi"/>
        </w:rPr>
        <w:t>Veksten betyr</w:t>
      </w:r>
      <w:r w:rsidR="15E3114A" w:rsidRPr="0075400F">
        <w:rPr>
          <w:rFonts w:eastAsia="Calibri" w:cstheme="minorHAnsi"/>
        </w:rPr>
        <w:t xml:space="preserve"> at vi i jubileumsåret kan feire at vi </w:t>
      </w:r>
      <w:r w:rsidR="000A295C">
        <w:rPr>
          <w:rFonts w:eastAsia="Calibri" w:cstheme="minorHAnsi"/>
        </w:rPr>
        <w:t>sammen</w:t>
      </w:r>
      <w:r w:rsidR="00BF0239">
        <w:rPr>
          <w:rFonts w:eastAsia="Calibri" w:cstheme="minorHAnsi"/>
        </w:rPr>
        <w:t xml:space="preserve"> </w:t>
      </w:r>
      <w:r w:rsidR="15E3114A" w:rsidRPr="0075400F">
        <w:rPr>
          <w:rFonts w:eastAsia="Calibri" w:cstheme="minorHAnsi"/>
        </w:rPr>
        <w:t xml:space="preserve">runder 250 000 medlemmer. </w:t>
      </w:r>
    </w:p>
    <w:p w14:paraId="7DAF3420" w14:textId="0E5CA330" w:rsidR="006B60FB" w:rsidRPr="0075400F" w:rsidRDefault="00C202E8" w:rsidP="00523F5A">
      <w:pPr>
        <w:rPr>
          <w:rFonts w:eastAsia="Calibri" w:cstheme="minorHAnsi"/>
        </w:rPr>
      </w:pPr>
      <w:r w:rsidRPr="0075400F">
        <w:rPr>
          <w:rFonts w:eastAsia="Calibri" w:cstheme="minorHAnsi"/>
        </w:rPr>
        <w:t>Akademikerne</w:t>
      </w:r>
      <w:r w:rsidRPr="0075400F">
        <w:rPr>
          <w:rFonts w:eastAsia="Calibri"/>
        </w:rPr>
        <w:t xml:space="preserve"> </w:t>
      </w:r>
      <w:r w:rsidR="00062B3A">
        <w:rPr>
          <w:rFonts w:eastAsia="Calibri"/>
        </w:rPr>
        <w:t>har</w:t>
      </w:r>
      <w:r w:rsidR="00062B3A" w:rsidRPr="0075400F">
        <w:rPr>
          <w:rFonts w:eastAsia="Calibri" w:cstheme="minorHAnsi"/>
        </w:rPr>
        <w:t xml:space="preserve"> </w:t>
      </w:r>
      <w:r w:rsidR="001A7147" w:rsidRPr="0075400F">
        <w:rPr>
          <w:rFonts w:eastAsia="Calibri" w:cstheme="minorHAnsi"/>
        </w:rPr>
        <w:t>jobbet gjennom</w:t>
      </w:r>
      <w:r w:rsidRPr="0075400F">
        <w:rPr>
          <w:rFonts w:eastAsia="Calibri" w:cstheme="minorHAnsi"/>
        </w:rPr>
        <w:t xml:space="preserve"> hele </w:t>
      </w:r>
      <w:r w:rsidR="009622D9" w:rsidRPr="0075400F">
        <w:rPr>
          <w:rFonts w:eastAsia="Calibri" w:cstheme="minorHAnsi"/>
        </w:rPr>
        <w:t>koronapandemie</w:t>
      </w:r>
      <w:r w:rsidR="001A7147" w:rsidRPr="0075400F">
        <w:rPr>
          <w:rFonts w:eastAsia="Calibri" w:cstheme="minorHAnsi"/>
        </w:rPr>
        <w:t>n</w:t>
      </w:r>
      <w:r w:rsidR="00975E24" w:rsidRPr="0075400F">
        <w:rPr>
          <w:rFonts w:eastAsia="Calibri" w:cstheme="minorHAnsi"/>
        </w:rPr>
        <w:t xml:space="preserve"> </w:t>
      </w:r>
      <w:r w:rsidR="00D824F3">
        <w:rPr>
          <w:rFonts w:eastAsia="Calibri" w:cstheme="minorHAnsi"/>
        </w:rPr>
        <w:t xml:space="preserve">for </w:t>
      </w:r>
      <w:r w:rsidR="00F61DCE" w:rsidRPr="0075400F">
        <w:rPr>
          <w:rFonts w:eastAsia="Calibri" w:cstheme="minorHAnsi"/>
        </w:rPr>
        <w:t xml:space="preserve">å finne </w:t>
      </w:r>
      <w:r w:rsidR="00B460B0" w:rsidRPr="0075400F">
        <w:rPr>
          <w:rFonts w:eastAsia="Calibri" w:cstheme="minorHAnsi"/>
        </w:rPr>
        <w:t>fleksible løsninger</w:t>
      </w:r>
      <w:r w:rsidR="00C568D9" w:rsidRPr="0075400F">
        <w:rPr>
          <w:rFonts w:eastAsia="Calibri" w:cstheme="minorHAnsi"/>
        </w:rPr>
        <w:t xml:space="preserve"> </w:t>
      </w:r>
      <w:r w:rsidR="001A7147" w:rsidRPr="0075400F">
        <w:rPr>
          <w:rFonts w:eastAsia="Calibri" w:cstheme="minorHAnsi"/>
        </w:rPr>
        <w:t>til beste både for samfunnet og den enkelte arbeidstaker.</w:t>
      </w:r>
      <w:r w:rsidR="00562595" w:rsidRPr="0075400F">
        <w:rPr>
          <w:rFonts w:eastAsia="Calibri" w:cstheme="minorHAnsi"/>
        </w:rPr>
        <w:t xml:space="preserve"> </w:t>
      </w:r>
      <w:r w:rsidR="003C6BA3" w:rsidRPr="0075400F">
        <w:rPr>
          <w:rFonts w:eastAsia="Calibri" w:cstheme="minorHAnsi"/>
        </w:rPr>
        <w:t xml:space="preserve">Vi har sørget for at </w:t>
      </w:r>
      <w:r w:rsidR="005204E6" w:rsidRPr="0075400F">
        <w:rPr>
          <w:rFonts w:eastAsia="Calibri" w:cstheme="minorHAnsi"/>
        </w:rPr>
        <w:t xml:space="preserve">permitterte og ledige </w:t>
      </w:r>
      <w:r w:rsidR="00986CE8" w:rsidRPr="0075400F">
        <w:rPr>
          <w:rFonts w:eastAsia="Calibri" w:cstheme="minorHAnsi"/>
        </w:rPr>
        <w:t>har mulighet til å stude</w:t>
      </w:r>
      <w:r w:rsidR="00244972" w:rsidRPr="0075400F">
        <w:rPr>
          <w:rFonts w:eastAsia="Calibri" w:cstheme="minorHAnsi"/>
        </w:rPr>
        <w:t>re og at tilbud</w:t>
      </w:r>
      <w:r w:rsidR="003E32AD">
        <w:rPr>
          <w:rFonts w:eastAsia="Calibri" w:cstheme="minorHAnsi"/>
        </w:rPr>
        <w:t>et</w:t>
      </w:r>
      <w:r w:rsidR="00244972" w:rsidRPr="0075400F">
        <w:rPr>
          <w:rFonts w:eastAsia="Calibri" w:cstheme="minorHAnsi"/>
        </w:rPr>
        <w:t xml:space="preserve"> om etter- og videreutdanning er bedre tilpasset høyt utdannede</w:t>
      </w:r>
      <w:r w:rsidR="005C69EE" w:rsidRPr="0075400F">
        <w:rPr>
          <w:rFonts w:eastAsia="Calibri" w:cstheme="minorHAnsi"/>
        </w:rPr>
        <w:t>. Vi har fått gjennomslag</w:t>
      </w:r>
      <w:r w:rsidR="15E3114A" w:rsidRPr="0075400F">
        <w:rPr>
          <w:rFonts w:eastAsia="Calibri" w:cstheme="minorHAnsi"/>
        </w:rPr>
        <w:t xml:space="preserve"> for viktige endringer i regelverket for hjemmekontor som styrker arbeidstakernes HMS og arbeidstidsbestemmelser. Vi har lykkes med å snu regjering</w:t>
      </w:r>
      <w:r w:rsidR="00B608B6" w:rsidRPr="0075400F">
        <w:rPr>
          <w:rFonts w:eastAsia="Calibri" w:cstheme="minorHAnsi"/>
        </w:rPr>
        <w:t>en</w:t>
      </w:r>
      <w:r w:rsidR="15E3114A" w:rsidRPr="0075400F">
        <w:rPr>
          <w:rFonts w:eastAsia="Calibri" w:cstheme="minorHAnsi"/>
        </w:rPr>
        <w:t xml:space="preserve">s holdning til innleie, fra totalforbud til en forskriftsregulert adgang til innleie på enkelte områder. Akademikerne har også lykkes med å få forbedret opsjonsskatteordningen som kan hjelpe flere bedrifter i en oppstartsperiode. </w:t>
      </w:r>
    </w:p>
    <w:p w14:paraId="58E30B0E" w14:textId="18C5F2AB" w:rsidR="006B60FB" w:rsidRPr="0075400F" w:rsidRDefault="005C69EE" w:rsidP="00523F5A">
      <w:pPr>
        <w:rPr>
          <w:rFonts w:eastAsia="Calibri" w:cstheme="minorHAnsi"/>
        </w:rPr>
      </w:pPr>
      <w:r w:rsidRPr="0075400F">
        <w:rPr>
          <w:rFonts w:eastAsia="Calibri" w:cstheme="minorHAnsi"/>
        </w:rPr>
        <w:t xml:space="preserve">Fortsatt står </w:t>
      </w:r>
      <w:r w:rsidR="00C817E0" w:rsidRPr="0075400F">
        <w:rPr>
          <w:rFonts w:eastAsia="Calibri" w:cstheme="minorHAnsi"/>
        </w:rPr>
        <w:t>vi</w:t>
      </w:r>
      <w:r w:rsidR="15E3114A" w:rsidRPr="0075400F">
        <w:rPr>
          <w:rFonts w:eastAsia="Calibri" w:cstheme="minorHAnsi"/>
        </w:rPr>
        <w:t xml:space="preserve"> i krevende tider. Vi kom oss knapt igjennom koronakrisen før energikrisen var et faktum og Russland invaderte Ukraina. Dette påvirker hele samfunnet. Høyere priser og stigende renter gir uro. Samtidig har arbeidsledigheten sunket </w:t>
      </w:r>
      <w:r w:rsidR="0CE77F18" w:rsidRPr="0075400F">
        <w:rPr>
          <w:rFonts w:eastAsia="Calibri" w:cstheme="minorHAnsi"/>
        </w:rPr>
        <w:t xml:space="preserve">siden koronakrisen </w:t>
      </w:r>
      <w:r w:rsidR="15E3114A" w:rsidRPr="0075400F">
        <w:rPr>
          <w:rFonts w:eastAsia="Calibri" w:cstheme="minorHAnsi"/>
        </w:rPr>
        <w:t xml:space="preserve">og det er arbeidstakers marked. </w:t>
      </w:r>
    </w:p>
    <w:p w14:paraId="793AED02" w14:textId="1650DB2E" w:rsidR="00792BD6" w:rsidRDefault="15E3114A" w:rsidP="00523F5A">
      <w:pPr>
        <w:rPr>
          <w:rFonts w:eastAsia="Calibri" w:cstheme="minorHAnsi"/>
        </w:rPr>
      </w:pPr>
      <w:r w:rsidRPr="0075400F">
        <w:rPr>
          <w:rFonts w:eastAsia="Calibri" w:cstheme="minorHAnsi"/>
        </w:rPr>
        <w:t xml:space="preserve">De siste års kriser har vist oss viktigheten av den norske modellen. Akademikerne posisjon som hovedorganisasjon er styrket i denne perioden. Ved å være en konstruktiv aktør </w:t>
      </w:r>
      <w:r w:rsidR="00792BD6">
        <w:rPr>
          <w:rFonts w:eastAsia="Calibri" w:cstheme="minorHAnsi"/>
        </w:rPr>
        <w:t>har</w:t>
      </w:r>
      <w:r w:rsidRPr="0075400F">
        <w:rPr>
          <w:rFonts w:eastAsia="Calibri" w:cstheme="minorHAnsi"/>
        </w:rPr>
        <w:t xml:space="preserve"> vi, sammen med myndighetene og de andre partene i arbeidslivet</w:t>
      </w:r>
      <w:r w:rsidR="393A7025" w:rsidRPr="0075400F">
        <w:rPr>
          <w:rFonts w:eastAsia="Calibri" w:cstheme="minorHAnsi"/>
        </w:rPr>
        <w:t>,</w:t>
      </w:r>
      <w:r w:rsidRPr="0075400F">
        <w:rPr>
          <w:rFonts w:eastAsia="Calibri" w:cstheme="minorHAnsi"/>
        </w:rPr>
        <w:t xml:space="preserve"> bidra</w:t>
      </w:r>
      <w:r w:rsidR="00BD6EB6">
        <w:rPr>
          <w:rFonts w:eastAsia="Calibri" w:cstheme="minorHAnsi"/>
        </w:rPr>
        <w:t>tt</w:t>
      </w:r>
      <w:r w:rsidRPr="0075400F">
        <w:rPr>
          <w:rFonts w:eastAsia="Calibri" w:cstheme="minorHAnsi"/>
        </w:rPr>
        <w:t xml:space="preserve"> til å peke på utfordringer og finne gode løsninger</w:t>
      </w:r>
      <w:r w:rsidR="0A021E5D" w:rsidRPr="0075400F">
        <w:rPr>
          <w:rFonts w:eastAsia="Calibri" w:cstheme="minorHAnsi"/>
        </w:rPr>
        <w:t xml:space="preserve">. Det har </w:t>
      </w:r>
      <w:r w:rsidRPr="0075400F">
        <w:rPr>
          <w:rFonts w:eastAsia="Calibri" w:cstheme="minorHAnsi"/>
        </w:rPr>
        <w:t>både hjulpet oss gjennom krisene og styrket det norske arbeidslivet, næringslivet og utdanningssektoren.</w:t>
      </w:r>
      <w:r w:rsidR="00070049">
        <w:rPr>
          <w:rFonts w:eastAsia="Calibri" w:cstheme="minorHAnsi"/>
        </w:rPr>
        <w:t xml:space="preserve"> </w:t>
      </w:r>
    </w:p>
    <w:p w14:paraId="386879AE" w14:textId="1091F695" w:rsidR="006B60FB" w:rsidRPr="0075400F" w:rsidRDefault="15E3114A" w:rsidP="00523F5A">
      <w:pPr>
        <w:rPr>
          <w:rFonts w:eastAsia="Calibri" w:cstheme="minorHAnsi"/>
        </w:rPr>
      </w:pPr>
      <w:r w:rsidRPr="0075400F">
        <w:rPr>
          <w:rFonts w:eastAsia="Calibri" w:cstheme="minorHAnsi"/>
        </w:rPr>
        <w:t>På tariff-feltet har partene</w:t>
      </w:r>
      <w:r w:rsidR="017E34A0" w:rsidRPr="0075400F">
        <w:rPr>
          <w:rFonts w:eastAsia="Calibri" w:cstheme="minorHAnsi"/>
        </w:rPr>
        <w:t xml:space="preserve"> </w:t>
      </w:r>
      <w:r w:rsidR="5555218F" w:rsidRPr="0075400F">
        <w:rPr>
          <w:rFonts w:eastAsia="Calibri" w:cstheme="minorHAnsi"/>
        </w:rPr>
        <w:t xml:space="preserve">vært fleksible og inngått koronaavtaler til de ansattes og </w:t>
      </w:r>
      <w:r w:rsidR="47BC488D" w:rsidRPr="0075400F">
        <w:rPr>
          <w:rFonts w:eastAsia="Calibri" w:cstheme="minorHAnsi"/>
        </w:rPr>
        <w:t>samfunnets</w:t>
      </w:r>
      <w:r w:rsidR="5555218F" w:rsidRPr="0075400F">
        <w:rPr>
          <w:rFonts w:eastAsia="Calibri" w:cstheme="minorHAnsi"/>
        </w:rPr>
        <w:t xml:space="preserve"> beste. Gjennom hovedoppgjøret 2022 er også </w:t>
      </w:r>
      <w:r w:rsidR="745533B4" w:rsidRPr="0075400F">
        <w:rPr>
          <w:rFonts w:eastAsia="Calibri" w:cstheme="minorHAnsi"/>
        </w:rPr>
        <w:t>tariff</w:t>
      </w:r>
      <w:r w:rsidR="5555218F" w:rsidRPr="0075400F">
        <w:rPr>
          <w:rFonts w:eastAsia="Calibri" w:cstheme="minorHAnsi"/>
        </w:rPr>
        <w:t>avtalene i offentlig se</w:t>
      </w:r>
      <w:r w:rsidR="20384CAB" w:rsidRPr="0075400F">
        <w:rPr>
          <w:rFonts w:eastAsia="Calibri" w:cstheme="minorHAnsi"/>
        </w:rPr>
        <w:t>ktor</w:t>
      </w:r>
      <w:r w:rsidR="086C45E7" w:rsidRPr="0075400F">
        <w:rPr>
          <w:rFonts w:eastAsia="Calibri" w:cstheme="minorHAnsi"/>
        </w:rPr>
        <w:t xml:space="preserve"> utviklet videre. </w:t>
      </w:r>
    </w:p>
    <w:p w14:paraId="5F07A410" w14:textId="272B611A" w:rsidR="006B60FB" w:rsidRPr="0075400F" w:rsidRDefault="00F41643" w:rsidP="00523F5A">
      <w:pPr>
        <w:rPr>
          <w:rFonts w:eastAsia="Calibri" w:cstheme="minorHAnsi"/>
        </w:rPr>
      </w:pPr>
      <w:r w:rsidRPr="0075400F">
        <w:rPr>
          <w:rFonts w:eastAsia="Calibri" w:cstheme="minorHAnsi"/>
        </w:rPr>
        <w:t xml:space="preserve">Høyt utdannede er helt sentrale for gjennomføringen av det grønne skiftet og viktige premissleverandører for vårt moderne og inkluderende samfunn. </w:t>
      </w:r>
      <w:r w:rsidR="342ED018" w:rsidRPr="0075400F">
        <w:rPr>
          <w:rFonts w:eastAsia="Calibri" w:cstheme="minorHAnsi"/>
        </w:rPr>
        <w:t xml:space="preserve"> </w:t>
      </w:r>
    </w:p>
    <w:p w14:paraId="51063B15" w14:textId="030CD2E4" w:rsidR="00F36E36" w:rsidRPr="00E33E57" w:rsidRDefault="00F36E36" w:rsidP="00E33E57">
      <w:pPr>
        <w:rPr>
          <w:b/>
          <w:bCs/>
          <w:sz w:val="24"/>
          <w:szCs w:val="24"/>
        </w:rPr>
      </w:pPr>
      <w:r>
        <w:t xml:space="preserve">. </w:t>
      </w:r>
    </w:p>
    <w:p w14:paraId="4ACF6AE0" w14:textId="77777777" w:rsidR="00BA431C" w:rsidRDefault="001D63A9">
      <w:pPr>
        <w:tabs>
          <w:tab w:val="clear" w:pos="2155"/>
        </w:tabs>
        <w:spacing w:after="160" w:line="259" w:lineRule="auto"/>
        <w:rPr>
          <w:rFonts w:asciiTheme="majorHAnsi" w:eastAsiaTheme="majorEastAsia" w:hAnsiTheme="majorHAnsi" w:cstheme="majorBidi"/>
          <w:b/>
          <w:color w:val="262682" w:themeColor="accent1"/>
          <w:sz w:val="44"/>
          <w:szCs w:val="32"/>
        </w:rPr>
      </w:pPr>
      <w:r w:rsidRPr="00E33E57">
        <w:rPr>
          <w:sz w:val="24"/>
          <w:szCs w:val="24"/>
        </w:rPr>
        <w:t xml:space="preserve">- </w:t>
      </w:r>
      <w:r w:rsidR="006B60FB" w:rsidRPr="00E33E57">
        <w:rPr>
          <w:sz w:val="24"/>
          <w:szCs w:val="24"/>
        </w:rPr>
        <w:t>Lise Lyngs</w:t>
      </w:r>
      <w:r w:rsidR="00822589" w:rsidRPr="00E33E57">
        <w:rPr>
          <w:sz w:val="24"/>
          <w:szCs w:val="24"/>
        </w:rPr>
        <w:t>nes Randeberg</w:t>
      </w:r>
      <w:r w:rsidR="00F36E36" w:rsidRPr="00E33E57">
        <w:rPr>
          <w:sz w:val="24"/>
          <w:szCs w:val="24"/>
        </w:rPr>
        <w:t xml:space="preserve">, </w:t>
      </w:r>
      <w:r w:rsidR="00822589" w:rsidRPr="00E33E57">
        <w:rPr>
          <w:sz w:val="24"/>
          <w:szCs w:val="24"/>
        </w:rPr>
        <w:t xml:space="preserve">konstituert </w:t>
      </w:r>
      <w:r w:rsidR="00F36E36" w:rsidRPr="00E33E57">
        <w:rPr>
          <w:sz w:val="24"/>
          <w:szCs w:val="24"/>
        </w:rPr>
        <w:t>leder for Akademikerne -</w:t>
      </w:r>
      <w:r w:rsidR="00F36E36" w:rsidRPr="00E33E57">
        <w:t xml:space="preserve"> </w:t>
      </w:r>
      <w:r w:rsidR="00AF427E">
        <w:br w:type="page"/>
      </w:r>
    </w:p>
    <w:sdt>
      <w:sdtPr>
        <w:rPr>
          <w:rFonts w:asciiTheme="minorHAnsi" w:eastAsiaTheme="minorHAnsi" w:hAnsiTheme="minorHAnsi" w:cstheme="minorBidi"/>
          <w:b w:val="0"/>
          <w:color w:val="auto"/>
          <w:sz w:val="22"/>
          <w:szCs w:val="22"/>
        </w:rPr>
        <w:id w:val="-838547644"/>
        <w:docPartObj>
          <w:docPartGallery w:val="Table of Contents"/>
          <w:docPartUnique/>
        </w:docPartObj>
      </w:sdtPr>
      <w:sdtEndPr>
        <w:rPr>
          <w:bCs/>
        </w:rPr>
      </w:sdtEndPr>
      <w:sdtContent>
        <w:p w14:paraId="5BD6F8E0" w14:textId="551D7AF2" w:rsidR="003514ED" w:rsidRDefault="003514ED">
          <w:pPr>
            <w:pStyle w:val="Overskriftforinnholdsfortegnelse"/>
          </w:pPr>
          <w:r>
            <w:t>Innhold</w:t>
          </w:r>
        </w:p>
        <w:p w14:paraId="77368D17" w14:textId="64CEFB58" w:rsidR="003514ED" w:rsidRDefault="003514ED">
          <w:pPr>
            <w:pStyle w:val="INNH1"/>
            <w:rPr>
              <w:rFonts w:eastAsiaTheme="minorEastAsia"/>
              <w:b w:val="0"/>
              <w:bCs w:val="0"/>
              <w:noProof/>
              <w:lang w:eastAsia="nb-NO"/>
            </w:rPr>
          </w:pPr>
          <w:r>
            <w:fldChar w:fldCharType="begin"/>
          </w:r>
          <w:r>
            <w:instrText xml:space="preserve"> TOC \o "1-3" \h \z \u </w:instrText>
          </w:r>
          <w:r>
            <w:fldChar w:fldCharType="separate"/>
          </w:r>
          <w:hyperlink w:anchor="_Toc114065520" w:history="1">
            <w:r w:rsidRPr="00530DB4">
              <w:rPr>
                <w:rStyle w:val="Hyperkobling"/>
                <w:noProof/>
              </w:rPr>
              <w:t>1. Styret og styrets arbeid</w:t>
            </w:r>
            <w:r w:rsidR="00BB0870">
              <w:rPr>
                <w:noProof/>
                <w:webHidden/>
              </w:rPr>
              <w:t>…………………………………………</w:t>
            </w:r>
            <w:r w:rsidR="008505A2">
              <w:rPr>
                <w:noProof/>
                <w:webHidden/>
              </w:rPr>
              <w:t>………</w:t>
            </w:r>
            <w:r w:rsidR="00BB0870">
              <w:rPr>
                <w:noProof/>
                <w:webHidden/>
              </w:rPr>
              <w:t>……</w:t>
            </w:r>
            <w:r>
              <w:rPr>
                <w:noProof/>
                <w:webHidden/>
              </w:rPr>
              <w:fldChar w:fldCharType="begin"/>
            </w:r>
            <w:r>
              <w:rPr>
                <w:noProof/>
                <w:webHidden/>
              </w:rPr>
              <w:instrText xml:space="preserve"> PAGEREF _Toc114065520 \h </w:instrText>
            </w:r>
            <w:r>
              <w:rPr>
                <w:noProof/>
                <w:webHidden/>
              </w:rPr>
            </w:r>
            <w:r>
              <w:rPr>
                <w:noProof/>
                <w:webHidden/>
              </w:rPr>
              <w:fldChar w:fldCharType="separate"/>
            </w:r>
            <w:r w:rsidR="00B35BBC">
              <w:rPr>
                <w:noProof/>
                <w:webHidden/>
              </w:rPr>
              <w:t>4</w:t>
            </w:r>
            <w:r>
              <w:rPr>
                <w:noProof/>
                <w:webHidden/>
              </w:rPr>
              <w:fldChar w:fldCharType="end"/>
            </w:r>
          </w:hyperlink>
        </w:p>
        <w:p w14:paraId="02CF990E" w14:textId="76C826F1" w:rsidR="003514ED" w:rsidRDefault="003514ED">
          <w:pPr>
            <w:pStyle w:val="INNH2"/>
            <w:rPr>
              <w:rFonts w:eastAsiaTheme="minorEastAsia"/>
              <w:noProof/>
              <w:lang w:eastAsia="nb-NO"/>
            </w:rPr>
          </w:pPr>
          <w:hyperlink w:anchor="_Toc114065521" w:history="1">
            <w:r w:rsidRPr="00530DB4">
              <w:rPr>
                <w:rStyle w:val="Hyperkobling"/>
                <w:noProof/>
              </w:rPr>
              <w:t>1.1 Styrets sammenset</w:t>
            </w:r>
            <w:r w:rsidR="00064B38">
              <w:rPr>
                <w:rStyle w:val="Hyperkobling"/>
                <w:noProof/>
              </w:rPr>
              <w:t>t</w:t>
            </w:r>
            <w:r w:rsidRPr="00530DB4">
              <w:rPr>
                <w:rStyle w:val="Hyperkobling"/>
                <w:noProof/>
              </w:rPr>
              <w:t>ing</w:t>
            </w:r>
            <w:r w:rsidR="00BB0870">
              <w:rPr>
                <w:noProof/>
                <w:webHidden/>
              </w:rPr>
              <w:t>……………………………………</w:t>
            </w:r>
            <w:r w:rsidR="00451A68">
              <w:rPr>
                <w:noProof/>
                <w:webHidden/>
              </w:rPr>
              <w:t>………</w:t>
            </w:r>
            <w:r w:rsidR="00BB0870">
              <w:rPr>
                <w:noProof/>
                <w:webHidden/>
              </w:rPr>
              <w:t>……….</w:t>
            </w:r>
            <w:r>
              <w:rPr>
                <w:noProof/>
                <w:webHidden/>
              </w:rPr>
              <w:fldChar w:fldCharType="begin"/>
            </w:r>
            <w:r>
              <w:rPr>
                <w:noProof/>
                <w:webHidden/>
              </w:rPr>
              <w:instrText xml:space="preserve"> PAGEREF _Toc114065521 \h </w:instrText>
            </w:r>
            <w:r>
              <w:rPr>
                <w:noProof/>
                <w:webHidden/>
              </w:rPr>
            </w:r>
            <w:r>
              <w:rPr>
                <w:noProof/>
                <w:webHidden/>
              </w:rPr>
              <w:fldChar w:fldCharType="separate"/>
            </w:r>
            <w:r w:rsidR="00B35BBC">
              <w:rPr>
                <w:noProof/>
                <w:webHidden/>
              </w:rPr>
              <w:t>4</w:t>
            </w:r>
            <w:r>
              <w:rPr>
                <w:noProof/>
                <w:webHidden/>
              </w:rPr>
              <w:fldChar w:fldCharType="end"/>
            </w:r>
          </w:hyperlink>
        </w:p>
        <w:p w14:paraId="712F5E90" w14:textId="25E24FB0" w:rsidR="003514ED" w:rsidRDefault="003514ED">
          <w:pPr>
            <w:pStyle w:val="INNH2"/>
            <w:rPr>
              <w:rFonts w:eastAsiaTheme="minorEastAsia"/>
              <w:noProof/>
              <w:lang w:eastAsia="nb-NO"/>
            </w:rPr>
          </w:pPr>
          <w:hyperlink w:anchor="_Toc114065522" w:history="1">
            <w:r w:rsidRPr="00530DB4">
              <w:rPr>
                <w:rStyle w:val="Hyperkobling"/>
                <w:noProof/>
              </w:rPr>
              <w:t>1.2 Styrets arbeid</w:t>
            </w:r>
            <w:r w:rsidR="00BB0870">
              <w:rPr>
                <w:noProof/>
                <w:webHidden/>
              </w:rPr>
              <w:t>………………………………………………</w:t>
            </w:r>
            <w:r w:rsidR="00451A68">
              <w:rPr>
                <w:noProof/>
                <w:webHidden/>
              </w:rPr>
              <w:t>………</w:t>
            </w:r>
            <w:r w:rsidR="00BB0870">
              <w:rPr>
                <w:noProof/>
                <w:webHidden/>
              </w:rPr>
              <w:t>………</w:t>
            </w:r>
            <w:r>
              <w:rPr>
                <w:noProof/>
                <w:webHidden/>
              </w:rPr>
              <w:fldChar w:fldCharType="begin"/>
            </w:r>
            <w:r>
              <w:rPr>
                <w:noProof/>
                <w:webHidden/>
              </w:rPr>
              <w:instrText xml:space="preserve"> PAGEREF _Toc114065522 \h </w:instrText>
            </w:r>
            <w:r>
              <w:rPr>
                <w:noProof/>
                <w:webHidden/>
              </w:rPr>
            </w:r>
            <w:r>
              <w:rPr>
                <w:noProof/>
                <w:webHidden/>
              </w:rPr>
              <w:fldChar w:fldCharType="separate"/>
            </w:r>
            <w:r w:rsidR="00B35BBC">
              <w:rPr>
                <w:noProof/>
                <w:webHidden/>
              </w:rPr>
              <w:t>5</w:t>
            </w:r>
            <w:r>
              <w:rPr>
                <w:noProof/>
                <w:webHidden/>
              </w:rPr>
              <w:fldChar w:fldCharType="end"/>
            </w:r>
          </w:hyperlink>
        </w:p>
        <w:p w14:paraId="414BA829" w14:textId="0E7BE4A0" w:rsidR="003514ED" w:rsidRDefault="003514ED">
          <w:pPr>
            <w:pStyle w:val="INNH2"/>
            <w:rPr>
              <w:rFonts w:eastAsiaTheme="minorEastAsia"/>
              <w:noProof/>
              <w:lang w:eastAsia="nb-NO"/>
            </w:rPr>
          </w:pPr>
          <w:hyperlink w:anchor="_Toc114065523" w:history="1">
            <w:r w:rsidRPr="00530DB4">
              <w:rPr>
                <w:rStyle w:val="Hyperkobling"/>
                <w:noProof/>
              </w:rPr>
              <w:t>1.3 Satsingsområder i 2021 og 2022</w:t>
            </w:r>
            <w:r w:rsidR="008E7419">
              <w:rPr>
                <w:noProof/>
                <w:webHidden/>
              </w:rPr>
              <w:t>……………………………</w:t>
            </w:r>
            <w:r w:rsidR="00451A68">
              <w:rPr>
                <w:noProof/>
                <w:webHidden/>
              </w:rPr>
              <w:t>………</w:t>
            </w:r>
            <w:r w:rsidR="008E7419">
              <w:rPr>
                <w:noProof/>
                <w:webHidden/>
              </w:rPr>
              <w:t>……..</w:t>
            </w:r>
            <w:r>
              <w:rPr>
                <w:noProof/>
                <w:webHidden/>
              </w:rPr>
              <w:fldChar w:fldCharType="begin"/>
            </w:r>
            <w:r>
              <w:rPr>
                <w:noProof/>
                <w:webHidden/>
              </w:rPr>
              <w:instrText xml:space="preserve"> PAGEREF _Toc114065523 \h </w:instrText>
            </w:r>
            <w:r>
              <w:rPr>
                <w:noProof/>
                <w:webHidden/>
              </w:rPr>
            </w:r>
            <w:r>
              <w:rPr>
                <w:noProof/>
                <w:webHidden/>
              </w:rPr>
              <w:fldChar w:fldCharType="separate"/>
            </w:r>
            <w:r w:rsidR="00B35BBC">
              <w:rPr>
                <w:noProof/>
                <w:webHidden/>
              </w:rPr>
              <w:t>5</w:t>
            </w:r>
            <w:r>
              <w:rPr>
                <w:noProof/>
                <w:webHidden/>
              </w:rPr>
              <w:fldChar w:fldCharType="end"/>
            </w:r>
          </w:hyperlink>
        </w:p>
        <w:p w14:paraId="1C84D447" w14:textId="5AEFCBED" w:rsidR="003514ED" w:rsidRDefault="003514ED">
          <w:pPr>
            <w:pStyle w:val="INNH2"/>
            <w:rPr>
              <w:rFonts w:eastAsiaTheme="minorEastAsia"/>
              <w:noProof/>
              <w:lang w:eastAsia="nb-NO"/>
            </w:rPr>
          </w:pPr>
          <w:hyperlink w:anchor="_Toc114065535" w:history="1">
            <w:r w:rsidRPr="00530DB4">
              <w:rPr>
                <w:rStyle w:val="Hyperkobling"/>
                <w:noProof/>
              </w:rPr>
              <w:t>1.4 Rapporter og undersøkelser</w:t>
            </w:r>
            <w:r w:rsidR="008E7419">
              <w:rPr>
                <w:noProof/>
                <w:webHidden/>
              </w:rPr>
              <w:t>…………………………………</w:t>
            </w:r>
            <w:r w:rsidR="00451A68">
              <w:rPr>
                <w:noProof/>
                <w:webHidden/>
              </w:rPr>
              <w:t>……....</w:t>
            </w:r>
            <w:r w:rsidR="003C43EC">
              <w:rPr>
                <w:noProof/>
                <w:webHidden/>
              </w:rPr>
              <w:t>....</w:t>
            </w:r>
            <w:r w:rsidR="008E7419">
              <w:rPr>
                <w:noProof/>
                <w:webHidden/>
              </w:rPr>
              <w:t>…</w:t>
            </w:r>
            <w:r>
              <w:rPr>
                <w:noProof/>
                <w:webHidden/>
              </w:rPr>
              <w:fldChar w:fldCharType="begin"/>
            </w:r>
            <w:r>
              <w:rPr>
                <w:noProof/>
                <w:webHidden/>
              </w:rPr>
              <w:instrText xml:space="preserve"> PAGEREF _Toc114065535 \h </w:instrText>
            </w:r>
            <w:r>
              <w:rPr>
                <w:noProof/>
                <w:webHidden/>
              </w:rPr>
            </w:r>
            <w:r>
              <w:rPr>
                <w:noProof/>
                <w:webHidden/>
              </w:rPr>
              <w:fldChar w:fldCharType="separate"/>
            </w:r>
            <w:r w:rsidR="00B35BBC">
              <w:rPr>
                <w:noProof/>
                <w:webHidden/>
              </w:rPr>
              <w:t>12</w:t>
            </w:r>
            <w:r>
              <w:rPr>
                <w:noProof/>
                <w:webHidden/>
              </w:rPr>
              <w:fldChar w:fldCharType="end"/>
            </w:r>
          </w:hyperlink>
        </w:p>
        <w:p w14:paraId="2ED06EFA" w14:textId="11DD8503" w:rsidR="003514ED" w:rsidRDefault="003514ED">
          <w:pPr>
            <w:pStyle w:val="INNH2"/>
            <w:rPr>
              <w:rFonts w:eastAsiaTheme="minorEastAsia"/>
              <w:noProof/>
              <w:lang w:eastAsia="nb-NO"/>
            </w:rPr>
          </w:pPr>
          <w:hyperlink w:anchor="_Toc114065536" w:history="1">
            <w:r w:rsidRPr="00530DB4">
              <w:rPr>
                <w:rStyle w:val="Hyperkobling"/>
                <w:noProof/>
              </w:rPr>
              <w:t>1.5 Akademikerprisen</w:t>
            </w:r>
            <w:r w:rsidR="008E7419">
              <w:rPr>
                <w:noProof/>
                <w:webHidden/>
              </w:rPr>
              <w:t>……………………………………………</w:t>
            </w:r>
            <w:r w:rsidR="00451A68">
              <w:rPr>
                <w:noProof/>
                <w:webHidden/>
              </w:rPr>
              <w:t>……...</w:t>
            </w:r>
            <w:r w:rsidR="008E7419">
              <w:rPr>
                <w:noProof/>
                <w:webHidden/>
              </w:rPr>
              <w:t>…</w:t>
            </w:r>
            <w:r w:rsidR="003C43EC">
              <w:rPr>
                <w:noProof/>
                <w:webHidden/>
              </w:rPr>
              <w:t>.</w:t>
            </w:r>
            <w:r w:rsidR="008E7419">
              <w:rPr>
                <w:noProof/>
                <w:webHidden/>
              </w:rPr>
              <w:t>...</w:t>
            </w:r>
            <w:r>
              <w:rPr>
                <w:noProof/>
                <w:webHidden/>
              </w:rPr>
              <w:fldChar w:fldCharType="begin"/>
            </w:r>
            <w:r>
              <w:rPr>
                <w:noProof/>
                <w:webHidden/>
              </w:rPr>
              <w:instrText xml:space="preserve"> PAGEREF _Toc114065536 \h </w:instrText>
            </w:r>
            <w:r>
              <w:rPr>
                <w:noProof/>
                <w:webHidden/>
              </w:rPr>
            </w:r>
            <w:r>
              <w:rPr>
                <w:noProof/>
                <w:webHidden/>
              </w:rPr>
              <w:fldChar w:fldCharType="separate"/>
            </w:r>
            <w:r w:rsidR="00B35BBC">
              <w:rPr>
                <w:noProof/>
                <w:webHidden/>
              </w:rPr>
              <w:t>13</w:t>
            </w:r>
            <w:r>
              <w:rPr>
                <w:noProof/>
                <w:webHidden/>
              </w:rPr>
              <w:fldChar w:fldCharType="end"/>
            </w:r>
          </w:hyperlink>
        </w:p>
        <w:p w14:paraId="0D3E35BB" w14:textId="31103750" w:rsidR="003514ED" w:rsidRDefault="003514ED">
          <w:pPr>
            <w:pStyle w:val="INNH1"/>
            <w:rPr>
              <w:rFonts w:eastAsiaTheme="minorEastAsia"/>
              <w:b w:val="0"/>
              <w:bCs w:val="0"/>
              <w:noProof/>
              <w:lang w:eastAsia="nb-NO"/>
            </w:rPr>
          </w:pPr>
          <w:hyperlink w:anchor="_Toc114065537" w:history="1">
            <w:r w:rsidRPr="00530DB4">
              <w:rPr>
                <w:rStyle w:val="Hyperkobling"/>
                <w:noProof/>
              </w:rPr>
              <w:t>2. Lønn og tariff</w:t>
            </w:r>
            <w:r w:rsidR="008E7419">
              <w:rPr>
                <w:noProof/>
                <w:webHidden/>
              </w:rPr>
              <w:t xml:space="preserve"> …………………………………………………</w:t>
            </w:r>
            <w:r w:rsidR="00451A68">
              <w:rPr>
                <w:noProof/>
                <w:webHidden/>
              </w:rPr>
              <w:t>………</w:t>
            </w:r>
            <w:r w:rsidR="008E7419">
              <w:rPr>
                <w:noProof/>
                <w:webHidden/>
              </w:rPr>
              <w:t>……</w:t>
            </w:r>
            <w:r w:rsidR="003C43EC">
              <w:rPr>
                <w:noProof/>
                <w:webHidden/>
              </w:rPr>
              <w:t>.</w:t>
            </w:r>
            <w:r w:rsidR="008E7419">
              <w:rPr>
                <w:noProof/>
                <w:webHidden/>
              </w:rPr>
              <w:t>.</w:t>
            </w:r>
            <w:r>
              <w:rPr>
                <w:noProof/>
                <w:webHidden/>
              </w:rPr>
              <w:fldChar w:fldCharType="begin"/>
            </w:r>
            <w:r>
              <w:rPr>
                <w:noProof/>
                <w:webHidden/>
              </w:rPr>
              <w:instrText xml:space="preserve"> PAGEREF _Toc114065537 \h </w:instrText>
            </w:r>
            <w:r>
              <w:rPr>
                <w:noProof/>
                <w:webHidden/>
              </w:rPr>
            </w:r>
            <w:r>
              <w:rPr>
                <w:noProof/>
                <w:webHidden/>
              </w:rPr>
              <w:fldChar w:fldCharType="separate"/>
            </w:r>
            <w:r w:rsidR="00B35BBC">
              <w:rPr>
                <w:noProof/>
                <w:webHidden/>
              </w:rPr>
              <w:t>13</w:t>
            </w:r>
            <w:r>
              <w:rPr>
                <w:noProof/>
                <w:webHidden/>
              </w:rPr>
              <w:fldChar w:fldCharType="end"/>
            </w:r>
          </w:hyperlink>
        </w:p>
        <w:p w14:paraId="269FF04C" w14:textId="286C7251" w:rsidR="003514ED" w:rsidRDefault="003514ED">
          <w:pPr>
            <w:pStyle w:val="INNH2"/>
            <w:rPr>
              <w:rFonts w:eastAsiaTheme="minorEastAsia"/>
              <w:noProof/>
              <w:lang w:eastAsia="nb-NO"/>
            </w:rPr>
          </w:pPr>
          <w:hyperlink w:anchor="_Toc114065538" w:history="1">
            <w:r w:rsidRPr="00530DB4">
              <w:rPr>
                <w:rStyle w:val="Hyperkobling"/>
                <w:noProof/>
              </w:rPr>
              <w:t>2.1 Saker som særlig har preget tariffpolitikken i perioden</w:t>
            </w:r>
            <w:r w:rsidR="0007277C">
              <w:rPr>
                <w:noProof/>
                <w:webHidden/>
              </w:rPr>
              <w:t>…………</w:t>
            </w:r>
            <w:r w:rsidR="00451A68">
              <w:rPr>
                <w:noProof/>
                <w:webHidden/>
              </w:rPr>
              <w:t>………</w:t>
            </w:r>
            <w:r w:rsidR="003C43EC">
              <w:rPr>
                <w:noProof/>
                <w:webHidden/>
              </w:rPr>
              <w:t>.</w:t>
            </w:r>
            <w:r w:rsidR="0007277C">
              <w:rPr>
                <w:noProof/>
                <w:webHidden/>
              </w:rPr>
              <w:t>.</w:t>
            </w:r>
            <w:r>
              <w:rPr>
                <w:noProof/>
                <w:webHidden/>
              </w:rPr>
              <w:fldChar w:fldCharType="begin"/>
            </w:r>
            <w:r>
              <w:rPr>
                <w:noProof/>
                <w:webHidden/>
              </w:rPr>
              <w:instrText xml:space="preserve"> PAGEREF _Toc114065538 \h </w:instrText>
            </w:r>
            <w:r>
              <w:rPr>
                <w:noProof/>
                <w:webHidden/>
              </w:rPr>
            </w:r>
            <w:r>
              <w:rPr>
                <w:noProof/>
                <w:webHidden/>
              </w:rPr>
              <w:fldChar w:fldCharType="separate"/>
            </w:r>
            <w:r w:rsidR="00B35BBC">
              <w:rPr>
                <w:noProof/>
                <w:webHidden/>
              </w:rPr>
              <w:t>13</w:t>
            </w:r>
            <w:r>
              <w:rPr>
                <w:noProof/>
                <w:webHidden/>
              </w:rPr>
              <w:fldChar w:fldCharType="end"/>
            </w:r>
          </w:hyperlink>
        </w:p>
        <w:p w14:paraId="60D25146" w14:textId="043C2B0D" w:rsidR="003514ED" w:rsidRDefault="003514ED">
          <w:pPr>
            <w:pStyle w:val="INNH2"/>
            <w:rPr>
              <w:rFonts w:eastAsiaTheme="minorEastAsia"/>
              <w:noProof/>
              <w:lang w:eastAsia="nb-NO"/>
            </w:rPr>
          </w:pPr>
          <w:hyperlink w:anchor="_Toc114065539" w:history="1">
            <w:r w:rsidRPr="00530DB4">
              <w:rPr>
                <w:rStyle w:val="Hyperkobling"/>
                <w:noProof/>
              </w:rPr>
              <w:t>2.2 Akademikernes utvalg og samarbeidsorgan</w:t>
            </w:r>
            <w:r w:rsidR="0007277C">
              <w:rPr>
                <w:noProof/>
                <w:webHidden/>
              </w:rPr>
              <w:t>…………………</w:t>
            </w:r>
            <w:r w:rsidR="00451A68">
              <w:rPr>
                <w:noProof/>
                <w:webHidden/>
              </w:rPr>
              <w:t>………</w:t>
            </w:r>
            <w:r w:rsidR="0007277C">
              <w:rPr>
                <w:noProof/>
                <w:webHidden/>
              </w:rPr>
              <w:t>…</w:t>
            </w:r>
            <w:r w:rsidR="003C43EC">
              <w:rPr>
                <w:noProof/>
                <w:webHidden/>
              </w:rPr>
              <w:t>.</w:t>
            </w:r>
            <w:r w:rsidR="0007277C">
              <w:rPr>
                <w:noProof/>
                <w:webHidden/>
              </w:rPr>
              <w:t>...</w:t>
            </w:r>
            <w:r>
              <w:rPr>
                <w:noProof/>
                <w:webHidden/>
              </w:rPr>
              <w:fldChar w:fldCharType="begin"/>
            </w:r>
            <w:r>
              <w:rPr>
                <w:noProof/>
                <w:webHidden/>
              </w:rPr>
              <w:instrText xml:space="preserve"> PAGEREF _Toc114065539 \h </w:instrText>
            </w:r>
            <w:r>
              <w:rPr>
                <w:noProof/>
                <w:webHidden/>
              </w:rPr>
            </w:r>
            <w:r>
              <w:rPr>
                <w:noProof/>
                <w:webHidden/>
              </w:rPr>
              <w:fldChar w:fldCharType="separate"/>
            </w:r>
            <w:r w:rsidR="00B35BBC">
              <w:rPr>
                <w:noProof/>
                <w:webHidden/>
              </w:rPr>
              <w:t>14</w:t>
            </w:r>
            <w:r>
              <w:rPr>
                <w:noProof/>
                <w:webHidden/>
              </w:rPr>
              <w:fldChar w:fldCharType="end"/>
            </w:r>
          </w:hyperlink>
        </w:p>
        <w:p w14:paraId="7F84D712" w14:textId="70580393" w:rsidR="003514ED" w:rsidRDefault="003514ED">
          <w:pPr>
            <w:pStyle w:val="INNH2"/>
            <w:rPr>
              <w:rFonts w:eastAsiaTheme="minorEastAsia"/>
              <w:noProof/>
              <w:lang w:eastAsia="nb-NO"/>
            </w:rPr>
          </w:pPr>
          <w:hyperlink w:anchor="_Toc114065540" w:history="1">
            <w:r w:rsidRPr="00530DB4">
              <w:rPr>
                <w:rStyle w:val="Hyperkobling"/>
                <w:noProof/>
              </w:rPr>
              <w:t>2.2.1 Akademikerne stat</w:t>
            </w:r>
            <w:r w:rsidR="0007277C">
              <w:rPr>
                <w:noProof/>
                <w:webHidden/>
              </w:rPr>
              <w:t>……………………………………………</w:t>
            </w:r>
            <w:r w:rsidR="00451A68">
              <w:rPr>
                <w:noProof/>
                <w:webHidden/>
              </w:rPr>
              <w:t>………</w:t>
            </w:r>
            <w:r w:rsidR="0007277C">
              <w:rPr>
                <w:noProof/>
                <w:webHidden/>
              </w:rPr>
              <w:t>.</w:t>
            </w:r>
            <w:r w:rsidR="003C43EC">
              <w:rPr>
                <w:noProof/>
                <w:webHidden/>
              </w:rPr>
              <w:t>.</w:t>
            </w:r>
            <w:r w:rsidR="0007277C">
              <w:rPr>
                <w:noProof/>
                <w:webHidden/>
              </w:rPr>
              <w:t>..</w:t>
            </w:r>
            <w:r>
              <w:rPr>
                <w:noProof/>
                <w:webHidden/>
              </w:rPr>
              <w:fldChar w:fldCharType="begin"/>
            </w:r>
            <w:r>
              <w:rPr>
                <w:noProof/>
                <w:webHidden/>
              </w:rPr>
              <w:instrText xml:space="preserve"> PAGEREF _Toc114065540 \h </w:instrText>
            </w:r>
            <w:r>
              <w:rPr>
                <w:noProof/>
                <w:webHidden/>
              </w:rPr>
            </w:r>
            <w:r>
              <w:rPr>
                <w:noProof/>
                <w:webHidden/>
              </w:rPr>
              <w:fldChar w:fldCharType="separate"/>
            </w:r>
            <w:r w:rsidR="00B35BBC">
              <w:rPr>
                <w:noProof/>
                <w:webHidden/>
              </w:rPr>
              <w:t>15</w:t>
            </w:r>
            <w:r>
              <w:rPr>
                <w:noProof/>
                <w:webHidden/>
              </w:rPr>
              <w:fldChar w:fldCharType="end"/>
            </w:r>
          </w:hyperlink>
        </w:p>
        <w:p w14:paraId="263BDC48" w14:textId="161C335A" w:rsidR="003514ED" w:rsidRDefault="003514ED">
          <w:pPr>
            <w:pStyle w:val="INNH2"/>
            <w:rPr>
              <w:rFonts w:eastAsiaTheme="minorEastAsia"/>
              <w:noProof/>
              <w:lang w:eastAsia="nb-NO"/>
            </w:rPr>
          </w:pPr>
          <w:hyperlink w:anchor="_Toc114065541" w:history="1">
            <w:r w:rsidRPr="00530DB4">
              <w:rPr>
                <w:rStyle w:val="Hyperkobling"/>
                <w:noProof/>
              </w:rPr>
              <w:t xml:space="preserve">2.2.2 Akademikerne kommune </w:t>
            </w:r>
            <w:r w:rsidR="0007277C">
              <w:rPr>
                <w:rStyle w:val="Hyperkobling"/>
                <w:noProof/>
              </w:rPr>
              <w:t>–</w:t>
            </w:r>
            <w:r w:rsidRPr="00530DB4">
              <w:rPr>
                <w:rStyle w:val="Hyperkobling"/>
                <w:noProof/>
              </w:rPr>
              <w:t xml:space="preserve"> KS</w:t>
            </w:r>
            <w:r w:rsidR="0007277C">
              <w:rPr>
                <w:noProof/>
                <w:webHidden/>
              </w:rPr>
              <w:t>………………………………</w:t>
            </w:r>
            <w:r w:rsidR="00451A68">
              <w:rPr>
                <w:noProof/>
                <w:webHidden/>
              </w:rPr>
              <w:t>………</w:t>
            </w:r>
            <w:r w:rsidR="0007277C">
              <w:rPr>
                <w:noProof/>
                <w:webHidden/>
              </w:rPr>
              <w:t>…</w:t>
            </w:r>
            <w:r>
              <w:rPr>
                <w:noProof/>
                <w:webHidden/>
              </w:rPr>
              <w:fldChar w:fldCharType="begin"/>
            </w:r>
            <w:r>
              <w:rPr>
                <w:noProof/>
                <w:webHidden/>
              </w:rPr>
              <w:instrText xml:space="preserve"> PAGEREF _Toc114065541 \h </w:instrText>
            </w:r>
            <w:r>
              <w:rPr>
                <w:noProof/>
                <w:webHidden/>
              </w:rPr>
            </w:r>
            <w:r>
              <w:rPr>
                <w:noProof/>
                <w:webHidden/>
              </w:rPr>
              <w:fldChar w:fldCharType="separate"/>
            </w:r>
            <w:r w:rsidR="00B35BBC">
              <w:rPr>
                <w:noProof/>
                <w:webHidden/>
              </w:rPr>
              <w:t>16</w:t>
            </w:r>
            <w:r>
              <w:rPr>
                <w:noProof/>
                <w:webHidden/>
              </w:rPr>
              <w:fldChar w:fldCharType="end"/>
            </w:r>
          </w:hyperlink>
        </w:p>
        <w:p w14:paraId="27148120" w14:textId="12EC145D" w:rsidR="003514ED" w:rsidRDefault="003514ED">
          <w:pPr>
            <w:pStyle w:val="INNH2"/>
            <w:rPr>
              <w:rFonts w:eastAsiaTheme="minorEastAsia"/>
              <w:noProof/>
              <w:lang w:eastAsia="nb-NO"/>
            </w:rPr>
          </w:pPr>
          <w:hyperlink w:anchor="_Toc114065546" w:history="1">
            <w:r w:rsidRPr="00530DB4">
              <w:rPr>
                <w:rStyle w:val="Hyperkobling"/>
                <w:bCs/>
                <w:noProof/>
              </w:rPr>
              <w:t>2.2.3 Akademikerne kommune – Samfunnsbedriftene</w:t>
            </w:r>
            <w:r>
              <w:rPr>
                <w:noProof/>
                <w:webHidden/>
              </w:rPr>
              <w:tab/>
            </w:r>
            <w:r w:rsidR="00E007A3">
              <w:rPr>
                <w:noProof/>
                <w:webHidden/>
              </w:rPr>
              <w:t>……………</w:t>
            </w:r>
            <w:r w:rsidR="00451A68">
              <w:rPr>
                <w:noProof/>
                <w:webHidden/>
              </w:rPr>
              <w:t>………</w:t>
            </w:r>
            <w:r w:rsidR="003C43EC">
              <w:rPr>
                <w:noProof/>
                <w:webHidden/>
              </w:rPr>
              <w:t>.</w:t>
            </w:r>
            <w:r w:rsidR="00E007A3">
              <w:rPr>
                <w:noProof/>
                <w:webHidden/>
              </w:rPr>
              <w:t>…</w:t>
            </w:r>
            <w:r>
              <w:rPr>
                <w:noProof/>
                <w:webHidden/>
              </w:rPr>
              <w:fldChar w:fldCharType="begin"/>
            </w:r>
            <w:r>
              <w:rPr>
                <w:noProof/>
                <w:webHidden/>
              </w:rPr>
              <w:instrText xml:space="preserve"> PAGEREF _Toc114065546 \h </w:instrText>
            </w:r>
            <w:r>
              <w:rPr>
                <w:noProof/>
                <w:webHidden/>
              </w:rPr>
            </w:r>
            <w:r>
              <w:rPr>
                <w:noProof/>
                <w:webHidden/>
              </w:rPr>
              <w:fldChar w:fldCharType="separate"/>
            </w:r>
            <w:r w:rsidR="00B35BBC">
              <w:rPr>
                <w:noProof/>
                <w:webHidden/>
              </w:rPr>
              <w:t>17</w:t>
            </w:r>
            <w:r>
              <w:rPr>
                <w:noProof/>
                <w:webHidden/>
              </w:rPr>
              <w:fldChar w:fldCharType="end"/>
            </w:r>
          </w:hyperlink>
        </w:p>
        <w:p w14:paraId="39C34A9E" w14:textId="7CB0A901" w:rsidR="003514ED" w:rsidRDefault="003514ED">
          <w:pPr>
            <w:pStyle w:val="INNH2"/>
            <w:rPr>
              <w:rFonts w:eastAsiaTheme="minorEastAsia"/>
              <w:noProof/>
              <w:lang w:eastAsia="nb-NO"/>
            </w:rPr>
          </w:pPr>
          <w:hyperlink w:anchor="_Toc114065549" w:history="1">
            <w:r w:rsidRPr="00530DB4">
              <w:rPr>
                <w:rStyle w:val="Hyperkobling"/>
                <w:noProof/>
              </w:rPr>
              <w:t>2.2.4 Akademikerne kommune - Oslo kommune</w:t>
            </w:r>
            <w:r w:rsidR="00E007A3">
              <w:rPr>
                <w:noProof/>
                <w:webHidden/>
              </w:rPr>
              <w:t>…………………</w:t>
            </w:r>
            <w:r w:rsidR="00451A68">
              <w:rPr>
                <w:noProof/>
                <w:webHidden/>
              </w:rPr>
              <w:t>……</w:t>
            </w:r>
            <w:r w:rsidR="003C43EC">
              <w:rPr>
                <w:noProof/>
                <w:webHidden/>
              </w:rPr>
              <w:t>.</w:t>
            </w:r>
            <w:r w:rsidR="00451A68">
              <w:rPr>
                <w:noProof/>
                <w:webHidden/>
              </w:rPr>
              <w:t>…</w:t>
            </w:r>
            <w:r w:rsidR="00E007A3">
              <w:rPr>
                <w:noProof/>
                <w:webHidden/>
              </w:rPr>
              <w:t>….</w:t>
            </w:r>
            <w:r>
              <w:rPr>
                <w:noProof/>
                <w:webHidden/>
              </w:rPr>
              <w:fldChar w:fldCharType="begin"/>
            </w:r>
            <w:r>
              <w:rPr>
                <w:noProof/>
                <w:webHidden/>
              </w:rPr>
              <w:instrText xml:space="preserve"> PAGEREF _Toc114065549 \h </w:instrText>
            </w:r>
            <w:r>
              <w:rPr>
                <w:noProof/>
                <w:webHidden/>
              </w:rPr>
            </w:r>
            <w:r>
              <w:rPr>
                <w:noProof/>
                <w:webHidden/>
              </w:rPr>
              <w:fldChar w:fldCharType="separate"/>
            </w:r>
            <w:r w:rsidR="00B35BBC">
              <w:rPr>
                <w:noProof/>
                <w:webHidden/>
              </w:rPr>
              <w:t>18</w:t>
            </w:r>
            <w:r>
              <w:rPr>
                <w:noProof/>
                <w:webHidden/>
              </w:rPr>
              <w:fldChar w:fldCharType="end"/>
            </w:r>
          </w:hyperlink>
        </w:p>
        <w:p w14:paraId="24BEF035" w14:textId="4D68C706" w:rsidR="003514ED" w:rsidRDefault="003514ED">
          <w:pPr>
            <w:pStyle w:val="INNH2"/>
            <w:rPr>
              <w:rFonts w:eastAsiaTheme="minorEastAsia"/>
              <w:noProof/>
              <w:lang w:eastAsia="nb-NO"/>
            </w:rPr>
          </w:pPr>
          <w:hyperlink w:anchor="_Toc114065553" w:history="1">
            <w:r w:rsidRPr="00530DB4">
              <w:rPr>
                <w:rStyle w:val="Hyperkobling"/>
                <w:noProof/>
              </w:rPr>
              <w:t>2.2.5 Akademikerne helse</w:t>
            </w:r>
            <w:r w:rsidR="00116CA1">
              <w:rPr>
                <w:noProof/>
                <w:webHidden/>
              </w:rPr>
              <w:t>………………………………………</w:t>
            </w:r>
            <w:r w:rsidR="00451A68">
              <w:rPr>
                <w:noProof/>
                <w:webHidden/>
              </w:rPr>
              <w:t>………</w:t>
            </w:r>
            <w:r w:rsidR="00116CA1">
              <w:rPr>
                <w:noProof/>
                <w:webHidden/>
              </w:rPr>
              <w:t>…</w:t>
            </w:r>
            <w:r w:rsidR="003C43EC">
              <w:rPr>
                <w:noProof/>
                <w:webHidden/>
              </w:rPr>
              <w:t>.</w:t>
            </w:r>
            <w:r w:rsidR="00116CA1">
              <w:rPr>
                <w:noProof/>
                <w:webHidden/>
              </w:rPr>
              <w:t>….</w:t>
            </w:r>
            <w:r>
              <w:rPr>
                <w:noProof/>
                <w:webHidden/>
              </w:rPr>
              <w:fldChar w:fldCharType="begin"/>
            </w:r>
            <w:r>
              <w:rPr>
                <w:noProof/>
                <w:webHidden/>
              </w:rPr>
              <w:instrText xml:space="preserve"> PAGEREF _Toc114065553 \h </w:instrText>
            </w:r>
            <w:r>
              <w:rPr>
                <w:noProof/>
                <w:webHidden/>
              </w:rPr>
            </w:r>
            <w:r>
              <w:rPr>
                <w:noProof/>
                <w:webHidden/>
              </w:rPr>
              <w:fldChar w:fldCharType="separate"/>
            </w:r>
            <w:r w:rsidR="00B35BBC">
              <w:rPr>
                <w:noProof/>
                <w:webHidden/>
              </w:rPr>
              <w:t>18</w:t>
            </w:r>
            <w:r>
              <w:rPr>
                <w:noProof/>
                <w:webHidden/>
              </w:rPr>
              <w:fldChar w:fldCharType="end"/>
            </w:r>
          </w:hyperlink>
        </w:p>
        <w:p w14:paraId="4C11F5DA" w14:textId="17B54E38" w:rsidR="003514ED" w:rsidRDefault="003514ED">
          <w:pPr>
            <w:pStyle w:val="INNH2"/>
            <w:tabs>
              <w:tab w:val="left" w:pos="880"/>
            </w:tabs>
            <w:rPr>
              <w:rFonts w:eastAsiaTheme="minorEastAsia"/>
              <w:noProof/>
              <w:lang w:eastAsia="nb-NO"/>
            </w:rPr>
          </w:pPr>
          <w:hyperlink w:anchor="_Toc114065554" w:history="1">
            <w:r w:rsidRPr="00530DB4">
              <w:rPr>
                <w:rStyle w:val="Hyperkobling"/>
                <w:noProof/>
              </w:rPr>
              <w:t>2.3</w:t>
            </w:r>
            <w:r w:rsidR="00A71E05">
              <w:rPr>
                <w:rFonts w:eastAsiaTheme="minorEastAsia"/>
                <w:noProof/>
                <w:lang w:eastAsia="nb-NO"/>
              </w:rPr>
              <w:t xml:space="preserve"> </w:t>
            </w:r>
            <w:r w:rsidRPr="00530DB4">
              <w:rPr>
                <w:rStyle w:val="Hyperkobling"/>
                <w:noProof/>
              </w:rPr>
              <w:t>Samarbeidsorganer</w:t>
            </w:r>
            <w:r w:rsidR="00116CA1">
              <w:rPr>
                <w:noProof/>
                <w:webHidden/>
              </w:rPr>
              <w:t>…………………………</w:t>
            </w:r>
            <w:r w:rsidR="00F7748D">
              <w:rPr>
                <w:noProof/>
                <w:webHidden/>
              </w:rPr>
              <w:t>…</w:t>
            </w:r>
            <w:r w:rsidR="00A71E05">
              <w:rPr>
                <w:noProof/>
                <w:webHidden/>
              </w:rPr>
              <w:t>.</w:t>
            </w:r>
            <w:r w:rsidR="00F7748D">
              <w:rPr>
                <w:noProof/>
                <w:webHidden/>
              </w:rPr>
              <w:t>.</w:t>
            </w:r>
            <w:r w:rsidR="00116CA1">
              <w:rPr>
                <w:noProof/>
                <w:webHidden/>
              </w:rPr>
              <w:t>…………</w:t>
            </w:r>
            <w:r w:rsidR="00451A68">
              <w:rPr>
                <w:noProof/>
                <w:webHidden/>
              </w:rPr>
              <w:t>……….</w:t>
            </w:r>
            <w:r w:rsidR="00116CA1">
              <w:rPr>
                <w:noProof/>
                <w:webHidden/>
              </w:rPr>
              <w:t>…</w:t>
            </w:r>
            <w:r w:rsidR="003C43EC">
              <w:rPr>
                <w:noProof/>
                <w:webHidden/>
              </w:rPr>
              <w:t>.</w:t>
            </w:r>
            <w:r w:rsidR="00116CA1">
              <w:rPr>
                <w:noProof/>
                <w:webHidden/>
              </w:rPr>
              <w:t>…</w:t>
            </w:r>
            <w:r w:rsidR="003C43EC">
              <w:rPr>
                <w:noProof/>
                <w:webHidden/>
              </w:rPr>
              <w:t>...</w:t>
            </w:r>
            <w:r>
              <w:rPr>
                <w:noProof/>
                <w:webHidden/>
              </w:rPr>
              <w:fldChar w:fldCharType="begin"/>
            </w:r>
            <w:r>
              <w:rPr>
                <w:noProof/>
                <w:webHidden/>
              </w:rPr>
              <w:instrText xml:space="preserve"> PAGEREF _Toc114065554 \h </w:instrText>
            </w:r>
            <w:r>
              <w:rPr>
                <w:noProof/>
                <w:webHidden/>
              </w:rPr>
            </w:r>
            <w:r>
              <w:rPr>
                <w:noProof/>
                <w:webHidden/>
              </w:rPr>
              <w:fldChar w:fldCharType="separate"/>
            </w:r>
            <w:r w:rsidR="00B35BBC">
              <w:rPr>
                <w:noProof/>
                <w:webHidden/>
              </w:rPr>
              <w:t>19</w:t>
            </w:r>
            <w:r>
              <w:rPr>
                <w:noProof/>
                <w:webHidden/>
              </w:rPr>
              <w:fldChar w:fldCharType="end"/>
            </w:r>
          </w:hyperlink>
        </w:p>
        <w:p w14:paraId="68117972" w14:textId="402F606E" w:rsidR="003514ED" w:rsidRDefault="003514ED">
          <w:pPr>
            <w:pStyle w:val="INNH2"/>
            <w:rPr>
              <w:rFonts w:eastAsiaTheme="minorEastAsia"/>
              <w:noProof/>
              <w:lang w:eastAsia="nb-NO"/>
            </w:rPr>
          </w:pPr>
          <w:hyperlink w:anchor="_Toc114065555" w:history="1">
            <w:r w:rsidRPr="00530DB4">
              <w:rPr>
                <w:rStyle w:val="Hyperkobling"/>
                <w:noProof/>
              </w:rPr>
              <w:t>2.3.1 Akademikerne næringsdrivende</w:t>
            </w:r>
            <w:r w:rsidR="00B8106B">
              <w:rPr>
                <w:rStyle w:val="Hyperkobling"/>
                <w:noProof/>
              </w:rPr>
              <w:t>………………………</w:t>
            </w:r>
            <w:r w:rsidR="00451A68">
              <w:rPr>
                <w:rStyle w:val="Hyperkobling"/>
                <w:noProof/>
              </w:rPr>
              <w:t>……….</w:t>
            </w:r>
            <w:r w:rsidR="00B8106B">
              <w:rPr>
                <w:rStyle w:val="Hyperkobling"/>
                <w:noProof/>
              </w:rPr>
              <w:t>…</w:t>
            </w:r>
            <w:r w:rsidR="003C43EC">
              <w:rPr>
                <w:rStyle w:val="Hyperkobling"/>
                <w:noProof/>
              </w:rPr>
              <w:t>.</w:t>
            </w:r>
            <w:r w:rsidR="00B8106B">
              <w:rPr>
                <w:rStyle w:val="Hyperkobling"/>
                <w:noProof/>
              </w:rPr>
              <w:t>……..</w:t>
            </w:r>
            <w:r>
              <w:rPr>
                <w:noProof/>
                <w:webHidden/>
              </w:rPr>
              <w:fldChar w:fldCharType="begin"/>
            </w:r>
            <w:r>
              <w:rPr>
                <w:noProof/>
                <w:webHidden/>
              </w:rPr>
              <w:instrText xml:space="preserve"> PAGEREF _Toc114065555 \h </w:instrText>
            </w:r>
            <w:r>
              <w:rPr>
                <w:noProof/>
                <w:webHidden/>
              </w:rPr>
            </w:r>
            <w:r>
              <w:rPr>
                <w:noProof/>
                <w:webHidden/>
              </w:rPr>
              <w:fldChar w:fldCharType="separate"/>
            </w:r>
            <w:r w:rsidR="00B35BBC">
              <w:rPr>
                <w:noProof/>
                <w:webHidden/>
              </w:rPr>
              <w:t>19</w:t>
            </w:r>
            <w:r>
              <w:rPr>
                <w:noProof/>
                <w:webHidden/>
              </w:rPr>
              <w:fldChar w:fldCharType="end"/>
            </w:r>
          </w:hyperlink>
        </w:p>
        <w:p w14:paraId="016CEEAC" w14:textId="504716D7" w:rsidR="003514ED" w:rsidRDefault="003514ED">
          <w:pPr>
            <w:pStyle w:val="INNH2"/>
            <w:rPr>
              <w:rFonts w:eastAsiaTheme="minorEastAsia"/>
              <w:noProof/>
              <w:lang w:eastAsia="nb-NO"/>
            </w:rPr>
          </w:pPr>
          <w:hyperlink w:anchor="_Toc114065556" w:history="1">
            <w:r w:rsidRPr="00530DB4">
              <w:rPr>
                <w:rStyle w:val="Hyperkobling"/>
                <w:noProof/>
              </w:rPr>
              <w:t>2.3.2 Akademikerne privat</w:t>
            </w:r>
            <w:r w:rsidR="00B8106B">
              <w:rPr>
                <w:noProof/>
                <w:webHidden/>
              </w:rPr>
              <w:t>………………………………………</w:t>
            </w:r>
            <w:r w:rsidR="00451A68">
              <w:rPr>
                <w:noProof/>
                <w:webHidden/>
              </w:rPr>
              <w:t>………</w:t>
            </w:r>
            <w:r w:rsidR="003C43EC">
              <w:rPr>
                <w:noProof/>
                <w:webHidden/>
              </w:rPr>
              <w:t>.</w:t>
            </w:r>
            <w:r w:rsidR="00B8106B">
              <w:rPr>
                <w:noProof/>
                <w:webHidden/>
              </w:rPr>
              <w:t>……</w:t>
            </w:r>
            <w:r>
              <w:rPr>
                <w:noProof/>
                <w:webHidden/>
              </w:rPr>
              <w:fldChar w:fldCharType="begin"/>
            </w:r>
            <w:r>
              <w:rPr>
                <w:noProof/>
                <w:webHidden/>
              </w:rPr>
              <w:instrText xml:space="preserve"> PAGEREF _Toc114065556 \h </w:instrText>
            </w:r>
            <w:r>
              <w:rPr>
                <w:noProof/>
                <w:webHidden/>
              </w:rPr>
            </w:r>
            <w:r>
              <w:rPr>
                <w:noProof/>
                <w:webHidden/>
              </w:rPr>
              <w:fldChar w:fldCharType="separate"/>
            </w:r>
            <w:r w:rsidR="00B35BBC">
              <w:rPr>
                <w:noProof/>
                <w:webHidden/>
              </w:rPr>
              <w:t>20</w:t>
            </w:r>
            <w:r>
              <w:rPr>
                <w:noProof/>
                <w:webHidden/>
              </w:rPr>
              <w:fldChar w:fldCharType="end"/>
            </w:r>
          </w:hyperlink>
        </w:p>
        <w:p w14:paraId="4B0CF14F" w14:textId="18DC8050" w:rsidR="003514ED" w:rsidRDefault="003514ED">
          <w:pPr>
            <w:pStyle w:val="INNH1"/>
            <w:rPr>
              <w:rFonts w:eastAsiaTheme="minorEastAsia"/>
              <w:b w:val="0"/>
              <w:bCs w:val="0"/>
              <w:noProof/>
              <w:lang w:eastAsia="nb-NO"/>
            </w:rPr>
          </w:pPr>
          <w:hyperlink w:anchor="_Toc114065557" w:history="1">
            <w:r w:rsidRPr="00530DB4">
              <w:rPr>
                <w:rStyle w:val="Hyperkobling"/>
                <w:noProof/>
              </w:rPr>
              <w:t>Vedlegg</w:t>
            </w:r>
            <w:r w:rsidR="00B8106B">
              <w:rPr>
                <w:noProof/>
                <w:webHidden/>
              </w:rPr>
              <w:t>…………………………………………………………………</w:t>
            </w:r>
            <w:r w:rsidR="00451A68">
              <w:rPr>
                <w:noProof/>
                <w:webHidden/>
              </w:rPr>
              <w:t>……….</w:t>
            </w:r>
            <w:r w:rsidR="00B8106B">
              <w:rPr>
                <w:noProof/>
                <w:webHidden/>
              </w:rPr>
              <w:t>.</w:t>
            </w:r>
            <w:r>
              <w:rPr>
                <w:noProof/>
                <w:webHidden/>
              </w:rPr>
              <w:fldChar w:fldCharType="begin"/>
            </w:r>
            <w:r>
              <w:rPr>
                <w:noProof/>
                <w:webHidden/>
              </w:rPr>
              <w:instrText xml:space="preserve"> PAGEREF _Toc114065557 \h </w:instrText>
            </w:r>
            <w:r>
              <w:rPr>
                <w:noProof/>
                <w:webHidden/>
              </w:rPr>
            </w:r>
            <w:r>
              <w:rPr>
                <w:noProof/>
                <w:webHidden/>
              </w:rPr>
              <w:fldChar w:fldCharType="separate"/>
            </w:r>
            <w:r w:rsidR="00B35BBC">
              <w:rPr>
                <w:noProof/>
                <w:webHidden/>
              </w:rPr>
              <w:t>21</w:t>
            </w:r>
            <w:r>
              <w:rPr>
                <w:noProof/>
                <w:webHidden/>
              </w:rPr>
              <w:fldChar w:fldCharType="end"/>
            </w:r>
          </w:hyperlink>
        </w:p>
        <w:p w14:paraId="4A923FB6" w14:textId="6D80A84D" w:rsidR="003514ED" w:rsidRDefault="003514ED">
          <w:pPr>
            <w:pStyle w:val="INNH2"/>
            <w:rPr>
              <w:rFonts w:eastAsiaTheme="minorEastAsia"/>
              <w:noProof/>
              <w:lang w:eastAsia="nb-NO"/>
            </w:rPr>
          </w:pPr>
          <w:hyperlink w:anchor="_Toc114065558" w:history="1">
            <w:r w:rsidRPr="00530DB4">
              <w:rPr>
                <w:rStyle w:val="Hyperkobling"/>
                <w:noProof/>
              </w:rPr>
              <w:t>Vedlegg 1: Policydokumenter for Akademikerne pr. oktober 2022</w:t>
            </w:r>
            <w:r w:rsidR="003A7C0E">
              <w:rPr>
                <w:noProof/>
                <w:webHidden/>
              </w:rPr>
              <w:t>…</w:t>
            </w:r>
            <w:r w:rsidR="00451A68">
              <w:rPr>
                <w:noProof/>
                <w:webHidden/>
              </w:rPr>
              <w:t>………..</w:t>
            </w:r>
            <w:r>
              <w:rPr>
                <w:noProof/>
                <w:webHidden/>
              </w:rPr>
              <w:fldChar w:fldCharType="begin"/>
            </w:r>
            <w:r>
              <w:rPr>
                <w:noProof/>
                <w:webHidden/>
              </w:rPr>
              <w:instrText xml:space="preserve"> PAGEREF _Toc114065558 \h </w:instrText>
            </w:r>
            <w:r>
              <w:rPr>
                <w:noProof/>
                <w:webHidden/>
              </w:rPr>
            </w:r>
            <w:r>
              <w:rPr>
                <w:noProof/>
                <w:webHidden/>
              </w:rPr>
              <w:fldChar w:fldCharType="separate"/>
            </w:r>
            <w:r w:rsidR="00B35BBC">
              <w:rPr>
                <w:noProof/>
                <w:webHidden/>
              </w:rPr>
              <w:t>21</w:t>
            </w:r>
            <w:r>
              <w:rPr>
                <w:noProof/>
                <w:webHidden/>
              </w:rPr>
              <w:fldChar w:fldCharType="end"/>
            </w:r>
          </w:hyperlink>
        </w:p>
        <w:p w14:paraId="67A31084" w14:textId="64212A21" w:rsidR="003514ED" w:rsidRDefault="003514ED">
          <w:pPr>
            <w:pStyle w:val="INNH2"/>
            <w:rPr>
              <w:rFonts w:eastAsiaTheme="minorEastAsia"/>
              <w:noProof/>
              <w:lang w:eastAsia="nb-NO"/>
            </w:rPr>
          </w:pPr>
          <w:hyperlink w:anchor="_Toc114065559" w:history="1">
            <w:r w:rsidRPr="00530DB4">
              <w:rPr>
                <w:rStyle w:val="Hyperkobling"/>
                <w:noProof/>
              </w:rPr>
              <w:t>Vedlegg 2: Akademikernes konferanser og seminarer</w:t>
            </w:r>
            <w:r w:rsidR="003A7C0E">
              <w:rPr>
                <w:rStyle w:val="Hyperkobling"/>
                <w:noProof/>
              </w:rPr>
              <w:t>………</w:t>
            </w:r>
            <w:r w:rsidR="00451A68">
              <w:rPr>
                <w:rStyle w:val="Hyperkobling"/>
                <w:noProof/>
              </w:rPr>
              <w:t>……….</w:t>
            </w:r>
            <w:r w:rsidR="003A7C0E">
              <w:rPr>
                <w:rStyle w:val="Hyperkobling"/>
                <w:noProof/>
              </w:rPr>
              <w:t>…</w:t>
            </w:r>
            <w:r w:rsidR="00E274D7">
              <w:rPr>
                <w:rStyle w:val="Hyperkobling"/>
                <w:noProof/>
              </w:rPr>
              <w:t>.</w:t>
            </w:r>
            <w:r w:rsidR="003C43EC">
              <w:rPr>
                <w:rStyle w:val="Hyperkobling"/>
                <w:noProof/>
              </w:rPr>
              <w:t>.</w:t>
            </w:r>
            <w:r w:rsidR="00E274D7">
              <w:rPr>
                <w:rStyle w:val="Hyperkobling"/>
                <w:noProof/>
              </w:rPr>
              <w:t>.</w:t>
            </w:r>
            <w:r w:rsidR="003A7C0E">
              <w:rPr>
                <w:rStyle w:val="Hyperkobling"/>
                <w:noProof/>
              </w:rPr>
              <w:t>…..</w:t>
            </w:r>
            <w:r>
              <w:rPr>
                <w:noProof/>
                <w:webHidden/>
              </w:rPr>
              <w:fldChar w:fldCharType="begin"/>
            </w:r>
            <w:r>
              <w:rPr>
                <w:noProof/>
                <w:webHidden/>
              </w:rPr>
              <w:instrText xml:space="preserve"> PAGEREF _Toc114065559 \h </w:instrText>
            </w:r>
            <w:r>
              <w:rPr>
                <w:noProof/>
                <w:webHidden/>
              </w:rPr>
            </w:r>
            <w:r>
              <w:rPr>
                <w:noProof/>
                <w:webHidden/>
              </w:rPr>
              <w:fldChar w:fldCharType="separate"/>
            </w:r>
            <w:r w:rsidR="00B35BBC">
              <w:rPr>
                <w:noProof/>
                <w:webHidden/>
              </w:rPr>
              <w:t>22</w:t>
            </w:r>
            <w:r>
              <w:rPr>
                <w:noProof/>
                <w:webHidden/>
              </w:rPr>
              <w:fldChar w:fldCharType="end"/>
            </w:r>
          </w:hyperlink>
        </w:p>
        <w:p w14:paraId="75BD8B44" w14:textId="07A5AF1A" w:rsidR="003514ED" w:rsidRDefault="003514ED">
          <w:pPr>
            <w:pStyle w:val="INNH2"/>
            <w:rPr>
              <w:rFonts w:eastAsiaTheme="minorEastAsia"/>
              <w:noProof/>
              <w:lang w:eastAsia="nb-NO"/>
            </w:rPr>
          </w:pPr>
          <w:hyperlink w:anchor="_Toc114065560" w:history="1">
            <w:r w:rsidRPr="00530DB4">
              <w:rPr>
                <w:rStyle w:val="Hyperkobling"/>
                <w:noProof/>
              </w:rPr>
              <w:t>Vedlegg 3: Akademikernes sekretariat 2020-2022</w:t>
            </w:r>
            <w:r w:rsidR="003A7C0E">
              <w:rPr>
                <w:noProof/>
                <w:webHidden/>
              </w:rPr>
              <w:t>…………………</w:t>
            </w:r>
            <w:r w:rsidR="00451A68">
              <w:rPr>
                <w:noProof/>
                <w:webHidden/>
              </w:rPr>
              <w:t>……</w:t>
            </w:r>
            <w:r w:rsidR="003C43EC">
              <w:rPr>
                <w:noProof/>
                <w:webHidden/>
              </w:rPr>
              <w:t>.</w:t>
            </w:r>
            <w:r w:rsidR="00E274D7">
              <w:rPr>
                <w:noProof/>
                <w:webHidden/>
              </w:rPr>
              <w:t>.</w:t>
            </w:r>
            <w:r w:rsidR="00451A68">
              <w:rPr>
                <w:noProof/>
                <w:webHidden/>
              </w:rPr>
              <w:t>…</w:t>
            </w:r>
            <w:r w:rsidR="00E274D7">
              <w:rPr>
                <w:noProof/>
                <w:webHidden/>
              </w:rPr>
              <w:t>.</w:t>
            </w:r>
            <w:r w:rsidR="00451A68">
              <w:rPr>
                <w:noProof/>
                <w:webHidden/>
              </w:rPr>
              <w:t>.</w:t>
            </w:r>
            <w:r>
              <w:rPr>
                <w:noProof/>
                <w:webHidden/>
              </w:rPr>
              <w:fldChar w:fldCharType="begin"/>
            </w:r>
            <w:r>
              <w:rPr>
                <w:noProof/>
                <w:webHidden/>
              </w:rPr>
              <w:instrText xml:space="preserve"> PAGEREF _Toc114065560 \h </w:instrText>
            </w:r>
            <w:r>
              <w:rPr>
                <w:noProof/>
                <w:webHidden/>
              </w:rPr>
            </w:r>
            <w:r>
              <w:rPr>
                <w:noProof/>
                <w:webHidden/>
              </w:rPr>
              <w:fldChar w:fldCharType="separate"/>
            </w:r>
            <w:r w:rsidR="00B35BBC">
              <w:rPr>
                <w:noProof/>
                <w:webHidden/>
              </w:rPr>
              <w:t>24</w:t>
            </w:r>
            <w:r>
              <w:rPr>
                <w:noProof/>
                <w:webHidden/>
              </w:rPr>
              <w:fldChar w:fldCharType="end"/>
            </w:r>
          </w:hyperlink>
        </w:p>
        <w:p w14:paraId="03949E73" w14:textId="4A9813D6" w:rsidR="003514ED" w:rsidRDefault="003514ED">
          <w:pPr>
            <w:pStyle w:val="INNH2"/>
            <w:rPr>
              <w:rFonts w:eastAsiaTheme="minorEastAsia"/>
              <w:noProof/>
              <w:lang w:eastAsia="nb-NO"/>
            </w:rPr>
          </w:pPr>
          <w:hyperlink w:anchor="_Toc114065561" w:history="1">
            <w:r w:rsidRPr="00530DB4">
              <w:rPr>
                <w:rStyle w:val="Hyperkobling"/>
                <w:noProof/>
              </w:rPr>
              <w:t>Vedlegg 4: Deltakelse i sentrale utvalg, styrer og råd for Akademikerne</w:t>
            </w:r>
            <w:r w:rsidR="00A71E05">
              <w:rPr>
                <w:noProof/>
                <w:webHidden/>
              </w:rPr>
              <w:t>.</w:t>
            </w:r>
            <w:r w:rsidR="00E274D7">
              <w:rPr>
                <w:noProof/>
                <w:webHidden/>
              </w:rPr>
              <w:t>.</w:t>
            </w:r>
            <w:r w:rsidR="003C43EC">
              <w:rPr>
                <w:noProof/>
                <w:webHidden/>
              </w:rPr>
              <w:t>.</w:t>
            </w:r>
            <w:r w:rsidR="00451A68">
              <w:rPr>
                <w:noProof/>
                <w:webHidden/>
              </w:rPr>
              <w:t>…..</w:t>
            </w:r>
            <w:r>
              <w:rPr>
                <w:noProof/>
                <w:webHidden/>
              </w:rPr>
              <w:fldChar w:fldCharType="begin"/>
            </w:r>
            <w:r>
              <w:rPr>
                <w:noProof/>
                <w:webHidden/>
              </w:rPr>
              <w:instrText xml:space="preserve"> PAGEREF _Toc114065561 \h </w:instrText>
            </w:r>
            <w:r>
              <w:rPr>
                <w:noProof/>
                <w:webHidden/>
              </w:rPr>
            </w:r>
            <w:r>
              <w:rPr>
                <w:noProof/>
                <w:webHidden/>
              </w:rPr>
              <w:fldChar w:fldCharType="separate"/>
            </w:r>
            <w:r w:rsidR="00B35BBC">
              <w:rPr>
                <w:noProof/>
                <w:webHidden/>
              </w:rPr>
              <w:t>25</w:t>
            </w:r>
            <w:r>
              <w:rPr>
                <w:noProof/>
                <w:webHidden/>
              </w:rPr>
              <w:fldChar w:fldCharType="end"/>
            </w:r>
          </w:hyperlink>
        </w:p>
        <w:p w14:paraId="5378513F" w14:textId="2CA44EB2" w:rsidR="003514ED" w:rsidRDefault="003514ED">
          <w:pPr>
            <w:pStyle w:val="INNH2"/>
            <w:rPr>
              <w:rFonts w:eastAsiaTheme="minorEastAsia"/>
              <w:noProof/>
              <w:lang w:eastAsia="nb-NO"/>
            </w:rPr>
          </w:pPr>
          <w:hyperlink w:anchor="_Toc114065563" w:history="1">
            <w:r w:rsidRPr="00530DB4">
              <w:rPr>
                <w:rStyle w:val="Hyperkobling"/>
                <w:noProof/>
              </w:rPr>
              <w:t>Vedlegg 5: Sentrale høringssvar og innspill</w:t>
            </w:r>
            <w:r w:rsidR="00A71E05">
              <w:rPr>
                <w:rStyle w:val="Hyperkobling"/>
                <w:noProof/>
              </w:rPr>
              <w:t>…</w:t>
            </w:r>
            <w:r w:rsidR="00451A68">
              <w:rPr>
                <w:noProof/>
                <w:webHidden/>
              </w:rPr>
              <w:t>………………………………</w:t>
            </w:r>
            <w:r w:rsidR="00E274D7">
              <w:rPr>
                <w:noProof/>
                <w:webHidden/>
              </w:rPr>
              <w:t>.</w:t>
            </w:r>
            <w:r w:rsidR="00451A68">
              <w:rPr>
                <w:noProof/>
                <w:webHidden/>
              </w:rPr>
              <w:t>.</w:t>
            </w:r>
            <w:r>
              <w:rPr>
                <w:noProof/>
                <w:webHidden/>
              </w:rPr>
              <w:fldChar w:fldCharType="begin"/>
            </w:r>
            <w:r>
              <w:rPr>
                <w:noProof/>
                <w:webHidden/>
              </w:rPr>
              <w:instrText xml:space="preserve"> PAGEREF _Toc114065563 \h </w:instrText>
            </w:r>
            <w:r>
              <w:rPr>
                <w:noProof/>
                <w:webHidden/>
              </w:rPr>
            </w:r>
            <w:r>
              <w:rPr>
                <w:noProof/>
                <w:webHidden/>
              </w:rPr>
              <w:fldChar w:fldCharType="separate"/>
            </w:r>
            <w:r w:rsidR="00B35BBC">
              <w:rPr>
                <w:noProof/>
                <w:webHidden/>
              </w:rPr>
              <w:t>27</w:t>
            </w:r>
            <w:r>
              <w:rPr>
                <w:noProof/>
                <w:webHidden/>
              </w:rPr>
              <w:fldChar w:fldCharType="end"/>
            </w:r>
          </w:hyperlink>
        </w:p>
        <w:p w14:paraId="61169EC9" w14:textId="7C0E8BFE" w:rsidR="003514ED" w:rsidRDefault="003514ED">
          <w:r>
            <w:rPr>
              <w:b/>
              <w:bCs/>
            </w:rPr>
            <w:fldChar w:fldCharType="end"/>
          </w:r>
        </w:p>
      </w:sdtContent>
    </w:sdt>
    <w:p w14:paraId="3F3587BC" w14:textId="7FBCCB39" w:rsidR="005C600A" w:rsidRDefault="005C600A">
      <w:pPr>
        <w:tabs>
          <w:tab w:val="clear" w:pos="2155"/>
        </w:tabs>
        <w:spacing w:after="160" w:line="259" w:lineRule="auto"/>
        <w:rPr>
          <w:rFonts w:asciiTheme="majorHAnsi" w:eastAsiaTheme="majorEastAsia" w:hAnsiTheme="majorHAnsi" w:cstheme="majorBidi"/>
          <w:b/>
          <w:color w:val="262682" w:themeColor="accent1"/>
          <w:sz w:val="44"/>
          <w:szCs w:val="32"/>
        </w:rPr>
      </w:pPr>
      <w:r>
        <w:br w:type="page"/>
      </w:r>
    </w:p>
    <w:p w14:paraId="1ADCAA69" w14:textId="3EC5A41B" w:rsidR="00FC3919" w:rsidRDefault="00327174" w:rsidP="00E33E57">
      <w:pPr>
        <w:pStyle w:val="Overskrift1"/>
      </w:pPr>
      <w:bookmarkStart w:id="2" w:name="_Toc114065520"/>
      <w:r>
        <w:lastRenderedPageBreak/>
        <w:t xml:space="preserve">1. </w:t>
      </w:r>
      <w:r w:rsidR="00FC3919">
        <w:t>Styret</w:t>
      </w:r>
      <w:r w:rsidR="00225438">
        <w:t xml:space="preserve"> og styrets</w:t>
      </w:r>
      <w:r w:rsidR="00FC3919">
        <w:t xml:space="preserve"> arbeid</w:t>
      </w:r>
      <w:bookmarkEnd w:id="2"/>
    </w:p>
    <w:p w14:paraId="179E974E" w14:textId="37439F70" w:rsidR="00A751DA" w:rsidRDefault="003642E0" w:rsidP="003642E0">
      <w:pPr>
        <w:pStyle w:val="Overskrift2"/>
      </w:pPr>
      <w:bookmarkStart w:id="3" w:name="_Toc114065521"/>
      <w:r>
        <w:t>1.</w:t>
      </w:r>
      <w:r w:rsidR="00761CB0">
        <w:t>1</w:t>
      </w:r>
      <w:r>
        <w:t xml:space="preserve"> </w:t>
      </w:r>
      <w:r w:rsidR="00A751DA">
        <w:t>Styrets sammenset</w:t>
      </w:r>
      <w:r w:rsidR="00064B38">
        <w:t>t</w:t>
      </w:r>
      <w:r w:rsidR="00A751DA">
        <w:t>ing</w:t>
      </w:r>
      <w:bookmarkEnd w:id="3"/>
    </w:p>
    <w:p w14:paraId="3A1F47F4" w14:textId="77777777" w:rsidR="00A751DA" w:rsidRDefault="00A751DA" w:rsidP="00A751DA">
      <w:r>
        <w:t xml:space="preserve">På rådsmøtet 21. oktober 2020 ble følgende valgt til styre for Akademikerne: </w:t>
      </w:r>
    </w:p>
    <w:p w14:paraId="5D183375" w14:textId="77777777" w:rsidR="00A751DA" w:rsidRDefault="00A751DA" w:rsidP="00B965F6">
      <w:pPr>
        <w:pStyle w:val="Listeavsnitt"/>
        <w:numPr>
          <w:ilvl w:val="0"/>
          <w:numId w:val="32"/>
        </w:numPr>
      </w:pPr>
      <w:r>
        <w:t>Leder: Kari Sollien, Den norske legeforening</w:t>
      </w:r>
    </w:p>
    <w:p w14:paraId="047AE4DA" w14:textId="77777777" w:rsidR="00A751DA" w:rsidRDefault="00A751DA" w:rsidP="00B965F6">
      <w:pPr>
        <w:pStyle w:val="Listeavsnitt"/>
        <w:numPr>
          <w:ilvl w:val="0"/>
          <w:numId w:val="32"/>
        </w:numPr>
      </w:pPr>
      <w:r>
        <w:t>Nestleder: Lise Lyngsnes Randeberg, Tekna</w:t>
      </w:r>
    </w:p>
    <w:p w14:paraId="79AA2E66" w14:textId="77777777" w:rsidR="00A751DA" w:rsidRPr="00762224" w:rsidRDefault="00A751DA" w:rsidP="00A751DA">
      <w:pPr>
        <w:rPr>
          <w:u w:val="single"/>
        </w:rPr>
      </w:pPr>
      <w:r w:rsidRPr="00762224">
        <w:rPr>
          <w:u w:val="single"/>
        </w:rPr>
        <w:t>Styremedlemmer</w:t>
      </w:r>
      <w:r>
        <w:rPr>
          <w:u w:val="single"/>
        </w:rPr>
        <w:t xml:space="preserve"> (vara)</w:t>
      </w:r>
      <w:r w:rsidRPr="00762224">
        <w:rPr>
          <w:u w:val="single"/>
        </w:rPr>
        <w:t xml:space="preserve">: </w:t>
      </w:r>
    </w:p>
    <w:p w14:paraId="10C2E988" w14:textId="77777777" w:rsidR="00A751DA" w:rsidRDefault="00A751DA" w:rsidP="00B965F6">
      <w:pPr>
        <w:pStyle w:val="Listeavsnitt"/>
        <w:numPr>
          <w:ilvl w:val="0"/>
          <w:numId w:val="31"/>
        </w:numPr>
      </w:pPr>
      <w:r>
        <w:t>Dagfinn Svadberg Hatløy, Naturviterne</w:t>
      </w:r>
      <w:r w:rsidRPr="00F35B18">
        <w:t xml:space="preserve"> </w:t>
      </w:r>
      <w:r>
        <w:t>(Jan Inge Eidem, Samfunnsøkonomene)</w:t>
      </w:r>
    </w:p>
    <w:p w14:paraId="2085BE3B" w14:textId="77777777" w:rsidR="00A751DA" w:rsidRDefault="00A751DA" w:rsidP="00B965F6">
      <w:pPr>
        <w:pStyle w:val="Listeavsnitt"/>
        <w:numPr>
          <w:ilvl w:val="0"/>
          <w:numId w:val="31"/>
        </w:numPr>
      </w:pPr>
      <w:r>
        <w:t>Mette Talseth Solnørdal, Econa</w:t>
      </w:r>
      <w:r w:rsidRPr="00F35B18">
        <w:t xml:space="preserve"> </w:t>
      </w:r>
      <w:r>
        <w:t>(Rita Helgesen, Norsk Lektorlag)</w:t>
      </w:r>
    </w:p>
    <w:p w14:paraId="45DF9D46" w14:textId="77777777" w:rsidR="00A751DA" w:rsidRDefault="00A751DA" w:rsidP="00B965F6">
      <w:pPr>
        <w:pStyle w:val="Listeavsnitt"/>
        <w:numPr>
          <w:ilvl w:val="0"/>
          <w:numId w:val="31"/>
        </w:numPr>
      </w:pPr>
      <w:r>
        <w:t>Merete Nilsson, Samfunnsviterne</w:t>
      </w:r>
      <w:r w:rsidRPr="00F35B18">
        <w:t xml:space="preserve"> </w:t>
      </w:r>
      <w:r>
        <w:t>(Bent Aaby, Arkitektenes fagforbund)</w:t>
      </w:r>
    </w:p>
    <w:p w14:paraId="2EA156FB" w14:textId="77777777" w:rsidR="00A751DA" w:rsidRDefault="00A751DA" w:rsidP="00B965F6">
      <w:pPr>
        <w:pStyle w:val="Listeavsnitt"/>
        <w:numPr>
          <w:ilvl w:val="0"/>
          <w:numId w:val="31"/>
        </w:numPr>
      </w:pPr>
      <w:r>
        <w:t>Håvard Holm, Juristforbundet (Anne-Karin Rime, Den norske legeforening)</w:t>
      </w:r>
    </w:p>
    <w:p w14:paraId="7E9298C5" w14:textId="77777777" w:rsidR="00A751DA" w:rsidRDefault="00A751DA" w:rsidP="00B965F6">
      <w:pPr>
        <w:pStyle w:val="Listeavsnitt"/>
        <w:numPr>
          <w:ilvl w:val="0"/>
          <w:numId w:val="31"/>
        </w:numPr>
      </w:pPr>
      <w:r>
        <w:t>Håkon Kongsrud Skard, Norsk psykologforening (Vidar Hansen, Tekna)</w:t>
      </w:r>
    </w:p>
    <w:p w14:paraId="58FBC99B" w14:textId="75BFDEBA" w:rsidR="00A751DA" w:rsidRDefault="00A751DA" w:rsidP="00A751DA">
      <w:r>
        <w:t>Dagfinn Svadberg Hatløy trakk seg som styremedlem i mars 2021 grunnet jobbskifte. Gjennom er suppleringsvalg 8. april 2021 ble Jan Inge Eidem</w:t>
      </w:r>
      <w:r w:rsidR="003979E8">
        <w:t xml:space="preserve"> (Samfunnsøkonomene)</w:t>
      </w:r>
      <w:r>
        <w:t xml:space="preserve"> valgt som nytt styremedlem. Morten Wedege</w:t>
      </w:r>
      <w:r w:rsidR="003979E8">
        <w:t xml:space="preserve"> (Naturviterne)</w:t>
      </w:r>
      <w:r>
        <w:t xml:space="preserve"> ble valgt som nytt varamedlem. </w:t>
      </w:r>
    </w:p>
    <w:p w14:paraId="4E722BE1" w14:textId="3E8275AB" w:rsidR="00A751DA" w:rsidRDefault="00A751DA" w:rsidP="00A751DA">
      <w:r>
        <w:t>Vidar Hanssen og Rita Helgesen trakk seg i september 2021 som varamedlemmer for hhv Skard og Solnørdal. Gjennom suppleringsvalg 20. oktober 2021 ble Lars Olav Grøvik</w:t>
      </w:r>
      <w:r w:rsidR="003979E8">
        <w:t xml:space="preserve"> (</w:t>
      </w:r>
      <w:r>
        <w:t>Tekna</w:t>
      </w:r>
      <w:r w:rsidR="003979E8">
        <w:t>)</w:t>
      </w:r>
      <w:r>
        <w:t>, valgt som nytt varamedlem for Skard og 6. desember 2021 ble Helle Christin Nyhuus</w:t>
      </w:r>
      <w:r w:rsidR="003979E8">
        <w:t xml:space="preserve"> </w:t>
      </w:r>
      <w:r w:rsidR="00460CC0">
        <w:t>(N</w:t>
      </w:r>
      <w:r>
        <w:t>orsk Lektorlag</w:t>
      </w:r>
      <w:r w:rsidR="004F52B5">
        <w:t>)</w:t>
      </w:r>
      <w:r>
        <w:t xml:space="preserve">, valgt inn som nytt varamedlem for Solnørdal. </w:t>
      </w:r>
    </w:p>
    <w:p w14:paraId="0D0A3826" w14:textId="20E11BEC" w:rsidR="00A751DA" w:rsidRDefault="00A751DA" w:rsidP="00A751DA">
      <w:r>
        <w:t xml:space="preserve">Styreleder Kari Sollien gikk av som leder i Akademikerne 2. november 2021. Lise Lyngsnes Randeberg var fungerende leder fra 2. november 2021 til 6. desember 2021. Lyngsnes Randeberg ble på styremøte 6. desember konstituert som leder frem til ordinært rådsmøte i Akademikerne oktober 2022. </w:t>
      </w:r>
    </w:p>
    <w:p w14:paraId="5C18C260" w14:textId="77777777" w:rsidR="00A751DA" w:rsidRDefault="00A751DA" w:rsidP="00A751DA">
      <w:r>
        <w:t xml:space="preserve">Mette Talseth Solnørdal trakk seg som styremedlem i desember 2021 grunnet jobbskifte. </w:t>
      </w:r>
    </w:p>
    <w:p w14:paraId="3CE5BC09" w14:textId="6EACF7E7" w:rsidR="00A751DA" w:rsidRDefault="00A751DA" w:rsidP="00A751DA">
      <w:r>
        <w:t>Styret foretok suppleringsvalg til styret 20. januar 2022. Anne</w:t>
      </w:r>
      <w:r w:rsidR="00AE50D3">
        <w:t>-</w:t>
      </w:r>
      <w:r>
        <w:t>Karin Rime</w:t>
      </w:r>
      <w:r w:rsidR="004F52B5">
        <w:t xml:space="preserve"> (</w:t>
      </w:r>
      <w:r>
        <w:t>Den norske legeforening</w:t>
      </w:r>
      <w:r w:rsidR="004F52B5">
        <w:t>)</w:t>
      </w:r>
      <w:r>
        <w:t xml:space="preserve"> og Morten Boland Jørgensen</w:t>
      </w:r>
      <w:r w:rsidR="004F52B5">
        <w:t xml:space="preserve"> (Econa)</w:t>
      </w:r>
      <w:r>
        <w:t xml:space="preserve"> ble valgt til nye styremedlemmer. Helle Christin Nyhuus ble da vara for Morten Boland Jørgensen og 23. mars ble Heming Olsen</w:t>
      </w:r>
      <w:r w:rsidR="00AE50D3">
        <w:t>-</w:t>
      </w:r>
      <w:r w:rsidR="005F6D19">
        <w:t xml:space="preserve"> Bergem</w:t>
      </w:r>
      <w:r w:rsidR="004F52B5">
        <w:t xml:space="preserve"> (</w:t>
      </w:r>
      <w:r>
        <w:t>Den norske tannlegeforenin</w:t>
      </w:r>
      <w:r w:rsidR="004F52B5">
        <w:t>g)</w:t>
      </w:r>
      <w:r>
        <w:t>, valgt som varamedlem for Anne</w:t>
      </w:r>
      <w:r w:rsidR="004F1F76">
        <w:t>-</w:t>
      </w:r>
      <w:r>
        <w:t xml:space="preserve">Karin Rime. </w:t>
      </w:r>
    </w:p>
    <w:p w14:paraId="546B72F8" w14:textId="6D8674E8" w:rsidR="00A751DA" w:rsidRDefault="00A751DA" w:rsidP="00A751DA">
      <w:r w:rsidRPr="0007363A">
        <w:t xml:space="preserve">Pr. </w:t>
      </w:r>
      <w:r>
        <w:t>16.09</w:t>
      </w:r>
      <w:r w:rsidRPr="0007363A">
        <w:t>.</w:t>
      </w:r>
      <w:r>
        <w:t xml:space="preserve"> </w:t>
      </w:r>
      <w:r w:rsidRPr="0007363A">
        <w:t>2022</w:t>
      </w:r>
      <w:r>
        <w:t xml:space="preserve"> består styret</w:t>
      </w:r>
      <w:r w:rsidRPr="0007363A">
        <w:t xml:space="preserve"> av Lise Lyngsnes Randeberg (konstituert leder), Håvard Holm, Jan Inge Eidem, Merete Nilsson</w:t>
      </w:r>
      <w:r w:rsidR="009179E1">
        <w:t xml:space="preserve">, </w:t>
      </w:r>
      <w:r w:rsidRPr="0007363A">
        <w:t>Håkon Kongsrud Skard</w:t>
      </w:r>
      <w:r w:rsidR="009179E1">
        <w:t xml:space="preserve">, </w:t>
      </w:r>
      <w:r w:rsidRPr="0007363A">
        <w:t>Anne-Karin Rime</w:t>
      </w:r>
      <w:r>
        <w:t xml:space="preserve"> </w:t>
      </w:r>
      <w:r w:rsidRPr="0007363A">
        <w:t>og Morten Boland Jørgensen</w:t>
      </w:r>
      <w:r w:rsidR="009179E1">
        <w:t xml:space="preserve">. </w:t>
      </w:r>
    </w:p>
    <w:p w14:paraId="39267BCC" w14:textId="6D341169" w:rsidR="00A751DA" w:rsidRDefault="00A751DA" w:rsidP="00A751DA">
      <w:r>
        <w:lastRenderedPageBreak/>
        <w:t>Valgkomiteen har i perioden bestått av</w:t>
      </w:r>
      <w:r w:rsidRPr="002B0923">
        <w:t xml:space="preserve"> </w:t>
      </w:r>
      <w:r>
        <w:t xml:space="preserve">Geir Riise, Den </w:t>
      </w:r>
      <w:r w:rsidR="0036211B">
        <w:t>n</w:t>
      </w:r>
      <w:r>
        <w:t xml:space="preserve">orske </w:t>
      </w:r>
      <w:r w:rsidR="0036211B">
        <w:t>l</w:t>
      </w:r>
      <w:r>
        <w:t xml:space="preserve">egeforening, Camilla Hansen Steinum, </w:t>
      </w:r>
      <w:r w:rsidR="009179E1">
        <w:t>D</w:t>
      </w:r>
      <w:r>
        <w:t xml:space="preserve">en norske tannlegeforening, Line Henriette Holten, Tekna og Magne Skram Hegerberg, </w:t>
      </w:r>
      <w:r w:rsidR="002B21BD">
        <w:t>J</w:t>
      </w:r>
      <w:r>
        <w:t>uristforbundet</w:t>
      </w:r>
      <w:r w:rsidR="0036211B">
        <w:t>.</w:t>
      </w:r>
    </w:p>
    <w:p w14:paraId="14680393" w14:textId="0EF2B355" w:rsidR="00A751DA" w:rsidRPr="00DA7C48" w:rsidRDefault="00DA7C48" w:rsidP="00DA7C48">
      <w:pPr>
        <w:pStyle w:val="Overskrift2"/>
      </w:pPr>
      <w:bookmarkStart w:id="4" w:name="_Toc114065522"/>
      <w:r>
        <w:t xml:space="preserve">1.2 </w:t>
      </w:r>
      <w:r w:rsidR="00A751DA" w:rsidRPr="00DA7C48">
        <w:t>Styrets arbeid</w:t>
      </w:r>
      <w:bookmarkEnd w:id="4"/>
    </w:p>
    <w:p w14:paraId="755DD64C" w14:textId="6FE4D82F" w:rsidR="00A751DA" w:rsidRPr="004007C9" w:rsidRDefault="00A751DA" w:rsidP="00485E23">
      <w:r>
        <w:t xml:space="preserve">Styret har arbeidet ut fra </w:t>
      </w:r>
      <w:r w:rsidRPr="004007C9">
        <w:rPr>
          <w:i/>
          <w:iCs/>
        </w:rPr>
        <w:t>Styrets plan 2021-2022</w:t>
      </w:r>
      <w:r>
        <w:t xml:space="preserve"> (vedtatt 21 januar 2021) og budsjettert årlig innenfor rammen vedtatt av Rådet. Styret har mottatt regnskapsrapporter </w:t>
      </w:r>
      <w:r w:rsidR="00761CB0">
        <w:t xml:space="preserve">fra sekretariatet </w:t>
      </w:r>
      <w:r>
        <w:t>hvert kvartal</w:t>
      </w:r>
      <w:r w:rsidR="00761CB0">
        <w:t>.</w:t>
      </w:r>
    </w:p>
    <w:p w14:paraId="1CA1378B" w14:textId="156063C4" w:rsidR="00A751DA" w:rsidRDefault="00A751DA" w:rsidP="00485E23">
      <w:r>
        <w:t xml:space="preserve">Styret har i løpet av 2021 og 2022 avholdt 19 styremøter og </w:t>
      </w:r>
      <w:r w:rsidR="00AB6207">
        <w:t xml:space="preserve">pr. </w:t>
      </w:r>
      <w:r w:rsidR="007268EE">
        <w:t xml:space="preserve">16.09.22 </w:t>
      </w:r>
      <w:r>
        <w:t xml:space="preserve">behandlet </w:t>
      </w:r>
      <w:r w:rsidR="007268EE">
        <w:t>138</w:t>
      </w:r>
      <w:r>
        <w:t xml:space="preserve"> protokollførte saker. Sakstypene har et stort spenn og speiler styrets ulike funksjoner som strategisk organ for politikkutvikling og politisk påvirkning, høyeste organisatoriske nivå mellom rådsmøtene og kontrollorgan for den interne driften. Dette omfatter blant annet høringsinnspill og andre innspill til sentrale politiske prosesser, strategi og statusnotater knyttet til styrets plan, valg til styret og interne økonomi- og virksomhetsrapporter.</w:t>
      </w:r>
      <w:r w:rsidR="00600F41">
        <w:t xml:space="preserve"> </w:t>
      </w:r>
    </w:p>
    <w:p w14:paraId="2C21D26C" w14:textId="785C7F1F" w:rsidR="0096143E" w:rsidRDefault="0096143E" w:rsidP="00485E23">
      <w:r>
        <w:t>I perioden er det nedsatt en rekke styringsgrupper utgått fra styret som har fått ansvar for å følge en særskilt prosess tett</w:t>
      </w:r>
      <w:r w:rsidR="00E05DF9">
        <w:t>. Dette gjelder Sysselsetting</w:t>
      </w:r>
      <w:r w:rsidR="00DF0C99">
        <w:t>s</w:t>
      </w:r>
      <w:r w:rsidR="00E05DF9">
        <w:t xml:space="preserve">utvalget, Fougnerutvalget, </w:t>
      </w:r>
      <w:r w:rsidR="00DF0C99">
        <w:t xml:space="preserve">Sykehusutvalget og Råd for rettferdig omstilling. </w:t>
      </w:r>
    </w:p>
    <w:p w14:paraId="641C57F8" w14:textId="2562E1ED" w:rsidR="006C3AAE" w:rsidRPr="006C3AAE" w:rsidRDefault="006C3AAE" w:rsidP="00485E23">
      <w:r w:rsidRPr="006C3AAE">
        <w:t>Akademikerne møter jevnlig i Stortinget i forbindelse med komitehøringer og ved kontakt med partigrupperinger i relevante spørsmål. Det gjennomføres jevnlig møter om prioriterte tema med relevante departement og med regjeringen. Akademikerne har i 2021 og 2022 levert en rekke høringsuttalelser og innspill til politiske prosesser (vedlegg</w:t>
      </w:r>
      <w:r>
        <w:t xml:space="preserve"> </w:t>
      </w:r>
      <w:r w:rsidR="00C95555">
        <w:t>5</w:t>
      </w:r>
      <w:r w:rsidRPr="006C3AAE">
        <w:t>).</w:t>
      </w:r>
    </w:p>
    <w:p w14:paraId="268ADB29" w14:textId="77777777" w:rsidR="00A751DA" w:rsidRDefault="00A751DA" w:rsidP="00485E23">
      <w:r w:rsidRPr="008B7DAC">
        <w:t>Styret har årlig evaluert styremøtene og eget arbeid. Generelt gir både styremedlemmer og observatører uttrykk for godt samarbeid og tilfredshet med både forberedelser, ledelse og gjennomføring av styremøtene</w:t>
      </w:r>
      <w:r>
        <w:t>.</w:t>
      </w:r>
    </w:p>
    <w:p w14:paraId="4FB2D4C4" w14:textId="58FCD1AD" w:rsidR="0097757E" w:rsidRDefault="00593DA4" w:rsidP="001F7052">
      <w:pPr>
        <w:pStyle w:val="Overskrift2"/>
      </w:pPr>
      <w:bookmarkStart w:id="5" w:name="_Toc114065523"/>
      <w:r>
        <w:t xml:space="preserve">1.3 </w:t>
      </w:r>
      <w:r w:rsidR="007C2F08">
        <w:t xml:space="preserve">Satsingsområder </w:t>
      </w:r>
      <w:r w:rsidR="00656009">
        <w:t>i</w:t>
      </w:r>
      <w:r w:rsidR="00184C70">
        <w:t xml:space="preserve"> 2021 og 2022</w:t>
      </w:r>
      <w:bookmarkEnd w:id="5"/>
    </w:p>
    <w:p w14:paraId="4D027D16" w14:textId="07EFBB7B" w:rsidR="00ED7533" w:rsidRDefault="00A10C7E" w:rsidP="00485E23">
      <w:r>
        <w:t xml:space="preserve">Med utgangspunkt i </w:t>
      </w:r>
      <w:r w:rsidR="00471476">
        <w:t>idegrunnlag</w:t>
      </w:r>
      <w:r>
        <w:t xml:space="preserve">et jobber Akademikerne som hovedorganisasjon </w:t>
      </w:r>
      <w:r w:rsidR="0056044D">
        <w:t>bredt</w:t>
      </w:r>
      <w:r w:rsidR="00471476">
        <w:t xml:space="preserve"> politisk</w:t>
      </w:r>
      <w:r>
        <w:t xml:space="preserve"> for å få gjenno</w:t>
      </w:r>
      <w:r w:rsidR="0012417A">
        <w:t xml:space="preserve">mslag for politiske løsninger </w:t>
      </w:r>
      <w:r w:rsidR="00705DA0">
        <w:t xml:space="preserve">som ivaretar akademikeres </w:t>
      </w:r>
      <w:r w:rsidR="00BE4D86">
        <w:t>behov</w:t>
      </w:r>
      <w:r w:rsidR="00401774">
        <w:t xml:space="preserve">. </w:t>
      </w:r>
      <w:r w:rsidR="003A4A59">
        <w:t xml:space="preserve">Akademikerne har </w:t>
      </w:r>
      <w:r w:rsidR="005143DD">
        <w:t xml:space="preserve">utdypet sin politikk gjennom en rekke policy-notater (vedlegg </w:t>
      </w:r>
      <w:r w:rsidR="002B18E3">
        <w:t>1</w:t>
      </w:r>
      <w:r w:rsidR="005143DD">
        <w:t>)</w:t>
      </w:r>
      <w:r w:rsidR="0056044D">
        <w:t>.</w:t>
      </w:r>
    </w:p>
    <w:p w14:paraId="1CDE25EC" w14:textId="1D955EDE" w:rsidR="00E22E95" w:rsidRPr="00E22E95" w:rsidRDefault="00842FA8" w:rsidP="00485E23">
      <w:r>
        <w:t xml:space="preserve">Styret </w:t>
      </w:r>
      <w:r w:rsidR="001C1459">
        <w:t xml:space="preserve">har </w:t>
      </w:r>
      <w:r w:rsidR="00852542">
        <w:t>beslu</w:t>
      </w:r>
      <w:r w:rsidR="005D0130">
        <w:t>ttet</w:t>
      </w:r>
      <w:r w:rsidR="00BC7E04">
        <w:t xml:space="preserve"> </w:t>
      </w:r>
      <w:r w:rsidR="004D5080">
        <w:t>11</w:t>
      </w:r>
      <w:r w:rsidR="004B65D0">
        <w:t xml:space="preserve"> prioriterte områder for styreperioden. </w:t>
      </w:r>
      <w:r>
        <w:t xml:space="preserve"> Dette er områder som </w:t>
      </w:r>
      <w:r w:rsidR="004B65D0">
        <w:t xml:space="preserve">er blitt </w:t>
      </w:r>
      <w:r>
        <w:t>vie</w:t>
      </w:r>
      <w:r w:rsidR="004B65D0">
        <w:t>t</w:t>
      </w:r>
      <w:r>
        <w:t xml:space="preserve"> </w:t>
      </w:r>
      <w:r w:rsidR="004B65D0">
        <w:t>særlig</w:t>
      </w:r>
      <w:r>
        <w:t xml:space="preserve"> oppmerksomhet </w:t>
      </w:r>
      <w:r w:rsidR="00A841EF">
        <w:t>og som</w:t>
      </w:r>
      <w:r>
        <w:t xml:space="preserve"> gjenspeiles i ressursbruk og arbeid</w:t>
      </w:r>
      <w:r w:rsidR="00A841EF">
        <w:t>et</w:t>
      </w:r>
      <w:r w:rsidR="00582806">
        <w:t>,</w:t>
      </w:r>
      <w:r>
        <w:t xml:space="preserve"> </w:t>
      </w:r>
      <w:r w:rsidR="000854AF">
        <w:t xml:space="preserve">både </w:t>
      </w:r>
      <w:r>
        <w:t xml:space="preserve">i </w:t>
      </w:r>
      <w:r w:rsidR="00A841EF">
        <w:t>styret og</w:t>
      </w:r>
      <w:r w:rsidR="00582806">
        <w:t xml:space="preserve"> i</w:t>
      </w:r>
      <w:r w:rsidR="00A841EF">
        <w:t xml:space="preserve"> Akademikernes sekretariat</w:t>
      </w:r>
      <w:r>
        <w:t>.</w:t>
      </w:r>
      <w:r w:rsidR="00927DA9">
        <w:t xml:space="preserve"> </w:t>
      </w:r>
    </w:p>
    <w:p w14:paraId="5C3A47BD" w14:textId="47338899" w:rsidR="001E59C0" w:rsidRDefault="3C04DA7A" w:rsidP="0088576A">
      <w:pPr>
        <w:pStyle w:val="Overskrift3"/>
        <w:numPr>
          <w:ilvl w:val="0"/>
          <w:numId w:val="46"/>
        </w:numPr>
      </w:pPr>
      <w:bookmarkStart w:id="6" w:name="_Toc114065524"/>
      <w:r>
        <w:lastRenderedPageBreak/>
        <w:t>P</w:t>
      </w:r>
      <w:r w:rsidR="001E59C0">
        <w:t>raktiseringen av frontfaget, frontfagets rolle og innretning</w:t>
      </w:r>
      <w:bookmarkEnd w:id="6"/>
    </w:p>
    <w:p w14:paraId="574A1392" w14:textId="734A0CB3" w:rsidR="00AB03C8" w:rsidRPr="00AB03C8" w:rsidRDefault="009D00C4" w:rsidP="00485E23">
      <w:pPr>
        <w:spacing w:before="240"/>
      </w:pPr>
      <w:r>
        <w:t>Styret</w:t>
      </w:r>
      <w:r w:rsidR="29C12CC8">
        <w:t xml:space="preserve"> har hatt </w:t>
      </w:r>
      <w:r>
        <w:t>en grundig gjennomgang</w:t>
      </w:r>
      <w:r w:rsidR="29C12CC8">
        <w:t xml:space="preserve"> og </w:t>
      </w:r>
      <w:r>
        <w:t>vurdering</w:t>
      </w:r>
      <w:r w:rsidR="29C12CC8">
        <w:t xml:space="preserve"> av </w:t>
      </w:r>
      <w:r>
        <w:t>frontfagsmodellens oppbygging og utfordringene knyttet til modellen i ulike sektorer.</w:t>
      </w:r>
      <w:r w:rsidR="29C12CC8">
        <w:t xml:space="preserve"> Akademikerne mener at modellen ikke praktiseres etter intensjon</w:t>
      </w:r>
      <w:r w:rsidR="009B499B">
        <w:t>en</w:t>
      </w:r>
      <w:r w:rsidR="00C867EC">
        <w:t>. T</w:t>
      </w:r>
      <w:r w:rsidR="29C12CC8">
        <w:t xml:space="preserve">ariffområdene binder seg for tett opp til det økonomiske resultatet </w:t>
      </w:r>
      <w:r>
        <w:t>i</w:t>
      </w:r>
      <w:r w:rsidR="29C12CC8">
        <w:t xml:space="preserve"> partene i </w:t>
      </w:r>
      <w:r>
        <w:t xml:space="preserve">tariff-forhandlingene i </w:t>
      </w:r>
      <w:r w:rsidR="29C12CC8">
        <w:t xml:space="preserve">frontfaget (LO-NHO). </w:t>
      </w:r>
    </w:p>
    <w:p w14:paraId="3B6E8586" w14:textId="6E2CBD3C" w:rsidR="29C12CC8" w:rsidRPr="007848F6" w:rsidRDefault="00575B08" w:rsidP="7924E30B">
      <w:r>
        <w:t xml:space="preserve">Akademikerne har i stor grad bidratt til en viktig </w:t>
      </w:r>
      <w:r w:rsidR="007848F6">
        <w:t xml:space="preserve">debatt </w:t>
      </w:r>
      <w:r w:rsidR="00C867EC">
        <w:t xml:space="preserve">rundt praktiseringen av modellen, </w:t>
      </w:r>
      <w:r w:rsidR="007848F6">
        <w:t>særlig gjennom våren 2022</w:t>
      </w:r>
      <w:r w:rsidR="29C12CC8">
        <w:t>.</w:t>
      </w:r>
      <w:r w:rsidR="00D83BF2">
        <w:t xml:space="preserve"> </w:t>
      </w:r>
      <w:r w:rsidR="00F358E2">
        <w:t>Akademikernes leder brakte tema opp på møte i regjeringens kontaktutvalg</w:t>
      </w:r>
      <w:r w:rsidR="00C41916">
        <w:t xml:space="preserve">. Grunnlaget for innspillet var </w:t>
      </w:r>
      <w:r w:rsidR="29C12CC8" w:rsidRPr="5F4828D9">
        <w:rPr>
          <w:rFonts w:ascii="Times New Roman" w:eastAsia="Times New Roman" w:hAnsi="Times New Roman" w:cs="Times New Roman"/>
        </w:rPr>
        <w:t>“Akademikernes prinsipper for inntektsoppgjørene 2022”</w:t>
      </w:r>
      <w:r w:rsidR="000E54DC">
        <w:rPr>
          <w:rFonts w:ascii="Times New Roman" w:eastAsia="Times New Roman" w:hAnsi="Times New Roman" w:cs="Times New Roman"/>
        </w:rPr>
        <w:t xml:space="preserve">. </w:t>
      </w:r>
      <w:r w:rsidR="29C12CC8" w:rsidRPr="5F4828D9">
        <w:rPr>
          <w:rFonts w:ascii="Times New Roman" w:eastAsia="Times New Roman" w:hAnsi="Times New Roman" w:cs="Times New Roman"/>
        </w:rPr>
        <w:t xml:space="preserve">Frontfaget var også et sentralt tema på Akademikernes vinterkonferanse 10. </w:t>
      </w:r>
      <w:r w:rsidR="00CA5D95">
        <w:rPr>
          <w:rFonts w:ascii="Times New Roman" w:eastAsia="Times New Roman" w:hAnsi="Times New Roman" w:cs="Times New Roman"/>
        </w:rPr>
        <w:t>f</w:t>
      </w:r>
      <w:r w:rsidR="29C12CC8" w:rsidRPr="5F4828D9">
        <w:rPr>
          <w:rFonts w:ascii="Times New Roman" w:eastAsia="Times New Roman" w:hAnsi="Times New Roman" w:cs="Times New Roman"/>
        </w:rPr>
        <w:t>ebruar 2022</w:t>
      </w:r>
      <w:r w:rsidR="00723DAA">
        <w:rPr>
          <w:rFonts w:ascii="Times New Roman" w:eastAsia="Times New Roman" w:hAnsi="Times New Roman" w:cs="Times New Roman"/>
        </w:rPr>
        <w:t xml:space="preserve"> hvor de ulike partene var invitert til å diskutere modellen</w:t>
      </w:r>
      <w:r w:rsidR="29C12CC8" w:rsidRPr="5F4828D9">
        <w:rPr>
          <w:rFonts w:ascii="Times New Roman" w:eastAsia="Times New Roman" w:hAnsi="Times New Roman" w:cs="Times New Roman"/>
        </w:rPr>
        <w:t xml:space="preserve">. </w:t>
      </w:r>
    </w:p>
    <w:p w14:paraId="73BA8776" w14:textId="1FF4308D" w:rsidR="29C12CC8" w:rsidRDefault="29C12CC8" w:rsidP="5F4828D9">
      <w:pPr>
        <w:rPr>
          <w:rFonts w:ascii="Times New Roman" w:eastAsia="Times New Roman" w:hAnsi="Times New Roman" w:cs="Times New Roman"/>
        </w:rPr>
      </w:pPr>
      <w:r w:rsidRPr="5F4828D9">
        <w:rPr>
          <w:rFonts w:ascii="Times New Roman" w:eastAsia="Times New Roman" w:hAnsi="Times New Roman" w:cs="Times New Roman"/>
        </w:rPr>
        <w:t xml:space="preserve">Akademikerne </w:t>
      </w:r>
      <w:r w:rsidR="00485E23">
        <w:rPr>
          <w:rFonts w:ascii="Times New Roman" w:eastAsia="Times New Roman" w:hAnsi="Times New Roman" w:cs="Times New Roman"/>
        </w:rPr>
        <w:t xml:space="preserve">har </w:t>
      </w:r>
      <w:r w:rsidR="009D00C4">
        <w:rPr>
          <w:rFonts w:ascii="Times New Roman" w:eastAsia="Times New Roman" w:hAnsi="Times New Roman" w:cs="Times New Roman"/>
        </w:rPr>
        <w:t>lagt vekt</w:t>
      </w:r>
      <w:r w:rsidRPr="5F4828D9">
        <w:rPr>
          <w:rFonts w:ascii="Times New Roman" w:eastAsia="Times New Roman" w:hAnsi="Times New Roman" w:cs="Times New Roman"/>
        </w:rPr>
        <w:t xml:space="preserve"> på </w:t>
      </w:r>
      <w:r w:rsidR="009D00C4">
        <w:rPr>
          <w:rFonts w:ascii="Times New Roman" w:eastAsia="Times New Roman" w:hAnsi="Times New Roman" w:cs="Times New Roman"/>
        </w:rPr>
        <w:t>praktiseringen av frontfaget</w:t>
      </w:r>
      <w:r w:rsidRPr="5F4828D9">
        <w:rPr>
          <w:rFonts w:ascii="Times New Roman" w:eastAsia="Times New Roman" w:hAnsi="Times New Roman" w:cs="Times New Roman"/>
        </w:rPr>
        <w:t xml:space="preserve"> gjennom </w:t>
      </w:r>
      <w:r w:rsidR="00C867EC">
        <w:rPr>
          <w:rFonts w:ascii="Times New Roman" w:eastAsia="Times New Roman" w:hAnsi="Times New Roman" w:cs="Times New Roman"/>
        </w:rPr>
        <w:t>vårens</w:t>
      </w:r>
      <w:r w:rsidRPr="5F4828D9">
        <w:rPr>
          <w:rFonts w:ascii="Times New Roman" w:eastAsia="Times New Roman" w:hAnsi="Times New Roman" w:cs="Times New Roman"/>
        </w:rPr>
        <w:t xml:space="preserve"> tariffoppgjør i de ulike tariffområdene, i kontakt med media og også på ulike konferanser og seminarer for medlemmene. </w:t>
      </w:r>
      <w:r w:rsidR="009D00C4">
        <w:rPr>
          <w:rFonts w:ascii="Times New Roman" w:eastAsia="Times New Roman" w:hAnsi="Times New Roman" w:cs="Times New Roman"/>
        </w:rPr>
        <w:t>Prob</w:t>
      </w:r>
      <w:r w:rsidR="00E37160">
        <w:rPr>
          <w:rFonts w:ascii="Times New Roman" w:eastAsia="Times New Roman" w:hAnsi="Times New Roman" w:cs="Times New Roman"/>
        </w:rPr>
        <w:t>lemstillingene</w:t>
      </w:r>
      <w:r w:rsidRPr="7924E30B">
        <w:rPr>
          <w:rFonts w:ascii="Times New Roman" w:eastAsia="Times New Roman" w:hAnsi="Times New Roman" w:cs="Times New Roman"/>
        </w:rPr>
        <w:t xml:space="preserve"> er bragt inn i dialogen med forhandlingspartene og med Riksmekler</w:t>
      </w:r>
      <w:r w:rsidR="00E37160">
        <w:rPr>
          <w:rFonts w:ascii="Times New Roman" w:eastAsia="Times New Roman" w:hAnsi="Times New Roman" w:cs="Times New Roman"/>
        </w:rPr>
        <w:t>, og</w:t>
      </w:r>
      <w:r w:rsidRPr="7924E30B">
        <w:rPr>
          <w:rFonts w:ascii="Times New Roman" w:eastAsia="Times New Roman" w:hAnsi="Times New Roman" w:cs="Times New Roman"/>
        </w:rPr>
        <w:t xml:space="preserve"> har også vært tema i Teknisk </w:t>
      </w:r>
      <w:r w:rsidR="00776689" w:rsidRPr="7924E30B">
        <w:rPr>
          <w:rFonts w:ascii="Times New Roman" w:eastAsia="Times New Roman" w:hAnsi="Times New Roman" w:cs="Times New Roman"/>
        </w:rPr>
        <w:t>Beregningsutvalg</w:t>
      </w:r>
      <w:r w:rsidR="0123BCE0" w:rsidRPr="7924E30B">
        <w:rPr>
          <w:rFonts w:ascii="Times New Roman" w:eastAsia="Times New Roman" w:hAnsi="Times New Roman" w:cs="Times New Roman"/>
        </w:rPr>
        <w:t xml:space="preserve"> for inntektsoppgjørene (TBU)</w:t>
      </w:r>
      <w:r w:rsidR="00485E23">
        <w:rPr>
          <w:rFonts w:ascii="Times New Roman" w:eastAsia="Times New Roman" w:hAnsi="Times New Roman" w:cs="Times New Roman"/>
        </w:rPr>
        <w:t>,</w:t>
      </w:r>
      <w:r w:rsidR="007D701E">
        <w:rPr>
          <w:rFonts w:ascii="Times New Roman" w:eastAsia="Times New Roman" w:hAnsi="Times New Roman" w:cs="Times New Roman"/>
        </w:rPr>
        <w:t xml:space="preserve"> </w:t>
      </w:r>
      <w:r w:rsidR="00E37160">
        <w:rPr>
          <w:rFonts w:ascii="Times New Roman" w:eastAsia="Times New Roman" w:hAnsi="Times New Roman" w:cs="Times New Roman"/>
        </w:rPr>
        <w:t>hvor</w:t>
      </w:r>
      <w:r w:rsidR="00206913">
        <w:rPr>
          <w:rFonts w:ascii="Times New Roman" w:eastAsia="Times New Roman" w:hAnsi="Times New Roman" w:cs="Times New Roman"/>
        </w:rPr>
        <w:t xml:space="preserve"> </w:t>
      </w:r>
      <w:r w:rsidR="0123BCE0" w:rsidRPr="7924E30B">
        <w:rPr>
          <w:rFonts w:ascii="Times New Roman" w:eastAsia="Times New Roman" w:hAnsi="Times New Roman" w:cs="Times New Roman"/>
        </w:rPr>
        <w:t xml:space="preserve">Akademikerne </w:t>
      </w:r>
      <w:r w:rsidR="00206913">
        <w:rPr>
          <w:rFonts w:ascii="Times New Roman" w:eastAsia="Times New Roman" w:hAnsi="Times New Roman" w:cs="Times New Roman"/>
        </w:rPr>
        <w:t xml:space="preserve">er </w:t>
      </w:r>
      <w:r w:rsidR="00E37160">
        <w:rPr>
          <w:rFonts w:ascii="Times New Roman" w:eastAsia="Times New Roman" w:hAnsi="Times New Roman" w:cs="Times New Roman"/>
        </w:rPr>
        <w:t>medlem</w:t>
      </w:r>
      <w:r w:rsidR="00206913">
        <w:rPr>
          <w:rFonts w:ascii="Times New Roman" w:eastAsia="Times New Roman" w:hAnsi="Times New Roman" w:cs="Times New Roman"/>
        </w:rPr>
        <w:t>.</w:t>
      </w:r>
    </w:p>
    <w:p w14:paraId="4C0F12E4" w14:textId="4DA24C7C" w:rsidR="24E7C758" w:rsidRDefault="4B2BEFBA" w:rsidP="24E7C758">
      <w:pPr>
        <w:rPr>
          <w:rFonts w:ascii="Times New Roman" w:eastAsia="Times New Roman" w:hAnsi="Times New Roman" w:cs="Times New Roman"/>
        </w:rPr>
      </w:pPr>
      <w:r w:rsidRPr="159D3F6F">
        <w:rPr>
          <w:rFonts w:eastAsiaTheme="minorEastAsia"/>
        </w:rPr>
        <w:t xml:space="preserve">Akademikerne har vært en </w:t>
      </w:r>
      <w:r w:rsidR="5582357C" w:rsidRPr="159D3F6F">
        <w:rPr>
          <w:rFonts w:eastAsiaTheme="minorEastAsia"/>
        </w:rPr>
        <w:t xml:space="preserve">synlig aktør og </w:t>
      </w:r>
      <w:r w:rsidR="11D01BC9" w:rsidRPr="159D3F6F">
        <w:rPr>
          <w:rFonts w:eastAsiaTheme="minorEastAsia"/>
        </w:rPr>
        <w:t xml:space="preserve">en </w:t>
      </w:r>
      <w:r w:rsidR="14C22E24" w:rsidRPr="159D3F6F">
        <w:rPr>
          <w:rFonts w:eastAsiaTheme="minorEastAsia"/>
        </w:rPr>
        <w:t xml:space="preserve">pådriver for </w:t>
      </w:r>
      <w:r w:rsidR="5658A22D" w:rsidRPr="159D3F6F">
        <w:rPr>
          <w:rFonts w:eastAsiaTheme="minorEastAsia"/>
        </w:rPr>
        <w:t xml:space="preserve">at forhandlingene </w:t>
      </w:r>
      <w:r w:rsidR="79AAB834" w:rsidRPr="159D3F6F">
        <w:rPr>
          <w:rFonts w:eastAsiaTheme="minorEastAsia"/>
        </w:rPr>
        <w:t xml:space="preserve">i de ulike </w:t>
      </w:r>
      <w:r w:rsidR="080B4BC9" w:rsidRPr="159D3F6F">
        <w:rPr>
          <w:rFonts w:eastAsiaTheme="minorEastAsia"/>
        </w:rPr>
        <w:t xml:space="preserve">tariffområdene </w:t>
      </w:r>
      <w:r w:rsidR="404EE443" w:rsidRPr="159D3F6F">
        <w:rPr>
          <w:rFonts w:eastAsiaTheme="minorEastAsia"/>
        </w:rPr>
        <w:t xml:space="preserve">ikke kun </w:t>
      </w:r>
      <w:r w:rsidR="00485E23">
        <w:rPr>
          <w:rFonts w:eastAsiaTheme="minorEastAsia"/>
        </w:rPr>
        <w:t>skal være</w:t>
      </w:r>
      <w:r w:rsidR="404EE443" w:rsidRPr="159D3F6F">
        <w:rPr>
          <w:rFonts w:eastAsiaTheme="minorEastAsia"/>
        </w:rPr>
        <w:t xml:space="preserve"> </w:t>
      </w:r>
      <w:r w:rsidR="63A0FA4A" w:rsidRPr="159D3F6F">
        <w:rPr>
          <w:rFonts w:eastAsiaTheme="minorEastAsia"/>
        </w:rPr>
        <w:t xml:space="preserve">en kopi av </w:t>
      </w:r>
      <w:r w:rsidR="09E522AD" w:rsidRPr="159D3F6F">
        <w:rPr>
          <w:rFonts w:eastAsiaTheme="minorEastAsia"/>
        </w:rPr>
        <w:t xml:space="preserve">anslått </w:t>
      </w:r>
      <w:r w:rsidR="50894EBB" w:rsidRPr="159D3F6F">
        <w:rPr>
          <w:rFonts w:eastAsiaTheme="minorEastAsia"/>
        </w:rPr>
        <w:t xml:space="preserve">økonomisk ramme </w:t>
      </w:r>
      <w:r w:rsidR="172D7ACA" w:rsidRPr="159D3F6F">
        <w:rPr>
          <w:rFonts w:eastAsiaTheme="minorEastAsia"/>
        </w:rPr>
        <w:t>fra frontfagets oppgjør</w:t>
      </w:r>
      <w:r w:rsidR="0C923E19" w:rsidRPr="159D3F6F">
        <w:rPr>
          <w:rFonts w:eastAsiaTheme="minorEastAsia"/>
        </w:rPr>
        <w:t xml:space="preserve">. </w:t>
      </w:r>
      <w:r w:rsidR="671DFDBD" w:rsidRPr="159D3F6F">
        <w:rPr>
          <w:rFonts w:eastAsiaTheme="minorEastAsia"/>
        </w:rPr>
        <w:t>Akademikerne har hatt dialog med øvrige parter på arbeidstakersiden, og også med frontfagspartene. Den økonomiske rammen for de fleste r</w:t>
      </w:r>
      <w:r w:rsidR="423E28F9" w:rsidRPr="159D3F6F">
        <w:rPr>
          <w:rFonts w:eastAsiaTheme="minorEastAsia"/>
        </w:rPr>
        <w:t>esultatene i de offentlige tariffområdene</w:t>
      </w:r>
      <w:r w:rsidR="1CCCA891" w:rsidRPr="159D3F6F">
        <w:rPr>
          <w:rFonts w:eastAsiaTheme="minorEastAsia"/>
        </w:rPr>
        <w:t xml:space="preserve"> </w:t>
      </w:r>
      <w:r w:rsidR="401EBE98" w:rsidRPr="159D3F6F">
        <w:rPr>
          <w:rFonts w:eastAsiaTheme="minorEastAsia"/>
        </w:rPr>
        <w:t xml:space="preserve">endte </w:t>
      </w:r>
      <w:r w:rsidR="362418E5" w:rsidRPr="159D3F6F">
        <w:rPr>
          <w:rFonts w:eastAsiaTheme="minorEastAsia"/>
        </w:rPr>
        <w:t xml:space="preserve">i hovedsak </w:t>
      </w:r>
      <w:r w:rsidR="401EBE98" w:rsidRPr="159D3F6F">
        <w:rPr>
          <w:rFonts w:eastAsiaTheme="minorEastAsia"/>
        </w:rPr>
        <w:t xml:space="preserve">over </w:t>
      </w:r>
      <w:r w:rsidR="2A59F79D" w:rsidRPr="159D3F6F">
        <w:rPr>
          <w:rFonts w:eastAsiaTheme="minorEastAsia"/>
        </w:rPr>
        <w:t xml:space="preserve">frontfagets </w:t>
      </w:r>
      <w:r w:rsidR="34B03D5F" w:rsidRPr="159D3F6F">
        <w:rPr>
          <w:rFonts w:eastAsiaTheme="minorEastAsia"/>
        </w:rPr>
        <w:t>anslag</w:t>
      </w:r>
      <w:r w:rsidR="73BB501B" w:rsidRPr="159D3F6F">
        <w:rPr>
          <w:rFonts w:eastAsiaTheme="minorEastAsia"/>
        </w:rPr>
        <w:t>. Dette</w:t>
      </w:r>
      <w:r w:rsidR="2941BC26" w:rsidRPr="159D3F6F">
        <w:rPr>
          <w:rFonts w:eastAsiaTheme="minorEastAsia"/>
        </w:rPr>
        <w:t xml:space="preserve"> er et skritt i riktig retning</w:t>
      </w:r>
      <w:r w:rsidR="4C93D22D" w:rsidRPr="159D3F6F">
        <w:rPr>
          <w:rFonts w:eastAsiaTheme="minorEastAsia"/>
        </w:rPr>
        <w:t xml:space="preserve"> i form </w:t>
      </w:r>
      <w:r w:rsidR="5AF465C1" w:rsidRPr="159D3F6F">
        <w:rPr>
          <w:rFonts w:eastAsiaTheme="minorEastAsia"/>
        </w:rPr>
        <w:t xml:space="preserve">av at de ulike </w:t>
      </w:r>
      <w:r w:rsidR="7E467BC8" w:rsidRPr="159D3F6F">
        <w:rPr>
          <w:rFonts w:eastAsiaTheme="minorEastAsia"/>
        </w:rPr>
        <w:t xml:space="preserve">tariffområdene </w:t>
      </w:r>
      <w:r w:rsidR="24414D81" w:rsidRPr="159D3F6F">
        <w:rPr>
          <w:rFonts w:eastAsiaTheme="minorEastAsia"/>
        </w:rPr>
        <w:t xml:space="preserve">selv må vurdere </w:t>
      </w:r>
      <w:r w:rsidR="39C11D8D" w:rsidRPr="159D3F6F">
        <w:rPr>
          <w:rFonts w:eastAsiaTheme="minorEastAsia"/>
        </w:rPr>
        <w:t xml:space="preserve">behov, </w:t>
      </w:r>
      <w:r w:rsidR="63C63D17" w:rsidRPr="159D3F6F">
        <w:rPr>
          <w:rFonts w:eastAsiaTheme="minorEastAsia"/>
        </w:rPr>
        <w:t>utfordringer og lønnsevne.</w:t>
      </w:r>
      <w:r w:rsidR="63C63D17" w:rsidRPr="63C63D17">
        <w:rPr>
          <w:rFonts w:ascii="Times New Roman" w:eastAsia="Times New Roman" w:hAnsi="Times New Roman" w:cs="Times New Roman"/>
        </w:rPr>
        <w:t xml:space="preserve"> </w:t>
      </w:r>
    </w:p>
    <w:p w14:paraId="7E8D5DE2" w14:textId="7B1080B2" w:rsidR="001E59C0" w:rsidRDefault="001E59C0" w:rsidP="0088576A">
      <w:pPr>
        <w:pStyle w:val="Overskrift3"/>
        <w:numPr>
          <w:ilvl w:val="0"/>
          <w:numId w:val="46"/>
        </w:numPr>
      </w:pPr>
      <w:bookmarkStart w:id="7" w:name="_Toc114065525"/>
      <w:r>
        <w:t>Rammebetingelsene for digitalisering og organisering av arbeid skal reguleres og</w:t>
      </w:r>
      <w:r w:rsidR="000C00EC">
        <w:t xml:space="preserve"> </w:t>
      </w:r>
      <w:r>
        <w:t>tilpasses et kunnskapsbasert arbeidsliv.</w:t>
      </w:r>
      <w:bookmarkEnd w:id="7"/>
    </w:p>
    <w:p w14:paraId="757C5BC9" w14:textId="08DCF2FF" w:rsidR="000C00EC" w:rsidRDefault="00FE5CF1" w:rsidP="00724C21">
      <w:pPr>
        <w:spacing w:before="240"/>
      </w:pPr>
      <w:r>
        <w:t xml:space="preserve">Med pandemien </w:t>
      </w:r>
      <w:r w:rsidR="00D77EF7">
        <w:t xml:space="preserve">ble </w:t>
      </w:r>
      <w:r w:rsidR="0002225C">
        <w:t xml:space="preserve">hjemmekontor </w:t>
      </w:r>
      <w:r w:rsidR="00BD4E6E">
        <w:t xml:space="preserve">og fjernarbeid </w:t>
      </w:r>
      <w:r w:rsidR="001D207C">
        <w:t>helt sentral</w:t>
      </w:r>
      <w:r w:rsidR="00282009">
        <w:t>t</w:t>
      </w:r>
      <w:r w:rsidR="001D207C">
        <w:t xml:space="preserve"> i diskusjonen</w:t>
      </w:r>
      <w:r w:rsidR="00583090">
        <w:t>e</w:t>
      </w:r>
      <w:r w:rsidR="000610F6">
        <w:t xml:space="preserve"> </w:t>
      </w:r>
      <w:r w:rsidR="006803BE">
        <w:t xml:space="preserve">knyttet til digitalisering </w:t>
      </w:r>
      <w:r w:rsidR="00135C9E">
        <w:t>og organisering av akademikeres</w:t>
      </w:r>
      <w:r w:rsidR="001B4C87">
        <w:t xml:space="preserve"> </w:t>
      </w:r>
      <w:r w:rsidR="00835836">
        <w:t>arbeidssituasjon</w:t>
      </w:r>
      <w:r w:rsidR="006A0DDF">
        <w:t>.</w:t>
      </w:r>
      <w:r w:rsidR="00FE7E89">
        <w:t xml:space="preserve"> </w:t>
      </w:r>
      <w:r w:rsidR="00C867EC">
        <w:t>Før pandemien</w:t>
      </w:r>
      <w:r w:rsidR="00D17917">
        <w:t xml:space="preserve"> oppga </w:t>
      </w:r>
      <w:r w:rsidR="0078016C">
        <w:t xml:space="preserve">5-10 </w:t>
      </w:r>
      <w:r w:rsidR="00F05EBA">
        <w:t>prosent</w:t>
      </w:r>
      <w:r w:rsidR="0078016C">
        <w:t xml:space="preserve"> av norske akademikere at de regelmessig jobbet hjemmefra</w:t>
      </w:r>
      <w:r w:rsidR="00C74F50">
        <w:t>. Våren 2022</w:t>
      </w:r>
      <w:r w:rsidR="00CD6120">
        <w:t xml:space="preserve"> sier </w:t>
      </w:r>
      <w:r w:rsidR="00282009">
        <w:t>60 prosent</w:t>
      </w:r>
      <w:r w:rsidR="00CD6120">
        <w:t xml:space="preserve"> </w:t>
      </w:r>
      <w:r w:rsidR="00406964">
        <w:t xml:space="preserve">at de ukentlig </w:t>
      </w:r>
      <w:r w:rsidR="00CD0E97">
        <w:t>jobber fra hjemmekontor</w:t>
      </w:r>
      <w:r w:rsidR="007204AF">
        <w:t xml:space="preserve">. </w:t>
      </w:r>
      <w:r w:rsidR="00240009">
        <w:t xml:space="preserve">Akademikerne har </w:t>
      </w:r>
      <w:r w:rsidR="00F11B09">
        <w:t>vært tone</w:t>
      </w:r>
      <w:r w:rsidR="00F05EBA">
        <w:t>an</w:t>
      </w:r>
      <w:r w:rsidR="00F11B09">
        <w:t xml:space="preserve">givende i arbeidet og har </w:t>
      </w:r>
      <w:r w:rsidR="00240009">
        <w:t xml:space="preserve">i perioden fått gjennomslag for </w:t>
      </w:r>
      <w:r w:rsidR="00F11B09">
        <w:t xml:space="preserve">viktige </w:t>
      </w:r>
      <w:r w:rsidR="00A76AB0">
        <w:t xml:space="preserve">endringer i </w:t>
      </w:r>
      <w:r w:rsidR="000A6080">
        <w:t xml:space="preserve">regelverket for </w:t>
      </w:r>
      <w:r w:rsidR="00AF16E9">
        <w:t>arbeid i arbeidstakere</w:t>
      </w:r>
      <w:r w:rsidR="00F05EBA">
        <w:t>s</w:t>
      </w:r>
      <w:r w:rsidR="00AF16E9">
        <w:t xml:space="preserve"> hjem</w:t>
      </w:r>
      <w:r w:rsidR="001D5D5F">
        <w:t xml:space="preserve"> </w:t>
      </w:r>
      <w:r w:rsidR="00AF16E9">
        <w:t xml:space="preserve">som styrker </w:t>
      </w:r>
      <w:r w:rsidR="00240533">
        <w:t xml:space="preserve">HMS og arbeidstidsbestemmelser. </w:t>
      </w:r>
      <w:r w:rsidR="001A5C6E">
        <w:t xml:space="preserve">Akademikerne har også </w:t>
      </w:r>
      <w:r w:rsidR="00C95142">
        <w:t xml:space="preserve">satt </w:t>
      </w:r>
      <w:r w:rsidR="00FE7306">
        <w:t>spørsmål</w:t>
      </w:r>
      <w:r w:rsidR="00282009">
        <w:t>et</w:t>
      </w:r>
      <w:r w:rsidR="00FE7306">
        <w:t xml:space="preserve"> om yrkesskadebestemmelser </w:t>
      </w:r>
      <w:r w:rsidR="00191924">
        <w:t xml:space="preserve">på dagsorden og </w:t>
      </w:r>
      <w:r w:rsidR="00BA4AFC">
        <w:t xml:space="preserve">jobber for at </w:t>
      </w:r>
      <w:r w:rsidR="00640C7A">
        <w:t>yrkesskade</w:t>
      </w:r>
      <w:r w:rsidR="00D1139C">
        <w:t>reglene</w:t>
      </w:r>
      <w:r w:rsidR="00640C7A">
        <w:t xml:space="preserve"> </w:t>
      </w:r>
      <w:r w:rsidR="00C95142">
        <w:t xml:space="preserve">ved hjemmekontor og annet fjernarbeid </w:t>
      </w:r>
      <w:r w:rsidR="00D900F9">
        <w:t>må</w:t>
      </w:r>
      <w:r w:rsidR="000E5C31">
        <w:t xml:space="preserve"> inngå i </w:t>
      </w:r>
      <w:r w:rsidR="00282009">
        <w:t xml:space="preserve">en varslet </w:t>
      </w:r>
      <w:r w:rsidR="000E5C31">
        <w:t>gjennomgang av yrkesskaderegelverket</w:t>
      </w:r>
      <w:r w:rsidR="006C7285">
        <w:t xml:space="preserve">. </w:t>
      </w:r>
    </w:p>
    <w:p w14:paraId="16870896" w14:textId="191038F8" w:rsidR="00726B01" w:rsidRDefault="00A525CC" w:rsidP="000C00EC">
      <w:r>
        <w:t xml:space="preserve">Det partssammensatte Fougner-utvalget leverte våren 2021 NOU </w:t>
      </w:r>
      <w:r w:rsidR="00754016">
        <w:t>2021:9</w:t>
      </w:r>
      <w:r w:rsidR="007769B5">
        <w:t xml:space="preserve"> «Den norske modellen og fremtidens arbeidsliv».</w:t>
      </w:r>
      <w:r w:rsidR="00CB51AE">
        <w:t xml:space="preserve"> Akademikerne inngikk der i flertallet som </w:t>
      </w:r>
      <w:r w:rsidR="00CD4D5C">
        <w:t xml:space="preserve">foreslo en rekke </w:t>
      </w:r>
      <w:r w:rsidR="003D4F0A">
        <w:t>endringer knyttet til klargjøring av arbeidstakerbegrepet</w:t>
      </w:r>
      <w:r w:rsidR="000D4EF4">
        <w:t>, tydeliggjøring av skillet mellom innleie og entreprise</w:t>
      </w:r>
      <w:r w:rsidR="00AB38CA">
        <w:t xml:space="preserve">, rettigheter </w:t>
      </w:r>
      <w:r w:rsidR="004B7685">
        <w:t>for ansatte i konsern</w:t>
      </w:r>
      <w:r w:rsidR="006C2D21">
        <w:t>, begrensninger i adgangen til mi</w:t>
      </w:r>
      <w:r w:rsidR="00DC30B3">
        <w:t>dl</w:t>
      </w:r>
      <w:r w:rsidR="006C2D21">
        <w:t>ertidig tilsetting</w:t>
      </w:r>
      <w:r w:rsidR="008C513F">
        <w:t xml:space="preserve"> og </w:t>
      </w:r>
      <w:r w:rsidR="00A860E3">
        <w:lastRenderedPageBreak/>
        <w:t xml:space="preserve">behovet for velferdsordninger </w:t>
      </w:r>
      <w:r w:rsidR="00872B57">
        <w:t>for selvstendige oppdragstakere</w:t>
      </w:r>
      <w:r w:rsidR="00DC30B3">
        <w:t xml:space="preserve">. </w:t>
      </w:r>
      <w:r w:rsidR="00C10277">
        <w:t>Noen av u</w:t>
      </w:r>
      <w:r w:rsidR="00DC30B3">
        <w:t xml:space="preserve">tvalgets forslag </w:t>
      </w:r>
      <w:r w:rsidR="00036C0E">
        <w:t>er</w:t>
      </w:r>
      <w:r w:rsidR="00C10277">
        <w:t xml:space="preserve"> fulgt opp </w:t>
      </w:r>
      <w:r w:rsidR="008E04ED">
        <w:t>gjennom vedtak i Sto</w:t>
      </w:r>
      <w:r w:rsidR="004B265C">
        <w:t xml:space="preserve">rtinget, ytterligere oppfølging er varslet fra regjeringen høsten 2022. </w:t>
      </w:r>
    </w:p>
    <w:p w14:paraId="7AA061E2" w14:textId="2A162011" w:rsidR="00EE2952" w:rsidRPr="00275ED9" w:rsidRDefault="00661548" w:rsidP="005C600A">
      <w:pPr>
        <w:tabs>
          <w:tab w:val="clear" w:pos="2155"/>
        </w:tabs>
        <w:spacing w:after="0" w:line="240" w:lineRule="auto"/>
      </w:pPr>
      <w:r>
        <w:t xml:space="preserve">Regulering av adgang til innleie </w:t>
      </w:r>
      <w:r w:rsidR="00435357">
        <w:t xml:space="preserve">har vært </w:t>
      </w:r>
      <w:r w:rsidR="00713DCA">
        <w:t>en viktig sak for styre</w:t>
      </w:r>
      <w:r w:rsidR="005D751E">
        <w:t>t</w:t>
      </w:r>
      <w:r w:rsidR="00435357">
        <w:t xml:space="preserve">. Regjeringen sendte et </w:t>
      </w:r>
      <w:r w:rsidR="00F17B88">
        <w:t xml:space="preserve">forslag til regelendringer </w:t>
      </w:r>
      <w:r w:rsidR="00435357">
        <w:t>til</w:t>
      </w:r>
      <w:r w:rsidR="00435357" w:rsidRPr="00435357">
        <w:t xml:space="preserve"> </w:t>
      </w:r>
      <w:r w:rsidR="00CD43DC">
        <w:t>stortinget i juni 2022</w:t>
      </w:r>
      <w:r w:rsidR="00282009">
        <w:t>.</w:t>
      </w:r>
      <w:r w:rsidR="00713DCA">
        <w:t xml:space="preserve"> </w:t>
      </w:r>
      <w:r w:rsidR="003142D8">
        <w:t xml:space="preserve">Akademikerne har gått imot en generell innstramming i adgangen til innleie </w:t>
      </w:r>
      <w:r w:rsidR="00275ED9">
        <w:t>ved arbeid av midlertidig karakter</w:t>
      </w:r>
      <w:r w:rsidR="00275ED9">
        <w:rPr>
          <w:rFonts w:ascii="Times New Roman" w:hAnsi="Times New Roman" w:cs="Times New Roman"/>
          <w:sz w:val="24"/>
          <w:szCs w:val="24"/>
          <w:lang w:eastAsia="nb-NO"/>
        </w:rPr>
        <w:t xml:space="preserve"> </w:t>
      </w:r>
      <w:r w:rsidR="003142D8">
        <w:t xml:space="preserve">. Et slikt forbud </w:t>
      </w:r>
      <w:r w:rsidR="002F40B3">
        <w:t xml:space="preserve">er ikke konsekvensutredet og </w:t>
      </w:r>
      <w:r w:rsidR="003142D8">
        <w:t xml:space="preserve">vil </w:t>
      </w:r>
      <w:r w:rsidR="002F40B3">
        <w:t xml:space="preserve">kunne </w:t>
      </w:r>
      <w:r w:rsidR="003142D8">
        <w:t xml:space="preserve">ramme akademikere i konsulent- og rådgivingsbransjen urimelig og utsette disse for usikre, midlertidige ansettelsesforhold. En generell innstramming vil også </w:t>
      </w:r>
      <w:r w:rsidR="002F40B3">
        <w:t xml:space="preserve"> </w:t>
      </w:r>
      <w:r w:rsidR="003142D8">
        <w:t xml:space="preserve">bidra til en dårligere tilgang til spesialisert kompetanse med de uheldige samfunnsmessige konsekvenser dette kan medføre. </w:t>
      </w:r>
      <w:r w:rsidR="00713DCA" w:rsidRPr="00713DCA">
        <w:t>Akademikerne har lykkes med å snu regjeringens holdning fra å foreslå et absolutt forbud til å gå inn for en forskriftsregulert adgang til innleie innen enkelte områder</w:t>
      </w:r>
      <w:r w:rsidR="00D01BA3">
        <w:t xml:space="preserve">. Dette er foreslått </w:t>
      </w:r>
      <w:r w:rsidR="009B3FAD">
        <w:t>en forskriftshjemmel for lovlig å kunne leie inn</w:t>
      </w:r>
      <w:r w:rsidR="00D01BA3">
        <w:t xml:space="preserve"> </w:t>
      </w:r>
      <w:r w:rsidR="00E45938">
        <w:t>helsepersonell</w:t>
      </w:r>
      <w:r w:rsidR="00C02AB8">
        <w:t xml:space="preserve"> og spesialkompetanse</w:t>
      </w:r>
      <w:r w:rsidR="00713DCA">
        <w:t>.</w:t>
      </w:r>
      <w:r w:rsidR="00C2556D">
        <w:t xml:space="preserve"> </w:t>
      </w:r>
      <w:r w:rsidR="005035FE">
        <w:t xml:space="preserve">Saken skal behandles i Stortinget høsten </w:t>
      </w:r>
      <w:r w:rsidR="00F8400B">
        <w:t>2022.</w:t>
      </w:r>
    </w:p>
    <w:p w14:paraId="173680B7" w14:textId="3978D1A2" w:rsidR="00CB687B" w:rsidRPr="000C00EC" w:rsidRDefault="007638DB" w:rsidP="000C00EC">
      <w:r>
        <w:t>Universitets- og høyskolesektoren har et vesentlig høy</w:t>
      </w:r>
      <w:r w:rsidR="00610DFD">
        <w:t>ere andel mi</w:t>
      </w:r>
      <w:r w:rsidR="00A12F21">
        <w:t>dl</w:t>
      </w:r>
      <w:r w:rsidR="00610DFD">
        <w:t xml:space="preserve">ertidig ansatte enn arbeidslivet </w:t>
      </w:r>
      <w:r w:rsidR="00FD2DDF">
        <w:t>for øvrig</w:t>
      </w:r>
      <w:r w:rsidR="00610DFD">
        <w:t xml:space="preserve">. </w:t>
      </w:r>
      <w:r w:rsidR="00A12F21">
        <w:t>Akademikerne har påpekt at dette er</w:t>
      </w:r>
      <w:r w:rsidR="00201797">
        <w:t xml:space="preserve"> noe man må se i en bred sammenheng </w:t>
      </w:r>
      <w:r w:rsidR="00385E25">
        <w:t>–</w:t>
      </w:r>
      <w:r w:rsidR="00201797">
        <w:t xml:space="preserve"> </w:t>
      </w:r>
      <w:r w:rsidR="00385E25">
        <w:t xml:space="preserve">stillingsvernregler, </w:t>
      </w:r>
      <w:r w:rsidR="009676E5">
        <w:t>finansieringss</w:t>
      </w:r>
      <w:r w:rsidR="00E36A3F">
        <w:t>ystem</w:t>
      </w:r>
      <w:r w:rsidR="00DA0129">
        <w:t xml:space="preserve"> og </w:t>
      </w:r>
      <w:r w:rsidR="00EE5815">
        <w:t xml:space="preserve">institusjonenes kultur </w:t>
      </w:r>
      <w:r w:rsidR="0003171A">
        <w:t xml:space="preserve">må </w:t>
      </w:r>
      <w:r w:rsidR="00685B02">
        <w:t xml:space="preserve">vurderes helhetlig. </w:t>
      </w:r>
      <w:r w:rsidR="00D206F7">
        <w:t xml:space="preserve">Forslag til endringer i </w:t>
      </w:r>
      <w:r w:rsidR="00865CF2">
        <w:t xml:space="preserve">Universitets- og høyskoleloven </w:t>
      </w:r>
      <w:r w:rsidR="00247A5B">
        <w:t>er på høring høsten 2022.</w:t>
      </w:r>
    </w:p>
    <w:p w14:paraId="0F217CD8" w14:textId="1AD18DE5" w:rsidR="001E59C0" w:rsidRDefault="001E59C0" w:rsidP="0088576A">
      <w:pPr>
        <w:pStyle w:val="Overskrift3"/>
        <w:numPr>
          <w:ilvl w:val="0"/>
          <w:numId w:val="46"/>
        </w:numPr>
      </w:pPr>
      <w:bookmarkStart w:id="8" w:name="_Toc114065526"/>
      <w:r>
        <w:t>Arbeidsvilkår og velferdsordninger skal tilpasses både samfunnets behov generelt og</w:t>
      </w:r>
      <w:r w:rsidR="000C00EC">
        <w:t xml:space="preserve"> </w:t>
      </w:r>
      <w:r>
        <w:t>akademikeres behov</w:t>
      </w:r>
      <w:bookmarkEnd w:id="8"/>
    </w:p>
    <w:p w14:paraId="39D88D9D" w14:textId="6B0EF902" w:rsidR="000C00EC" w:rsidRDefault="00AF37CA" w:rsidP="001D19AF">
      <w:pPr>
        <w:spacing w:before="240"/>
      </w:pPr>
      <w:r>
        <w:t xml:space="preserve">IA-avtalen </w:t>
      </w:r>
      <w:r w:rsidR="00CA1FC8">
        <w:t xml:space="preserve">har vært sentral i perioden. </w:t>
      </w:r>
      <w:r w:rsidR="00F6032E">
        <w:t xml:space="preserve">Gjeldende IA-avtale </w:t>
      </w:r>
      <w:r w:rsidR="00BE5E57">
        <w:t xml:space="preserve">gjelder frem til utgangen av 2022. </w:t>
      </w:r>
      <w:r w:rsidR="00EC55E9">
        <w:t>Akademikerne har våren 2022, sammen med de øvrige h</w:t>
      </w:r>
      <w:r w:rsidR="00BE5E57">
        <w:t>ovedorganisasjonene og myndighetene</w:t>
      </w:r>
      <w:r w:rsidR="00EC55E9">
        <w:t>,</w:t>
      </w:r>
      <w:r w:rsidR="00BE5E57">
        <w:t xml:space="preserve"> </w:t>
      </w:r>
      <w:r w:rsidR="0040123A">
        <w:t>forberedt en prosess for even</w:t>
      </w:r>
      <w:r w:rsidR="003E148B">
        <w:t>tuell reforhandling av avtale</w:t>
      </w:r>
      <w:r w:rsidR="00926171">
        <w:t xml:space="preserve">n. </w:t>
      </w:r>
      <w:r w:rsidR="00025549">
        <w:t>Pandemi</w:t>
      </w:r>
      <w:r w:rsidR="000D6B8E">
        <w:t>en</w:t>
      </w:r>
      <w:r w:rsidR="00025549">
        <w:t xml:space="preserve"> har </w:t>
      </w:r>
      <w:r w:rsidR="002811A5">
        <w:t xml:space="preserve">gjort at en rekke av tiltakene i </w:t>
      </w:r>
      <w:r w:rsidR="00880953">
        <w:t>avtalen er forsinket og man mangler derfor kunnskap og erfaring</w:t>
      </w:r>
      <w:r w:rsidR="00613AC4">
        <w:t xml:space="preserve">. </w:t>
      </w:r>
    </w:p>
    <w:p w14:paraId="1E8CFBD5" w14:textId="39738C94" w:rsidR="00EA7E95" w:rsidRDefault="00EA7E95" w:rsidP="000C00EC">
      <w:r>
        <w:t xml:space="preserve">Det partssammensatte Sysselsettingsutvalget leverte </w:t>
      </w:r>
      <w:r w:rsidR="00B208A8">
        <w:t>i januar 2021</w:t>
      </w:r>
      <w:r w:rsidR="009A77C0">
        <w:t xml:space="preserve"> sin innstilling NOU 2021: 2 </w:t>
      </w:r>
      <w:r w:rsidR="009A77C0" w:rsidRPr="00E12C48">
        <w:rPr>
          <w:i/>
        </w:rPr>
        <w:t>Kompetanse, aktivitet og inntektssikring.</w:t>
      </w:r>
      <w:r w:rsidR="00C36288">
        <w:rPr>
          <w:iCs/>
        </w:rPr>
        <w:t xml:space="preserve"> </w:t>
      </w:r>
      <w:r w:rsidR="001D19AF">
        <w:t>Akademikernes leder</w:t>
      </w:r>
      <w:r w:rsidR="003C7664">
        <w:rPr>
          <w:iCs/>
        </w:rPr>
        <w:t xml:space="preserve"> var </w:t>
      </w:r>
      <w:r w:rsidR="001D19AF">
        <w:t>med</w:t>
      </w:r>
      <w:r w:rsidR="003C7664">
        <w:rPr>
          <w:iCs/>
        </w:rPr>
        <w:t xml:space="preserve"> i utvalget</w:t>
      </w:r>
      <w:r w:rsidR="001D19AF">
        <w:t xml:space="preserve"> som</w:t>
      </w:r>
      <w:r w:rsidR="004B76C7">
        <w:rPr>
          <w:iCs/>
        </w:rPr>
        <w:t xml:space="preserve"> </w:t>
      </w:r>
      <w:r w:rsidR="001677B9">
        <w:rPr>
          <w:iCs/>
        </w:rPr>
        <w:t xml:space="preserve">kom frem til en rekke felles forslag </w:t>
      </w:r>
      <w:r w:rsidR="005E36BC">
        <w:rPr>
          <w:iCs/>
        </w:rPr>
        <w:t xml:space="preserve">for å øke sysselsettingsandelen </w:t>
      </w:r>
      <w:r w:rsidR="00337814">
        <w:rPr>
          <w:iCs/>
        </w:rPr>
        <w:t xml:space="preserve">og </w:t>
      </w:r>
      <w:r w:rsidR="000216F2">
        <w:rPr>
          <w:iCs/>
        </w:rPr>
        <w:t xml:space="preserve">hindre utenforskap. </w:t>
      </w:r>
      <w:r w:rsidR="002248CB">
        <w:t xml:space="preserve">I oppfølgingen har </w:t>
      </w:r>
      <w:r w:rsidR="00DE3849">
        <w:t xml:space="preserve">Akademikerne særlig </w:t>
      </w:r>
      <w:r w:rsidR="00ED56FD">
        <w:t>vektlagt tiltak som kan h</w:t>
      </w:r>
      <w:r w:rsidR="00EB3667">
        <w:t xml:space="preserve">indre at unge under 30 år faller ut av utdanning og arbeid, og i denne forbindelse fremhevet at også </w:t>
      </w:r>
      <w:r w:rsidR="005148B0">
        <w:t xml:space="preserve">høyere utdanning må være en mulighet for denne gruppen. </w:t>
      </w:r>
    </w:p>
    <w:p w14:paraId="759969BC" w14:textId="62A3C6B7" w:rsidR="00CB58BF" w:rsidRDefault="00CB58BF" w:rsidP="00CB58BF">
      <w:r w:rsidRPr="00D358C8">
        <w:t>Akademikerne jobber for likeverdig sikkerhetsnett for yrkesaktive</w:t>
      </w:r>
      <w:r>
        <w:t>,</w:t>
      </w:r>
      <w:r w:rsidRPr="00D358C8">
        <w:t xml:space="preserve"> uavhengig av </w:t>
      </w:r>
      <w:r>
        <w:t xml:space="preserve">hvilken </w:t>
      </w:r>
      <w:r w:rsidRPr="00D358C8">
        <w:t>tilknytningsform</w:t>
      </w:r>
      <w:r>
        <w:t xml:space="preserve"> de har til arbeidslivet</w:t>
      </w:r>
      <w:r w:rsidRPr="00D358C8">
        <w:t>.</w:t>
      </w:r>
      <w:r>
        <w:t xml:space="preserve"> Tryggere rammebetingelser for næringsdrivende har også vært viktig en viktig del av dette. Etter påtrykk fra Akademikerne har Arbeids- og inkluderingsdepartementet igangsatt en utredning som skal evaluere </w:t>
      </w:r>
      <w:r w:rsidR="00276D76">
        <w:t>og vurdere endringer i</w:t>
      </w:r>
      <w:r>
        <w:t xml:space="preserve"> de individuelle forsikringsordningene i folketrygdlovens kap</w:t>
      </w:r>
      <w:r w:rsidR="008A56D8">
        <w:t>.</w:t>
      </w:r>
      <w:r>
        <w:t xml:space="preserve"> 8 for selvstendig næringsdrivende og frilansere. </w:t>
      </w:r>
    </w:p>
    <w:p w14:paraId="6B9EC076" w14:textId="1AC1E9B5" w:rsidR="005148B0" w:rsidRPr="00F14AF8" w:rsidRDefault="0074552C" w:rsidP="000C00EC">
      <w:r>
        <w:lastRenderedPageBreak/>
        <w:t>A</w:t>
      </w:r>
      <w:r w:rsidR="005148B0">
        <w:t xml:space="preserve">dgang til </w:t>
      </w:r>
      <w:r w:rsidR="00907E8A">
        <w:t xml:space="preserve">studier mens man mottar dagpenger </w:t>
      </w:r>
      <w:r w:rsidR="005B692D">
        <w:t xml:space="preserve">for alle utdanningsgrupper, også de høyt utdannede, </w:t>
      </w:r>
      <w:r>
        <w:t xml:space="preserve">har vært en sak Akademikerne har jobbet </w:t>
      </w:r>
      <w:r w:rsidR="00CD7A75">
        <w:t>for i flere år</w:t>
      </w:r>
      <w:r w:rsidR="008B0C5D">
        <w:t xml:space="preserve">. Styret er svært fornøyd med å ha fått gjennomslag for dette i perioden. </w:t>
      </w:r>
    </w:p>
    <w:p w14:paraId="69A05F35" w14:textId="3873B4AB" w:rsidR="00FA2ECE" w:rsidRDefault="00FA2ECE" w:rsidP="000C00EC">
      <w:r>
        <w:t xml:space="preserve">Akademikerne </w:t>
      </w:r>
      <w:r w:rsidR="00FD20BC">
        <w:t>har</w:t>
      </w:r>
      <w:r>
        <w:t xml:space="preserve"> deltatt i et partssammensatt utvalg som har lagt frem forslag </w:t>
      </w:r>
      <w:r w:rsidR="006C16D3">
        <w:t xml:space="preserve">for </w:t>
      </w:r>
      <w:r>
        <w:t>å sikre arbeidstakeres feriepengerettigheter.</w:t>
      </w:r>
      <w:r w:rsidR="00EB53D0">
        <w:t xml:space="preserve"> Akademikerne har i denne sammenheng også tatt opp</w:t>
      </w:r>
      <w:r w:rsidR="00DD1053">
        <w:t xml:space="preserve"> </w:t>
      </w:r>
      <w:r w:rsidR="00EB53D0">
        <w:t xml:space="preserve">at gjeldende lovgiving </w:t>
      </w:r>
      <w:r w:rsidR="00DD1053">
        <w:t xml:space="preserve">kan være i strid med EU-krav om </w:t>
      </w:r>
      <w:r w:rsidR="00E15C8E">
        <w:t xml:space="preserve">lønnet ferie. </w:t>
      </w:r>
    </w:p>
    <w:p w14:paraId="12BF3374" w14:textId="7389A98F" w:rsidR="001E59C0" w:rsidRDefault="001E59C0" w:rsidP="0088576A">
      <w:pPr>
        <w:pStyle w:val="Overskrift3"/>
        <w:numPr>
          <w:ilvl w:val="0"/>
          <w:numId w:val="46"/>
        </w:numPr>
      </w:pPr>
      <w:bookmarkStart w:id="9" w:name="_Toc114065527"/>
      <w:r>
        <w:t>En videregående opplæring som forbereder til høyere utdanning</w:t>
      </w:r>
      <w:bookmarkEnd w:id="9"/>
    </w:p>
    <w:p w14:paraId="1193D668" w14:textId="7AF18463" w:rsidR="00697A9C" w:rsidRDefault="00F876D4" w:rsidP="00724C21">
      <w:pPr>
        <w:spacing w:before="240"/>
      </w:pPr>
      <w:r>
        <w:t>A</w:t>
      </w:r>
      <w:r w:rsidR="00644510">
        <w:t xml:space="preserve">rbeidet </w:t>
      </w:r>
      <w:r>
        <w:t>har</w:t>
      </w:r>
      <w:r w:rsidR="005D158A">
        <w:t xml:space="preserve"> </w:t>
      </w:r>
      <w:r w:rsidR="00644510">
        <w:t>i hovedsak vært rette</w:t>
      </w:r>
      <w:r w:rsidR="001F28E4">
        <w:t>t</w:t>
      </w:r>
      <w:r w:rsidR="00644510">
        <w:t xml:space="preserve"> </w:t>
      </w:r>
      <w:r w:rsidR="005D158A">
        <w:t xml:space="preserve">mot arbeidet med og </w:t>
      </w:r>
      <w:r w:rsidR="001F28E4">
        <w:t>behandlingen</w:t>
      </w:r>
      <w:r w:rsidR="005D158A">
        <w:t xml:space="preserve"> av </w:t>
      </w:r>
      <w:r w:rsidR="001F28E4">
        <w:t xml:space="preserve">Solberg-regjeringens </w:t>
      </w:r>
      <w:r w:rsidR="25103FFD">
        <w:t>Fullføringsreform (Meld.</w:t>
      </w:r>
      <w:r w:rsidR="47C64567">
        <w:t xml:space="preserve"> </w:t>
      </w:r>
      <w:r w:rsidR="25103FFD">
        <w:t>St</w:t>
      </w:r>
      <w:r w:rsidR="47C64567">
        <w:t>. 21 (2020-2021)</w:t>
      </w:r>
      <w:r w:rsidR="45D99833">
        <w:t>)</w:t>
      </w:r>
      <w:r w:rsidR="001F28E4">
        <w:t xml:space="preserve">. </w:t>
      </w:r>
      <w:r w:rsidR="00C63F85">
        <w:t xml:space="preserve">Det har vært særlig viktig </w:t>
      </w:r>
      <w:r w:rsidR="00343343">
        <w:t xml:space="preserve">å </w:t>
      </w:r>
      <w:r w:rsidR="00BD27DC">
        <w:t>få</w:t>
      </w:r>
      <w:r w:rsidR="00F520FF">
        <w:t xml:space="preserve"> frem </w:t>
      </w:r>
      <w:r w:rsidR="00C63F85">
        <w:t xml:space="preserve">at reformen </w:t>
      </w:r>
      <w:r w:rsidR="000F34A0">
        <w:t>må</w:t>
      </w:r>
      <w:r w:rsidR="00C63F85">
        <w:t xml:space="preserve"> inkluder</w:t>
      </w:r>
      <w:r w:rsidR="000F34A0">
        <w:t>e</w:t>
      </w:r>
      <w:r w:rsidR="00C63F85">
        <w:t xml:space="preserve"> tiltak som bidrar</w:t>
      </w:r>
      <w:r w:rsidR="37F22BA5">
        <w:t xml:space="preserve"> til å gjøre elevene bedre forberedt til høyere utdanning</w:t>
      </w:r>
      <w:r w:rsidR="00E00D86">
        <w:t xml:space="preserve">. </w:t>
      </w:r>
      <w:r w:rsidR="0064023A">
        <w:t>Meldingen sl</w:t>
      </w:r>
      <w:r w:rsidR="00877108">
        <w:t xml:space="preserve">år </w:t>
      </w:r>
      <w:r w:rsidR="001F17AB">
        <w:t xml:space="preserve">blant annet </w:t>
      </w:r>
      <w:r w:rsidR="00AC576A">
        <w:t xml:space="preserve">fast </w:t>
      </w:r>
      <w:r w:rsidR="001F17AB" w:rsidRPr="001F17AB">
        <w:t>at det er «lærernes faglige og pedagogiske kompetanse som er nøkkelen for at hele bredden av elevene og de voksne får realisert sitt potensial»</w:t>
      </w:r>
      <w:r w:rsidR="001F17AB">
        <w:t xml:space="preserve">, </w:t>
      </w:r>
      <w:r w:rsidR="00697A9C">
        <w:t>og</w:t>
      </w:r>
      <w:r w:rsidR="001F17AB" w:rsidRPr="001F17AB">
        <w:t xml:space="preserve"> at «lærere i VGO skal ha tilgang til relevant og nødvendig etter- og videreutdanning</w:t>
      </w:r>
      <w:r w:rsidR="00697A9C">
        <w:t>.</w:t>
      </w:r>
      <w:r w:rsidR="00AC576A">
        <w:t>»</w:t>
      </w:r>
    </w:p>
    <w:p w14:paraId="37527DF4" w14:textId="17DB36FA" w:rsidR="000C00EC" w:rsidRPr="000C00EC" w:rsidRDefault="009D63E3" w:rsidP="00697A9C">
      <w:pPr>
        <w:spacing w:before="240"/>
      </w:pPr>
      <w:r>
        <w:t xml:space="preserve">Samtidig mener Akademikerne at reformen ikke går langt nok i å sette </w:t>
      </w:r>
      <w:r w:rsidR="003C1984">
        <w:t>tilstrekkelig høye formelle krav til lærernes kompetanse</w:t>
      </w:r>
      <w:r w:rsidR="007174AA">
        <w:t xml:space="preserve">. </w:t>
      </w:r>
      <w:r w:rsidR="002A5F6D">
        <w:t>Høyt kvalifiserte lærere og lektorer er avgjørende for elevenes læringsutbytte og for sosial mobilitet</w:t>
      </w:r>
      <w:r w:rsidR="00F164EA">
        <w:t>.</w:t>
      </w:r>
      <w:r w:rsidR="002A5F6D">
        <w:t xml:space="preserve"> Akademikerne har vært tydelige</w:t>
      </w:r>
      <w:r w:rsidR="00F164EA">
        <w:t>,</w:t>
      </w:r>
      <w:r w:rsidR="00CF123D">
        <w:t xml:space="preserve"> i innspill til storting og regjering</w:t>
      </w:r>
      <w:r w:rsidR="00140213">
        <w:t>,</w:t>
      </w:r>
      <w:r w:rsidR="002A5F6D">
        <w:t xml:space="preserve"> på at </w:t>
      </w:r>
      <w:r w:rsidR="000749CC">
        <w:t>reverseringen</w:t>
      </w:r>
      <w:r w:rsidR="00777C06">
        <w:t xml:space="preserve"> av det såkalte mattekravet til lærerutdanningen og</w:t>
      </w:r>
      <w:r w:rsidR="000749CC">
        <w:t xml:space="preserve"> </w:t>
      </w:r>
      <w:r w:rsidR="004B4787">
        <w:t xml:space="preserve">bortfall av kravet om relevant kompetanse i undervisningsfag </w:t>
      </w:r>
      <w:r w:rsidR="00CF123D">
        <w:t xml:space="preserve">for de utdannet </w:t>
      </w:r>
      <w:r w:rsidR="007358F1">
        <w:t>før</w:t>
      </w:r>
      <w:r w:rsidR="00970D83">
        <w:t xml:space="preserve"> </w:t>
      </w:r>
      <w:r w:rsidR="00CF123D">
        <w:t>2014 ikke er veien å gå.</w:t>
      </w:r>
      <w:r w:rsidR="00697A9C">
        <w:t xml:space="preserve"> </w:t>
      </w:r>
      <w:r w:rsidR="00F576E0">
        <w:t xml:space="preserve">Akademikerne </w:t>
      </w:r>
      <w:r w:rsidR="00577737">
        <w:t>mener</w:t>
      </w:r>
      <w:r w:rsidR="00F576E0">
        <w:t xml:space="preserve"> at </w:t>
      </w:r>
      <w:r w:rsidR="006F2BC7">
        <w:t xml:space="preserve">krav til relevant </w:t>
      </w:r>
      <w:r w:rsidR="00F520FF">
        <w:t xml:space="preserve">og høy </w:t>
      </w:r>
      <w:r w:rsidR="006F2BC7">
        <w:t xml:space="preserve">kompetanse er avgjørende for elevenes </w:t>
      </w:r>
      <w:r w:rsidR="00E364AB">
        <w:t>læringsutbytte.</w:t>
      </w:r>
      <w:r w:rsidR="00223034">
        <w:t xml:space="preserve"> </w:t>
      </w:r>
    </w:p>
    <w:p w14:paraId="597D7080" w14:textId="031284A6" w:rsidR="001E59C0" w:rsidRDefault="001E59C0" w:rsidP="0088576A">
      <w:pPr>
        <w:pStyle w:val="Overskrift3"/>
        <w:numPr>
          <w:ilvl w:val="0"/>
          <w:numId w:val="46"/>
        </w:numPr>
      </w:pPr>
      <w:bookmarkStart w:id="10" w:name="_Toc114065528"/>
      <w:r>
        <w:t>Et etter- og videreutdanningssystem som ivaretar høyt utdannedes behov for</w:t>
      </w:r>
      <w:r w:rsidR="000C00EC">
        <w:t xml:space="preserve"> </w:t>
      </w:r>
      <w:r>
        <w:t>kompetanseutvikling</w:t>
      </w:r>
      <w:bookmarkEnd w:id="10"/>
    </w:p>
    <w:p w14:paraId="18FC0672" w14:textId="4FD8E598" w:rsidR="00C62816" w:rsidRDefault="004B3DA9" w:rsidP="00125290">
      <w:pPr>
        <w:spacing w:before="240"/>
      </w:pPr>
      <w:r w:rsidRPr="004B3DA9">
        <w:t>Etter</w:t>
      </w:r>
      <w:r w:rsidR="00E2024E">
        <w:t>-</w:t>
      </w:r>
      <w:r w:rsidRPr="004B3DA9">
        <w:t xml:space="preserve"> og videreutdanning for høyt utdannede </w:t>
      </w:r>
      <w:r w:rsidR="00363072">
        <w:t>har vært</w:t>
      </w:r>
      <w:r w:rsidRPr="004B3DA9">
        <w:t xml:space="preserve"> prioritert i påvirkningsarbeidet</w:t>
      </w:r>
      <w:r w:rsidR="00AE4D29">
        <w:t xml:space="preserve"> i </w:t>
      </w:r>
      <w:r w:rsidR="002E1FF7">
        <w:t>perioden</w:t>
      </w:r>
      <w:r w:rsidR="00AB1A36">
        <w:t xml:space="preserve">. </w:t>
      </w:r>
      <w:r w:rsidR="00152FD2">
        <w:t xml:space="preserve">Akademikerne </w:t>
      </w:r>
      <w:r w:rsidR="00145A4F">
        <w:t>er fornøyd med å ha bli lyttet til</w:t>
      </w:r>
      <w:r w:rsidR="002F5CE9">
        <w:t xml:space="preserve"> </w:t>
      </w:r>
      <w:r w:rsidR="00681707">
        <w:t xml:space="preserve">og </w:t>
      </w:r>
      <w:r w:rsidR="00152FD2">
        <w:t>at</w:t>
      </w:r>
      <w:r w:rsidR="00F97874">
        <w:t xml:space="preserve"> utvikl</w:t>
      </w:r>
      <w:r w:rsidR="00EC0B39">
        <w:t>ingsarbeidet og tiltakene legger til grunn</w:t>
      </w:r>
      <w:r w:rsidR="00152FD2">
        <w:t xml:space="preserve"> at tilbudet må være tilpasset </w:t>
      </w:r>
      <w:r w:rsidR="00C62816">
        <w:t>arbeidstakernes</w:t>
      </w:r>
      <w:r w:rsidR="00152FD2">
        <w:t xml:space="preserve"> behov for fleksibilitet og det å kunne kombinere jobb og</w:t>
      </w:r>
      <w:r w:rsidR="0068032C">
        <w:t xml:space="preserve"> arbeid</w:t>
      </w:r>
      <w:r w:rsidR="00152FD2">
        <w:t>.</w:t>
      </w:r>
      <w:r w:rsidR="00A02BA6">
        <w:t xml:space="preserve"> Samtidig er det behov for </w:t>
      </w:r>
      <w:r w:rsidR="00D82C76">
        <w:t xml:space="preserve">stadig å jobbe for </w:t>
      </w:r>
      <w:r w:rsidR="00AB7022">
        <w:t xml:space="preserve">stadig </w:t>
      </w:r>
      <w:r w:rsidR="00D82C76">
        <w:t xml:space="preserve">bedre løsninger. </w:t>
      </w:r>
      <w:r w:rsidR="00152FD2">
        <w:t xml:space="preserve"> </w:t>
      </w:r>
    </w:p>
    <w:p w14:paraId="19F85225" w14:textId="4EECCAB7" w:rsidR="00EC5437" w:rsidRDefault="00C62816" w:rsidP="00C82FCC">
      <w:r>
        <w:t xml:space="preserve">Videre har </w:t>
      </w:r>
      <w:r w:rsidR="00AB1A36">
        <w:t xml:space="preserve">Akademikerne vært en pådriver for at etter- og videreutdanning </w:t>
      </w:r>
      <w:r w:rsidR="00C000EB">
        <w:t>må ses som en del av finansieringssystemet i UH</w:t>
      </w:r>
      <w:r w:rsidR="00F7684F">
        <w:t xml:space="preserve"> </w:t>
      </w:r>
      <w:r w:rsidR="00AA7C62">
        <w:t>og ikke baseres på tilskuddordninger</w:t>
      </w:r>
      <w:r w:rsidR="00E13F28">
        <w:t>,</w:t>
      </w:r>
      <w:r w:rsidR="00AA7C62">
        <w:t xml:space="preserve"> og har la</w:t>
      </w:r>
      <w:r w:rsidR="00D778BB">
        <w:t>n</w:t>
      </w:r>
      <w:r w:rsidR="00AA7C62">
        <w:t xml:space="preserve">gt på vei fått </w:t>
      </w:r>
      <w:r w:rsidR="00B72024">
        <w:t>gjennomslag</w:t>
      </w:r>
      <w:r w:rsidR="004E636C">
        <w:t xml:space="preserve"> for dette. </w:t>
      </w:r>
      <w:r w:rsidR="003A711B">
        <w:t>Regjeringen har, etter påtrykk</w:t>
      </w:r>
      <w:r w:rsidR="002307D9">
        <w:t xml:space="preserve"> fra blant andre Akademikerne</w:t>
      </w:r>
      <w:r w:rsidR="00CF7146">
        <w:t xml:space="preserve"> gjort en gjennomgang av</w:t>
      </w:r>
      <w:r w:rsidR="005F30D2">
        <w:t xml:space="preserve"> f</w:t>
      </w:r>
      <w:r w:rsidR="004E636C">
        <w:t>inansiering</w:t>
      </w:r>
      <w:r w:rsidR="00E13F28">
        <w:t>ssystemet i UH, inkludert etter- og videreutdanning</w:t>
      </w:r>
      <w:r w:rsidR="005F30D2">
        <w:t>. Endelig forslag</w:t>
      </w:r>
      <w:r w:rsidR="00E13F28">
        <w:t xml:space="preserve"> vil legges frem som del av statsbudsjettet for 2023.</w:t>
      </w:r>
    </w:p>
    <w:p w14:paraId="073A0C89" w14:textId="7A57D16F" w:rsidR="00427BE2" w:rsidRDefault="00CB4E2C" w:rsidP="00C82FCC">
      <w:r>
        <w:t xml:space="preserve">Akademikerne </w:t>
      </w:r>
      <w:r w:rsidR="003A0170">
        <w:t xml:space="preserve">har </w:t>
      </w:r>
      <w:r w:rsidR="00230C29">
        <w:t>en god dialog med</w:t>
      </w:r>
      <w:r w:rsidR="003A0170">
        <w:t xml:space="preserve"> storting</w:t>
      </w:r>
      <w:r w:rsidR="00230C29">
        <w:t>srepresentanter</w:t>
      </w:r>
      <w:r w:rsidR="003A0170">
        <w:t xml:space="preserve"> og reg</w:t>
      </w:r>
      <w:r w:rsidR="0039267E">
        <w:t xml:space="preserve">jering på dette området og deltar </w:t>
      </w:r>
      <w:r>
        <w:t>på en rekke sentrale arenaer i kompetansepolitikk</w:t>
      </w:r>
      <w:r w:rsidR="00BA2A73">
        <w:t>,</w:t>
      </w:r>
      <w:r>
        <w:t xml:space="preserve"> </w:t>
      </w:r>
      <w:r w:rsidR="00C82FCC">
        <w:t xml:space="preserve">blant annet i regjeringens </w:t>
      </w:r>
      <w:r w:rsidR="007349D6">
        <w:lastRenderedPageBreak/>
        <w:t>samarbeidsorgan for brans</w:t>
      </w:r>
      <w:r w:rsidR="00710FB5">
        <w:t>jeprogrammene</w:t>
      </w:r>
      <w:r>
        <w:t>,</w:t>
      </w:r>
      <w:r w:rsidR="002942D7">
        <w:t xml:space="preserve"> råd for </w:t>
      </w:r>
      <w:r w:rsidR="0039267E">
        <w:t>kvalitetsprogrammer</w:t>
      </w:r>
      <w:r w:rsidR="007545B5">
        <w:t xml:space="preserve"> (</w:t>
      </w:r>
      <w:r w:rsidR="007545B5" w:rsidRPr="007545B5">
        <w:t>Direktoratet for høyere utdanning og kompetanse</w:t>
      </w:r>
      <w:r w:rsidR="00E90825">
        <w:t>)</w:t>
      </w:r>
      <w:r w:rsidR="00F520FF">
        <w:t xml:space="preserve"> </w:t>
      </w:r>
      <w:r w:rsidR="007545B5">
        <w:t>o</w:t>
      </w:r>
      <w:r w:rsidR="00FF19E7">
        <w:t>g</w:t>
      </w:r>
      <w:r>
        <w:t xml:space="preserve"> </w:t>
      </w:r>
      <w:r w:rsidR="00427BE2">
        <w:t>Kompetansepolitisk råd</w:t>
      </w:r>
      <w:r w:rsidR="00DB5AD4">
        <w:t xml:space="preserve">. </w:t>
      </w:r>
    </w:p>
    <w:p w14:paraId="28F9922C" w14:textId="3DA8E8D5" w:rsidR="001E59C0" w:rsidRDefault="001E59C0" w:rsidP="0088576A">
      <w:pPr>
        <w:pStyle w:val="Overskrift3"/>
        <w:numPr>
          <w:ilvl w:val="0"/>
          <w:numId w:val="46"/>
        </w:numPr>
      </w:pPr>
      <w:bookmarkStart w:id="11" w:name="_Toc114065529"/>
      <w:r>
        <w:t>Styring og finansiering av høyere utdanning og forskning</w:t>
      </w:r>
      <w:bookmarkEnd w:id="11"/>
    </w:p>
    <w:p w14:paraId="438B915E" w14:textId="18DCB922" w:rsidR="006F6E39" w:rsidRDefault="006F6E39" w:rsidP="00125290">
      <w:pPr>
        <w:spacing w:before="240"/>
      </w:pPr>
      <w:r>
        <w:t xml:space="preserve">Akademikerne vil ha et styringssystem som bidrar til </w:t>
      </w:r>
      <w:r w:rsidR="00112B1E">
        <w:t>kvalitet</w:t>
      </w:r>
      <w:r w:rsidR="00055C44">
        <w:t xml:space="preserve">, som legger gratisprinsippet til grunn og som ivaretar </w:t>
      </w:r>
      <w:r w:rsidR="00112B1E">
        <w:t>akademisk</w:t>
      </w:r>
      <w:r w:rsidR="00055C44">
        <w:t xml:space="preserve"> frihet. Dette har ligget til grunn i en rekke innspill og utspill på området i perioden. </w:t>
      </w:r>
      <w:r w:rsidR="003B0BBA">
        <w:t>Regjeringen har varslet en tillitref</w:t>
      </w:r>
      <w:r w:rsidR="008176F1">
        <w:t xml:space="preserve">orm i offentlig sektor. </w:t>
      </w:r>
      <w:r w:rsidR="00880158">
        <w:t xml:space="preserve">Akademikerne har i møter og </w:t>
      </w:r>
      <w:r w:rsidR="008A5E00">
        <w:t>innspill</w:t>
      </w:r>
      <w:r w:rsidR="00880158">
        <w:t xml:space="preserve"> til regjeringen </w:t>
      </w:r>
      <w:r w:rsidR="008A5E00">
        <w:t xml:space="preserve">understreket at </w:t>
      </w:r>
      <w:r w:rsidR="00880158" w:rsidRPr="00880158">
        <w:t>en tillitsreform i offentlig sektor må bidra til at ansattes kompetanse og erfaring brukes mer aktivt i utviklings- og beslutningsprosesser. Både ledere og ansatte må gis tid, rom og tillit slik at de kan bruke sin domenekunnskap, erfaring og faglige skjønn for å utføre samfunnsoppdraget på best mulig måte.</w:t>
      </w:r>
    </w:p>
    <w:p w14:paraId="3E7676C1" w14:textId="77777777" w:rsidR="0011512D" w:rsidRDefault="005F30D2" w:rsidP="0011512D">
      <w:r>
        <w:t>En sterk satsing på forskning og utvikling er avgjørende</w:t>
      </w:r>
      <w:r w:rsidR="004C34BE">
        <w:t xml:space="preserve"> for å møte de samfunnsutfordringene vi står overfor</w:t>
      </w:r>
      <w:r>
        <w:t>.</w:t>
      </w:r>
      <w:r w:rsidR="00602C5C">
        <w:t xml:space="preserve"> Særlig er det </w:t>
      </w:r>
      <w:r w:rsidR="004C34BE">
        <w:t>behov for å øke næringslivets forskningsinnsats</w:t>
      </w:r>
      <w:r w:rsidR="00447896">
        <w:t xml:space="preserve"> og fremme grønn omstilling</w:t>
      </w:r>
      <w:r w:rsidR="004C34BE">
        <w:t xml:space="preserve">. </w:t>
      </w:r>
      <w:r w:rsidR="00F7709B" w:rsidRPr="00172D9B">
        <w:t>Akademikerne har jobbet for en styrking av virkemidlene for næringslivsrettet forskning og</w:t>
      </w:r>
      <w:r w:rsidR="00F7709B">
        <w:t xml:space="preserve"> </w:t>
      </w:r>
      <w:r w:rsidR="00F7709B" w:rsidRPr="00172D9B">
        <w:t>innovasjon, og for at næringslivets investering i FoU skal øke i retning av det langsiktige målet</w:t>
      </w:r>
      <w:r w:rsidR="00F7709B">
        <w:t xml:space="preserve"> </w:t>
      </w:r>
      <w:r w:rsidR="00F7709B" w:rsidRPr="00172D9B">
        <w:t xml:space="preserve">på 2 prosent av BNP. </w:t>
      </w:r>
      <w:r w:rsidR="006B7B35">
        <w:t>Dette er gjort gjennom innspill og møter med storting og regjering og gjennom å bygge allianser med relevant samarbeidspartene på området</w:t>
      </w:r>
      <w:r w:rsidR="00F7709B">
        <w:t>.</w:t>
      </w:r>
      <w:r w:rsidR="0011512D">
        <w:t xml:space="preserve"> </w:t>
      </w:r>
    </w:p>
    <w:p w14:paraId="1027612F" w14:textId="77777777" w:rsidR="00497778" w:rsidRDefault="00497778" w:rsidP="00497778">
      <w:r>
        <w:t xml:space="preserve">Akademikerne har fått gjennomslag for å utvide Grønn plattform – en satsning som retter seg mot </w:t>
      </w:r>
      <w:r>
        <w:rPr>
          <w:rFonts w:cstheme="minorHAnsi"/>
          <w:color w:val="081319"/>
          <w:shd w:val="clear" w:color="auto" w:fill="FFFFFF"/>
        </w:rPr>
        <w:t>konsortier av bedrifter og forskningsmiljøer som går sammen om forskning og teknologiutvikling der ferdige løsninger i markedet er målet. Hensikten er å skape grønne jobber og en mer bærekraftig fremtid</w:t>
      </w:r>
      <w:r>
        <w:rPr>
          <w:rStyle w:val="Sterkutheving"/>
          <w:rFonts w:cstheme="minorHAnsi"/>
          <w:bCs/>
          <w:lang w:val="da-DK"/>
        </w:rPr>
        <w:t>.</w:t>
      </w:r>
    </w:p>
    <w:p w14:paraId="2646AA6A" w14:textId="761707DF" w:rsidR="4256C04D" w:rsidRDefault="4256C04D" w:rsidP="4454273F">
      <w:r>
        <w:t>Studiefinansiering har vært høyt prioritert</w:t>
      </w:r>
      <w:r w:rsidR="0D4390B8">
        <w:t xml:space="preserve"> i</w:t>
      </w:r>
      <w:r>
        <w:t xml:space="preserve"> </w:t>
      </w:r>
      <w:r w:rsidR="4A3B741E">
        <w:t>perioden</w:t>
      </w:r>
      <w:r w:rsidR="005F30D2">
        <w:t>.</w:t>
      </w:r>
      <w:r w:rsidR="00286C93">
        <w:t xml:space="preserve"> Akademikerne har bidratt sterkt, både gjennom media og politisk arbeid, til å sette dette på dagorden</w:t>
      </w:r>
      <w:r w:rsidR="4A3B741E">
        <w:t xml:space="preserve">. </w:t>
      </w:r>
      <w:r w:rsidR="47A6A1AB">
        <w:t>Både</w:t>
      </w:r>
      <w:r w:rsidR="2B509C45">
        <w:t xml:space="preserve"> koronapandemien og økte priser på strøm og matvarer har </w:t>
      </w:r>
      <w:r w:rsidR="24A616C5">
        <w:t xml:space="preserve">tydeliggjort behovet for økt studiefinansiering. </w:t>
      </w:r>
      <w:r w:rsidR="0D98EEA8">
        <w:t>Det var også tema for</w:t>
      </w:r>
      <w:r w:rsidR="16EBCA37">
        <w:t xml:space="preserve"> en av debattene til Akademikerne under Arendalsuka 2022. </w:t>
      </w:r>
    </w:p>
    <w:p w14:paraId="2BCF0136" w14:textId="584A16C3" w:rsidR="001E59C0" w:rsidRDefault="001E59C0" w:rsidP="0088576A">
      <w:pPr>
        <w:pStyle w:val="Overskrift3"/>
        <w:numPr>
          <w:ilvl w:val="0"/>
          <w:numId w:val="46"/>
        </w:numPr>
      </w:pPr>
      <w:bookmarkStart w:id="12" w:name="_Toc114065530"/>
      <w:r>
        <w:t>Rammebetingelser for næringsdrivende som gjør det mer attraktivt for akademikere å</w:t>
      </w:r>
      <w:r w:rsidR="000C00EC">
        <w:t xml:space="preserve"> </w:t>
      </w:r>
      <w:r>
        <w:t>starte og drive egen virksomhet</w:t>
      </w:r>
      <w:bookmarkEnd w:id="12"/>
    </w:p>
    <w:p w14:paraId="29DE757A" w14:textId="556D5518" w:rsidR="00DF4FBA" w:rsidRDefault="00AC5DAF" w:rsidP="00DF4FBA">
      <w:pPr>
        <w:spacing w:before="240"/>
      </w:pPr>
      <w:r>
        <w:t>Næringsdrivende er en viktig målgruppe for Akademikerne</w:t>
      </w:r>
      <w:r w:rsidR="00DF2E9F">
        <w:t xml:space="preserve"> og det har vært jobbet på flere områder for å forbedre rammebetingelsene for næringsdrivende. </w:t>
      </w:r>
      <w:r w:rsidR="003C70F1">
        <w:t xml:space="preserve">Akademikerne har gjennom perioden blant annet jobbet for bedre sykepengerettigheter for selvstendig næringsdrivende og økt skattefradrag for frivillig pensjonssparing for selvstendig næringsdrivende og minstefradrag for selvstendig næringsdrivende. </w:t>
      </w:r>
    </w:p>
    <w:p w14:paraId="16B3A1AD" w14:textId="7D56CEF9" w:rsidR="00172D9B" w:rsidRDefault="00216FE1" w:rsidP="00216FE1">
      <w:pPr>
        <w:spacing w:before="240"/>
      </w:pPr>
      <w:r>
        <w:t>Virke</w:t>
      </w:r>
      <w:r w:rsidR="009B5AE7">
        <w:t xml:space="preserve">middelapparatet må innrettes slik at det </w:t>
      </w:r>
      <w:r>
        <w:t>l</w:t>
      </w:r>
      <w:r w:rsidR="00A63C37">
        <w:t>egges til rette</w:t>
      </w:r>
      <w:r>
        <w:t xml:space="preserve"> for at flere</w:t>
      </w:r>
      <w:r w:rsidR="00A63C37">
        <w:t xml:space="preserve"> </w:t>
      </w:r>
      <w:r>
        <w:t>akademikere søker seg mot entreprenørskap og næringsdrift.</w:t>
      </w:r>
      <w:r w:rsidR="00A63C37">
        <w:t xml:space="preserve"> </w:t>
      </w:r>
      <w:r w:rsidR="00172D9B" w:rsidRPr="00172D9B">
        <w:t xml:space="preserve">Akademikerne har arbeidet for en forbedret </w:t>
      </w:r>
      <w:r w:rsidR="00172D9B" w:rsidRPr="00172D9B">
        <w:lastRenderedPageBreak/>
        <w:t>opsjonsskatteordning for å hjelpe flere bedrifter på</w:t>
      </w:r>
      <w:r w:rsidR="00ED6D60">
        <w:t xml:space="preserve"> </w:t>
      </w:r>
      <w:r w:rsidR="00172D9B" w:rsidRPr="00172D9B">
        <w:t>bena i en oppstartsperiode, og har gjennom den nye ordningen langt på vei fått gjennomslag for</w:t>
      </w:r>
      <w:r w:rsidR="00ED6D60">
        <w:t xml:space="preserve"> </w:t>
      </w:r>
      <w:r w:rsidR="00172D9B" w:rsidRPr="00172D9B">
        <w:t>våre krav.</w:t>
      </w:r>
    </w:p>
    <w:p w14:paraId="61BC256D" w14:textId="5704464E" w:rsidR="004F6EC9" w:rsidRDefault="007B0181" w:rsidP="00172D9B">
      <w:r>
        <w:t xml:space="preserve">Både i forbindelse med koronapandemien og strømkrisen </w:t>
      </w:r>
      <w:r w:rsidR="00484B8F">
        <w:t xml:space="preserve">har Akademikerne vært </w:t>
      </w:r>
      <w:r w:rsidR="00C46F69">
        <w:t xml:space="preserve">i dialog med regjeringen og de øvrige partene i arbeidslivet om </w:t>
      </w:r>
      <w:r w:rsidR="004E051D">
        <w:t xml:space="preserve">rammebetingelser og tiltak over bedrifter ble og blir rammet av krisene. </w:t>
      </w:r>
    </w:p>
    <w:p w14:paraId="00C8699A" w14:textId="3E8B71DC" w:rsidR="001E59C0" w:rsidRDefault="001E59C0" w:rsidP="0088576A">
      <w:pPr>
        <w:pStyle w:val="Overskrift3"/>
        <w:numPr>
          <w:ilvl w:val="0"/>
          <w:numId w:val="46"/>
        </w:numPr>
      </w:pPr>
      <w:bookmarkStart w:id="13" w:name="_Toc114065531"/>
      <w:r>
        <w:t>En kompetent kommunal sektor som legger til rette for næringsutvikling, verdiskaping</w:t>
      </w:r>
      <w:r w:rsidR="000C00EC">
        <w:t xml:space="preserve"> </w:t>
      </w:r>
      <w:r>
        <w:t>og bærekraftig omstilling</w:t>
      </w:r>
      <w:bookmarkEnd w:id="13"/>
    </w:p>
    <w:p w14:paraId="5B038F54" w14:textId="6FE0DC03" w:rsidR="00367098" w:rsidRPr="005F7ACD" w:rsidRDefault="00E43100" w:rsidP="00125290">
      <w:pPr>
        <w:spacing w:before="240"/>
      </w:pPr>
      <w:r>
        <w:rPr>
          <w:rFonts w:cstheme="minorHAnsi"/>
        </w:rPr>
        <w:t>Styret har i perioden satt i</w:t>
      </w:r>
      <w:r w:rsidR="00BF729E">
        <w:rPr>
          <w:rFonts w:cstheme="minorHAnsi"/>
        </w:rPr>
        <w:t xml:space="preserve"> </w:t>
      </w:r>
      <w:r>
        <w:rPr>
          <w:rFonts w:cstheme="minorHAnsi"/>
        </w:rPr>
        <w:t>gang</w:t>
      </w:r>
      <w:r w:rsidR="003643A3" w:rsidRPr="005F7ACD">
        <w:rPr>
          <w:rFonts w:cstheme="minorHAnsi"/>
        </w:rPr>
        <w:t xml:space="preserve"> et arbeid med langsiktig mål om bedre tilgang til akademisk kompetanse </w:t>
      </w:r>
      <w:r w:rsidR="00B45CB5" w:rsidRPr="005F7ACD">
        <w:rPr>
          <w:rFonts w:cstheme="minorHAnsi"/>
        </w:rPr>
        <w:t xml:space="preserve">for å styrke </w:t>
      </w:r>
      <w:r w:rsidR="005E0A8C" w:rsidRPr="005F7ACD">
        <w:rPr>
          <w:rFonts w:cstheme="minorHAnsi"/>
        </w:rPr>
        <w:t xml:space="preserve">tjenestetilbudet til innbyggerne og </w:t>
      </w:r>
      <w:r w:rsidR="00B45CB5" w:rsidRPr="005F7ACD">
        <w:rPr>
          <w:rFonts w:cstheme="minorHAnsi"/>
        </w:rPr>
        <w:t>oppgaveløsning</w:t>
      </w:r>
      <w:r w:rsidR="005E0A8C" w:rsidRPr="005F7ACD">
        <w:rPr>
          <w:rFonts w:cstheme="minorHAnsi"/>
        </w:rPr>
        <w:t xml:space="preserve"> i</w:t>
      </w:r>
      <w:r w:rsidR="003643A3" w:rsidRPr="005F7ACD">
        <w:rPr>
          <w:rFonts w:cstheme="minorHAnsi"/>
        </w:rPr>
        <w:t xml:space="preserve"> kommunene. </w:t>
      </w:r>
      <w:r w:rsidR="00DF10F0">
        <w:rPr>
          <w:rFonts w:cstheme="minorHAnsi"/>
        </w:rPr>
        <w:t>Akademikerne</w:t>
      </w:r>
      <w:r w:rsidR="00A42A23">
        <w:rPr>
          <w:rFonts w:cstheme="minorHAnsi"/>
        </w:rPr>
        <w:t xml:space="preserve"> har styrke</w:t>
      </w:r>
      <w:r w:rsidR="00DF10F0">
        <w:rPr>
          <w:rFonts w:cstheme="minorHAnsi"/>
        </w:rPr>
        <w:t>t</w:t>
      </w:r>
      <w:r w:rsidR="00A42A23">
        <w:rPr>
          <w:rFonts w:cstheme="minorHAnsi"/>
        </w:rPr>
        <w:t xml:space="preserve"> kunnskapsgrunnlaget</w:t>
      </w:r>
      <w:r w:rsidR="00DF10F0">
        <w:rPr>
          <w:rFonts w:cstheme="minorHAnsi"/>
        </w:rPr>
        <w:t xml:space="preserve"> og</w:t>
      </w:r>
      <w:r w:rsidR="00EC5D9F" w:rsidRPr="478F3399">
        <w:t xml:space="preserve"> gjennom A</w:t>
      </w:r>
      <w:r w:rsidR="00EC5D9F">
        <w:t>kademikerpanelet</w:t>
      </w:r>
      <w:r w:rsidR="00E90825">
        <w:t xml:space="preserve"> (se kap 1.4)</w:t>
      </w:r>
      <w:r w:rsidR="00367098" w:rsidRPr="478F3399">
        <w:t xml:space="preserve"> </w:t>
      </w:r>
      <w:r w:rsidR="009A5ABA" w:rsidRPr="478F3399">
        <w:t xml:space="preserve">undersøkt mobiliteten til </w:t>
      </w:r>
      <w:r w:rsidR="00484690" w:rsidRPr="478F3399">
        <w:t>akademikere</w:t>
      </w:r>
      <w:r w:rsidR="00380A88" w:rsidRPr="478F3399">
        <w:t xml:space="preserve">, </w:t>
      </w:r>
      <w:r w:rsidR="00EC5D9F" w:rsidRPr="478F3399">
        <w:t xml:space="preserve">preferanser ved </w:t>
      </w:r>
      <w:r w:rsidR="00E01AAF" w:rsidRPr="478F3399">
        <w:t>skifte av arbeidsgiver og bosted, samt</w:t>
      </w:r>
      <w:r w:rsidR="00484690" w:rsidRPr="478F3399">
        <w:t xml:space="preserve"> </w:t>
      </w:r>
      <w:r w:rsidR="005D3018" w:rsidRPr="478F3399">
        <w:t xml:space="preserve">målt interessen for </w:t>
      </w:r>
      <w:r w:rsidR="00380A88" w:rsidRPr="478F3399">
        <w:t>stedsuavhengig arbeid</w:t>
      </w:r>
      <w:r w:rsidR="00E01AAF" w:rsidRPr="478F3399">
        <w:t>.</w:t>
      </w:r>
      <w:r w:rsidR="00BA19F7" w:rsidRPr="478F3399">
        <w:t xml:space="preserve"> </w:t>
      </w:r>
      <w:r w:rsidR="00A74B06" w:rsidRPr="478F3399">
        <w:t xml:space="preserve">Akademikerne har </w:t>
      </w:r>
      <w:r w:rsidR="00F74059">
        <w:t xml:space="preserve">satt i gang et FoU-arbeid knyttet til viktigheten av gode </w:t>
      </w:r>
      <w:r w:rsidR="009E38DE" w:rsidRPr="478F3399">
        <w:t xml:space="preserve">fagmiljøer i </w:t>
      </w:r>
      <w:r w:rsidR="00B55B24">
        <w:t>kommunen</w:t>
      </w:r>
      <w:r w:rsidR="00FB24D4" w:rsidRPr="478F3399">
        <w:t xml:space="preserve">. </w:t>
      </w:r>
    </w:p>
    <w:p w14:paraId="7BD465FB" w14:textId="06CFC600" w:rsidR="00090F41" w:rsidRPr="005F7ACD" w:rsidRDefault="00A567B8" w:rsidP="002E7412">
      <w:r w:rsidRPr="478F3399">
        <w:t>Akademikernes undersøkelser har vist at sterke og utviklende fagmiljøer er viktig for å rekruttere og beholde kompetanse. S</w:t>
      </w:r>
      <w:r w:rsidR="00651187" w:rsidRPr="478F3399">
        <w:t xml:space="preserve">ammen med KS har Akademikerne </w:t>
      </w:r>
      <w:r w:rsidR="002315A8">
        <w:t>foreslått</w:t>
      </w:r>
      <w:r w:rsidR="00B55B24">
        <w:t xml:space="preserve"> for regjeringen</w:t>
      </w:r>
      <w:r w:rsidR="002315A8">
        <w:t>, i møter og skriftlige innspill,</w:t>
      </w:r>
      <w:r w:rsidR="00651187" w:rsidRPr="478F3399">
        <w:t xml:space="preserve"> at kommunene må eksperimentere med samarbeid med faste partnere og etablere en stimuleringsordning </w:t>
      </w:r>
      <w:r w:rsidR="00682F5A" w:rsidRPr="478F3399">
        <w:t>for å styrke fagmiljøer og sikre god oppgaveløsning.</w:t>
      </w:r>
      <w:r w:rsidR="0078125F">
        <w:t xml:space="preserve"> </w:t>
      </w:r>
      <w:r w:rsidR="002E7412">
        <w:t>Det er</w:t>
      </w:r>
      <w:r w:rsidR="0078125F">
        <w:t xml:space="preserve"> også</w:t>
      </w:r>
      <w:r w:rsidR="00DA21A2" w:rsidRPr="0D6F2AE8">
        <w:t xml:space="preserve"> foreslå</w:t>
      </w:r>
      <w:r w:rsidR="00072FC6" w:rsidRPr="0D6F2AE8">
        <w:t>tt u</w:t>
      </w:r>
      <w:r w:rsidR="00E82015" w:rsidRPr="0D6F2AE8">
        <w:t xml:space="preserve">tprøving </w:t>
      </w:r>
      <w:r w:rsidR="00682F5A" w:rsidRPr="0D6F2AE8">
        <w:t xml:space="preserve">av </w:t>
      </w:r>
      <w:r w:rsidR="00E82015" w:rsidRPr="0D6F2AE8">
        <w:t>strategisk</w:t>
      </w:r>
      <w:r w:rsidR="0018103A" w:rsidRPr="0D6F2AE8">
        <w:t xml:space="preserve"> </w:t>
      </w:r>
      <w:r w:rsidR="00682F5A" w:rsidRPr="0D6F2AE8">
        <w:t>samarbeid</w:t>
      </w:r>
      <w:r w:rsidR="00E82015" w:rsidRPr="0D6F2AE8">
        <w:t xml:space="preserve"> med faste partnere</w:t>
      </w:r>
      <w:r w:rsidR="00072FC6" w:rsidRPr="0D6F2AE8">
        <w:t xml:space="preserve">. </w:t>
      </w:r>
      <w:r w:rsidR="008E6B6D">
        <w:t xml:space="preserve">Forslaget er også spilt inn </w:t>
      </w:r>
      <w:r w:rsidR="005724D8">
        <w:t xml:space="preserve">som et satsningsforslag i statsbudsjettet for 2023 </w:t>
      </w:r>
      <w:r w:rsidR="005D6A8D">
        <w:t xml:space="preserve">og som </w:t>
      </w:r>
      <w:r w:rsidR="00967653">
        <w:t>pilot i</w:t>
      </w:r>
      <w:r w:rsidR="00E82015" w:rsidRPr="0D6F2AE8">
        <w:t xml:space="preserve"> tillitsreformen i offentlig sektor.</w:t>
      </w:r>
      <w:r w:rsidR="00D527D1" w:rsidRPr="0D6F2AE8">
        <w:t xml:space="preserve"> </w:t>
      </w:r>
    </w:p>
    <w:p w14:paraId="69D298B5" w14:textId="062FB7E4" w:rsidR="005927C6" w:rsidRDefault="005927C6" w:rsidP="00025DB2">
      <w:pPr>
        <w:tabs>
          <w:tab w:val="clear" w:pos="2155"/>
        </w:tabs>
        <w:autoSpaceDE w:val="0"/>
        <w:autoSpaceDN w:val="0"/>
        <w:adjustRightInd w:val="0"/>
        <w:spacing w:after="0"/>
        <w:rPr>
          <w:rFonts w:cstheme="minorHAnsi"/>
        </w:rPr>
      </w:pPr>
      <w:r w:rsidRPr="005F7ACD">
        <w:rPr>
          <w:rFonts w:cstheme="minorHAnsi"/>
        </w:rPr>
        <w:t xml:space="preserve">Akademikerne har i innspill til </w:t>
      </w:r>
      <w:r w:rsidR="0065552B">
        <w:rPr>
          <w:rFonts w:cstheme="minorHAnsi"/>
        </w:rPr>
        <w:t>den kommende distriktsmeldingen</w:t>
      </w:r>
      <w:r w:rsidR="0065552B" w:rsidRPr="005F7ACD">
        <w:rPr>
          <w:rFonts w:cstheme="minorHAnsi"/>
        </w:rPr>
        <w:t xml:space="preserve"> </w:t>
      </w:r>
      <w:r w:rsidR="00D60FA0">
        <w:rPr>
          <w:rFonts w:cstheme="minorHAnsi"/>
        </w:rPr>
        <w:t xml:space="preserve">fra regjeringen, </w:t>
      </w:r>
      <w:r w:rsidR="0065552B">
        <w:rPr>
          <w:rFonts w:cstheme="minorHAnsi"/>
        </w:rPr>
        <w:t>også</w:t>
      </w:r>
      <w:r w:rsidR="00812AD3">
        <w:rPr>
          <w:rFonts w:cstheme="minorHAnsi"/>
        </w:rPr>
        <w:t xml:space="preserve"> </w:t>
      </w:r>
      <w:r w:rsidRPr="005F7ACD">
        <w:rPr>
          <w:rFonts w:cstheme="minorHAnsi"/>
        </w:rPr>
        <w:t xml:space="preserve">tatt til orde for at </w:t>
      </w:r>
      <w:r w:rsidR="006064D2" w:rsidRPr="005F7ACD">
        <w:rPr>
          <w:rFonts w:cstheme="minorHAnsi"/>
        </w:rPr>
        <w:t xml:space="preserve">lovpålagte tjenester som fastlege og kommunepsykolog, må være tilstrekkelig finansiert og at </w:t>
      </w:r>
      <w:r w:rsidR="00DF4E33" w:rsidRPr="005F7ACD">
        <w:rPr>
          <w:rFonts w:cstheme="minorHAnsi"/>
        </w:rPr>
        <w:t xml:space="preserve">det blir innført et lovkrav om tilgang til juridisk kompetanse i kommunene. </w:t>
      </w:r>
    </w:p>
    <w:p w14:paraId="15ADC034" w14:textId="77777777" w:rsidR="00CE10A9" w:rsidRPr="005F7ACD" w:rsidRDefault="00CE10A9" w:rsidP="00025DB2">
      <w:pPr>
        <w:tabs>
          <w:tab w:val="clear" w:pos="2155"/>
        </w:tabs>
        <w:autoSpaceDE w:val="0"/>
        <w:autoSpaceDN w:val="0"/>
        <w:adjustRightInd w:val="0"/>
        <w:spacing w:after="0"/>
        <w:rPr>
          <w:rFonts w:cstheme="minorHAnsi"/>
        </w:rPr>
      </w:pPr>
    </w:p>
    <w:p w14:paraId="2EB411DC" w14:textId="28646788" w:rsidR="001E59C0" w:rsidRDefault="001E59C0" w:rsidP="0088576A">
      <w:pPr>
        <w:pStyle w:val="Overskrift3"/>
        <w:numPr>
          <w:ilvl w:val="0"/>
          <w:numId w:val="46"/>
        </w:numPr>
      </w:pPr>
      <w:bookmarkStart w:id="14" w:name="_Toc114065532"/>
      <w:r>
        <w:t>Akademikerne skal bidra til høy organisasjonsgrad i samfunnet og støtte</w:t>
      </w:r>
      <w:r w:rsidR="000C00EC">
        <w:t xml:space="preserve"> </w:t>
      </w:r>
      <w:r>
        <w:t>medlemsforeningene i deres rekrutteringsarbeid.</w:t>
      </w:r>
      <w:bookmarkEnd w:id="14"/>
    </w:p>
    <w:p w14:paraId="34D11CC6" w14:textId="6BEBADD6" w:rsidR="000C00EC" w:rsidRPr="000C00EC" w:rsidRDefault="005D2A58" w:rsidP="38EFDB95">
      <w:pPr>
        <w:spacing w:before="240"/>
        <w:rPr>
          <w:rFonts w:ascii="Times New Roman" w:eastAsia="Times New Roman" w:hAnsi="Times New Roman" w:cs="Times New Roman"/>
          <w:color w:val="26261E" w:themeColor="accent4"/>
        </w:rPr>
      </w:pPr>
      <w:r>
        <w:t xml:space="preserve">Akademikerne bidrar som fellesskap til å </w:t>
      </w:r>
      <w:r w:rsidR="00F90165">
        <w:t xml:space="preserve">vise frem viktigheten av å </w:t>
      </w:r>
      <w:r w:rsidR="00F526E0">
        <w:t xml:space="preserve">ha </w:t>
      </w:r>
      <w:r w:rsidR="0019085A">
        <w:t>et organisert arbeidsliv og fordelene med å være organisert.</w:t>
      </w:r>
      <w:r w:rsidR="000768B1">
        <w:t xml:space="preserve"> </w:t>
      </w:r>
      <w:r w:rsidR="002F18E5">
        <w:rPr>
          <w:rFonts w:ascii="Times New Roman" w:eastAsia="Times New Roman" w:hAnsi="Times New Roman" w:cs="Times New Roman"/>
          <w:color w:val="26261E" w:themeColor="accent4"/>
        </w:rPr>
        <w:t>Det</w:t>
      </w:r>
      <w:r w:rsidR="2F41BDFA" w:rsidRPr="38EFDB95">
        <w:rPr>
          <w:rFonts w:ascii="Times New Roman" w:eastAsia="Times New Roman" w:hAnsi="Times New Roman" w:cs="Times New Roman"/>
          <w:color w:val="26261E" w:themeColor="accent4"/>
        </w:rPr>
        <w:t xml:space="preserve"> forventes at Akademikerne tar samfunnsansvar utover det rent interessepolitiske. Viljen til å ta samfunnsansvar har over tid bidratt til stabilitet og økonomisk vekst, noe som he</w:t>
      </w:r>
      <w:r w:rsidR="3C44DC2C" w:rsidRPr="38EFDB95">
        <w:rPr>
          <w:rFonts w:ascii="Times New Roman" w:eastAsia="Times New Roman" w:hAnsi="Times New Roman" w:cs="Times New Roman"/>
          <w:color w:val="26261E" w:themeColor="accent4"/>
        </w:rPr>
        <w:t>l</w:t>
      </w:r>
      <w:r w:rsidR="2F41BDFA" w:rsidRPr="38EFDB95">
        <w:rPr>
          <w:rFonts w:ascii="Times New Roman" w:eastAsia="Times New Roman" w:hAnsi="Times New Roman" w:cs="Times New Roman"/>
          <w:color w:val="26261E" w:themeColor="accent4"/>
        </w:rPr>
        <w:t>e samfunnet tjener på. For at den norske modelle</w:t>
      </w:r>
      <w:r w:rsidR="531B7A06" w:rsidRPr="38EFDB95">
        <w:rPr>
          <w:rFonts w:ascii="Times New Roman" w:eastAsia="Times New Roman" w:hAnsi="Times New Roman" w:cs="Times New Roman"/>
          <w:color w:val="26261E" w:themeColor="accent4"/>
        </w:rPr>
        <w:t>n skal virke er det avgjørende at alle parter blir hørt, også de høyt utdannende. Gjennom å fremme medlemme</w:t>
      </w:r>
      <w:r w:rsidR="004847C6">
        <w:rPr>
          <w:rFonts w:ascii="Times New Roman" w:eastAsia="Times New Roman" w:hAnsi="Times New Roman" w:cs="Times New Roman"/>
          <w:color w:val="26261E" w:themeColor="accent4"/>
        </w:rPr>
        <w:t>nes</w:t>
      </w:r>
      <w:r w:rsidR="531B7A06" w:rsidRPr="38EFDB95">
        <w:rPr>
          <w:rFonts w:ascii="Times New Roman" w:eastAsia="Times New Roman" w:hAnsi="Times New Roman" w:cs="Times New Roman"/>
          <w:color w:val="26261E" w:themeColor="accent4"/>
        </w:rPr>
        <w:t xml:space="preserve"> interesser overfor relevante myndigheter bidrar </w:t>
      </w:r>
      <w:r w:rsidR="004847C6">
        <w:rPr>
          <w:rFonts w:ascii="Times New Roman" w:eastAsia="Times New Roman" w:hAnsi="Times New Roman" w:cs="Times New Roman"/>
          <w:color w:val="26261E" w:themeColor="accent4"/>
        </w:rPr>
        <w:t>Akademikerne</w:t>
      </w:r>
      <w:r w:rsidR="531B7A06" w:rsidRPr="38EFDB95">
        <w:rPr>
          <w:rFonts w:ascii="Times New Roman" w:eastAsia="Times New Roman" w:hAnsi="Times New Roman" w:cs="Times New Roman"/>
          <w:color w:val="26261E" w:themeColor="accent4"/>
        </w:rPr>
        <w:t xml:space="preserve"> til modellens legitimitet.</w:t>
      </w:r>
    </w:p>
    <w:p w14:paraId="48C71536" w14:textId="7CC3F7EB" w:rsidR="000C00EC" w:rsidRPr="000C00EC" w:rsidRDefault="00A41CFD" w:rsidP="00125290">
      <w:pPr>
        <w:spacing w:before="240"/>
      </w:pPr>
      <w:r>
        <w:lastRenderedPageBreak/>
        <w:t>I perioden fra</w:t>
      </w:r>
      <w:r w:rsidRPr="00282BB6">
        <w:t xml:space="preserve"> 20</w:t>
      </w:r>
      <w:r>
        <w:t>20</w:t>
      </w:r>
      <w:r w:rsidRPr="00282BB6">
        <w:t xml:space="preserve"> til 202</w:t>
      </w:r>
      <w:r>
        <w:t>2</w:t>
      </w:r>
      <w:r w:rsidRPr="00282BB6">
        <w:t xml:space="preserve"> har </w:t>
      </w:r>
      <w:r>
        <w:t>Akademikerne</w:t>
      </w:r>
      <w:r w:rsidRPr="00282BB6">
        <w:t xml:space="preserve"> vokst med</w:t>
      </w:r>
      <w:r>
        <w:t xml:space="preserve"> </w:t>
      </w:r>
      <w:r w:rsidR="005F5E6B">
        <w:t>over</w:t>
      </w:r>
      <w:r w:rsidRPr="00282BB6">
        <w:t xml:space="preserve"> </w:t>
      </w:r>
      <w:r w:rsidR="00E2441B">
        <w:t>23</w:t>
      </w:r>
      <w:r w:rsidRPr="00282BB6">
        <w:t> 000 medlemmer</w:t>
      </w:r>
      <w:r>
        <w:t>. Akademikerne har pr</w:t>
      </w:r>
      <w:r w:rsidR="00F526E0">
        <w:t xml:space="preserve"> 1. januar 20</w:t>
      </w:r>
      <w:r>
        <w:t>2</w:t>
      </w:r>
      <w:r w:rsidR="005F5E6B">
        <w:t>2</w:t>
      </w:r>
      <w:r>
        <w:t xml:space="preserve"> </w:t>
      </w:r>
      <w:r w:rsidR="00E2441B" w:rsidRPr="00E2441B">
        <w:t xml:space="preserve">243 293 </w:t>
      </w:r>
      <w:r w:rsidRPr="00282BB6">
        <w:t>medlemmer</w:t>
      </w:r>
      <w:r w:rsidR="004D6E13">
        <w:t xml:space="preserve"> og er med det den tredje største hovedorganisasjo</w:t>
      </w:r>
      <w:r w:rsidR="00B830E2">
        <w:t xml:space="preserve">nen på arbeidstakersiden. </w:t>
      </w:r>
      <w:r w:rsidR="77DED94E">
        <w:t>Antall medlemmer vi</w:t>
      </w:r>
      <w:r w:rsidR="0A3D34AD">
        <w:t>l</w:t>
      </w:r>
      <w:r w:rsidR="77DED94E">
        <w:t xml:space="preserve"> passere 250 000 i løpet av inneværende år.</w:t>
      </w:r>
      <w:r w:rsidR="00945F5D">
        <w:t xml:space="preserve"> </w:t>
      </w:r>
      <w:r w:rsidR="007D353D" w:rsidRPr="007D353D">
        <w:t>Andelen kvinner har blitt stadig større i Akademikernes medlemsmasse. Fordelingen mellom kvinner og menn er 46/54. I åtte av 13 foreninger er kvinner i flertall. Akademikerne har også fått over 1</w:t>
      </w:r>
      <w:r w:rsidR="00F526E0">
        <w:t xml:space="preserve"> </w:t>
      </w:r>
      <w:r w:rsidR="007D353D" w:rsidRPr="007D353D">
        <w:t>900 nye studentmedlemmer fra 2020 til 2022 og representerer nå over 33 150 studenter.</w:t>
      </w:r>
    </w:p>
    <w:p w14:paraId="2EFDB423" w14:textId="22A4920C" w:rsidR="0053151D" w:rsidRDefault="0053151D" w:rsidP="000C00EC">
      <w:r>
        <w:t>Akademikern</w:t>
      </w:r>
      <w:r w:rsidR="00191F36">
        <w:t xml:space="preserve">e har </w:t>
      </w:r>
      <w:r w:rsidR="00ED47A8">
        <w:t xml:space="preserve">sammen med de øvrige </w:t>
      </w:r>
      <w:r w:rsidR="00AD6460">
        <w:t>hovedorganisasjonene</w:t>
      </w:r>
      <w:r w:rsidR="00ED47A8">
        <w:t xml:space="preserve"> </w:t>
      </w:r>
      <w:r w:rsidR="00965EA3">
        <w:t>deltatt i et arbeid initiert av</w:t>
      </w:r>
      <w:r w:rsidR="00ED47A8">
        <w:t xml:space="preserve"> </w:t>
      </w:r>
      <w:r w:rsidR="00157A5B" w:rsidRPr="00157A5B">
        <w:t>Arbeidslivs- og pensjonspolitisk råd</w:t>
      </w:r>
      <w:r w:rsidR="00157A5B">
        <w:t xml:space="preserve"> (</w:t>
      </w:r>
      <w:r w:rsidR="00ED47A8">
        <w:t>ALPR</w:t>
      </w:r>
      <w:r w:rsidR="00157A5B">
        <w:t>)</w:t>
      </w:r>
      <w:r w:rsidR="00ED47A8">
        <w:t xml:space="preserve"> som har sett på hva som fremmer og hemmer </w:t>
      </w:r>
      <w:r w:rsidR="00A04DE1">
        <w:t xml:space="preserve">økt organisasjonsgrad og som har foreslått en rekke tiltak for å </w:t>
      </w:r>
      <w:r w:rsidR="007778AA">
        <w:t xml:space="preserve">øke </w:t>
      </w:r>
      <w:r w:rsidR="00A04DE1">
        <w:t>organisasjonsgrad.</w:t>
      </w:r>
      <w:r w:rsidR="00734420">
        <w:t xml:space="preserve"> Flere av tiltakene er gjenspeilet i Hurdalspl</w:t>
      </w:r>
      <w:r w:rsidR="00221E07">
        <w:t>attformen som blant annet dobling av fagforeningsfradraget og</w:t>
      </w:r>
      <w:r w:rsidR="00A04DE1">
        <w:t xml:space="preserve"> </w:t>
      </w:r>
      <w:r w:rsidR="005B73E7">
        <w:t xml:space="preserve">øking av </w:t>
      </w:r>
      <w:r w:rsidR="00AD6460">
        <w:t>kunnskapen om</w:t>
      </w:r>
      <w:r w:rsidR="00781990">
        <w:t xml:space="preserve"> det organiserte arbeidslivet i skole og utdanning. </w:t>
      </w:r>
    </w:p>
    <w:p w14:paraId="4D1DF2E2" w14:textId="34DDB7EE" w:rsidR="001E59C0" w:rsidRDefault="001E59C0" w:rsidP="0088576A">
      <w:pPr>
        <w:pStyle w:val="Overskrift3"/>
        <w:numPr>
          <w:ilvl w:val="0"/>
          <w:numId w:val="46"/>
        </w:numPr>
      </w:pPr>
      <w:bookmarkStart w:id="15" w:name="_Toc114065533"/>
      <w:r>
        <w:t>Akademikerne skal styrke sin rolle i trepartssamarbeidet</w:t>
      </w:r>
      <w:bookmarkEnd w:id="15"/>
    </w:p>
    <w:p w14:paraId="08787660" w14:textId="365D7F3F" w:rsidR="000C00EC" w:rsidRPr="000C00EC" w:rsidRDefault="000768B1" w:rsidP="00125290">
      <w:pPr>
        <w:spacing w:before="240"/>
      </w:pPr>
      <w:r>
        <w:t>Styre</w:t>
      </w:r>
      <w:r w:rsidR="000C00EC">
        <w:t>t</w:t>
      </w:r>
      <w:r>
        <w:t xml:space="preserve"> har hatt som mål at Akademikerne skal ha en tydelig posisjon </w:t>
      </w:r>
      <w:r w:rsidR="00CE7126">
        <w:t>i trepartssamarbeidet</w:t>
      </w:r>
      <w:r w:rsidR="005C5AE8">
        <w:t xml:space="preserve"> og være synlige i den offentlige debatten. Synlighet er viktig for gjennomslag og for at akademikere </w:t>
      </w:r>
      <w:r w:rsidR="00853A92">
        <w:t xml:space="preserve">i alle sektorer ser at organisasjonen jobber for saker som er viktige for dem. </w:t>
      </w:r>
    </w:p>
    <w:p w14:paraId="66859512" w14:textId="492AE043" w:rsidR="003965C5" w:rsidRDefault="003965C5" w:rsidP="003965C5">
      <w:r>
        <w:t xml:space="preserve">Gjennom perioden har </w:t>
      </w:r>
      <w:r w:rsidR="00ED7533">
        <w:t xml:space="preserve">Akademikerne </w:t>
      </w:r>
      <w:r>
        <w:t>vært i mediene med en rekke viktige saker. Frontfaget, studiestøtte, hjemmekontor</w:t>
      </w:r>
      <w:r w:rsidR="7A4F0E91">
        <w:t>, opsjonsbeskatning</w:t>
      </w:r>
      <w:r>
        <w:t xml:space="preserve"> og innleie er </w:t>
      </w:r>
      <w:r w:rsidR="00F526E0">
        <w:t xml:space="preserve">blant </w:t>
      </w:r>
      <w:r>
        <w:t>saker hvor Akademikerne har jobbet systematisk og strategisk. Akademikerne har markert seg gjennom nyhetssaker, kronikker og debatter, og det har bidratt til å få gjennomslag for de politiske sakene og til å være e</w:t>
      </w:r>
      <w:r w:rsidR="00EC6FEF">
        <w:t>t tydelig alternativ til LO, YS og Unio</w:t>
      </w:r>
      <w:r>
        <w:t xml:space="preserve">. </w:t>
      </w:r>
    </w:p>
    <w:p w14:paraId="77ABA767" w14:textId="3C1B202D" w:rsidR="00EC6FEF" w:rsidRDefault="00EC6FEF" w:rsidP="00EC6FEF">
      <w:r>
        <w:t xml:space="preserve">Medieanalysene </w:t>
      </w:r>
      <w:r w:rsidR="00B66454">
        <w:t>indikerer</w:t>
      </w:r>
      <w:r>
        <w:t xml:space="preserve"> at synligheten har økt fra 2021 til 2022. </w:t>
      </w:r>
      <w:r w:rsidR="00404A4B">
        <w:t>Antall</w:t>
      </w:r>
      <w:r>
        <w:t xml:space="preserve"> saker der Akademikerne er omtalt og sitert</w:t>
      </w:r>
      <w:r w:rsidR="003571B4">
        <w:t>,</w:t>
      </w:r>
      <w:r>
        <w:t xml:space="preserve"> er </w:t>
      </w:r>
      <w:r w:rsidR="00404A4B">
        <w:t xml:space="preserve">mer enn </w:t>
      </w:r>
      <w:r>
        <w:t>5</w:t>
      </w:r>
      <w:r w:rsidR="00404A4B">
        <w:t>0</w:t>
      </w:r>
      <w:r w:rsidR="00F05EBA">
        <w:t xml:space="preserve"> prosent</w:t>
      </w:r>
      <w:r>
        <w:t xml:space="preserve"> </w:t>
      </w:r>
      <w:r w:rsidR="00404A4B">
        <w:t>høyere</w:t>
      </w:r>
      <w:r>
        <w:t xml:space="preserve"> første halvår i 202</w:t>
      </w:r>
      <w:r w:rsidR="003571B4">
        <w:t>2</w:t>
      </w:r>
      <w:r>
        <w:t xml:space="preserve"> </w:t>
      </w:r>
      <w:r w:rsidR="00404A4B">
        <w:t>sam</w:t>
      </w:r>
      <w:r w:rsidR="003571B4">
        <w:t>menliknet med</w:t>
      </w:r>
      <w:r>
        <w:t xml:space="preserve"> samme periode i 202</w:t>
      </w:r>
      <w:r w:rsidR="003571B4">
        <w:t>1</w:t>
      </w:r>
      <w:r>
        <w:t xml:space="preserve">. </w:t>
      </w:r>
    </w:p>
    <w:p w14:paraId="0AED0B90" w14:textId="03283D9A" w:rsidR="003965C5" w:rsidRDefault="003965C5" w:rsidP="003965C5">
      <w:r>
        <w:t>Medieeksponeringen har gitt Akademikerne sakseierskap på flere områder</w:t>
      </w:r>
      <w:r w:rsidR="00EC6FEF">
        <w:t>. P</w:t>
      </w:r>
      <w:r>
        <w:t xml:space="preserve">å </w:t>
      </w:r>
      <w:r w:rsidR="00EC6FEF">
        <w:t xml:space="preserve">tema </w:t>
      </w:r>
      <w:r>
        <w:t xml:space="preserve">hjemmekontor </w:t>
      </w:r>
      <w:r w:rsidR="00EC6FEF">
        <w:t xml:space="preserve">viser </w:t>
      </w:r>
      <w:r>
        <w:t xml:space="preserve">medieanalysene </w:t>
      </w:r>
      <w:r w:rsidR="00EC6FEF">
        <w:t>at Akademikerne</w:t>
      </w:r>
      <w:r>
        <w:t xml:space="preserve"> er klart største aktør både i 2021 og 2022. Akademikerne har også nådd tydelig frem i media på andre saker, for eksempel </w:t>
      </w:r>
      <w:r w:rsidR="00CE55E1">
        <w:t>forskningsfinansier</w:t>
      </w:r>
      <w:r w:rsidR="00213D10">
        <w:t>i</w:t>
      </w:r>
      <w:r w:rsidR="00CE55E1">
        <w:t>ng</w:t>
      </w:r>
      <w:r w:rsidR="00630F37">
        <w:t>, kompetanse</w:t>
      </w:r>
      <w:r w:rsidR="00526140">
        <w:t>behov</w:t>
      </w:r>
      <w:r w:rsidR="00630F37">
        <w:t xml:space="preserve"> i kommunene,</w:t>
      </w:r>
      <w:r>
        <w:t xml:space="preserve"> og satt dagsorden med å løfte frem den skjeve kjønnsbalansen i de lange helseutdanningene i forbindelse med at søker- og opptakstallene til høyere utdanning ble kjent. </w:t>
      </w:r>
    </w:p>
    <w:p w14:paraId="12833E9E" w14:textId="7233916A" w:rsidR="003965C5" w:rsidRDefault="003965C5" w:rsidP="003965C5">
      <w:r>
        <w:t xml:space="preserve">Arendalsuka er en viktig </w:t>
      </w:r>
      <w:r w:rsidR="004847C6">
        <w:t>m</w:t>
      </w:r>
      <w:r w:rsidR="004847C6" w:rsidRPr="004847C6">
        <w:t>øteplass</w:t>
      </w:r>
      <w:r>
        <w:t xml:space="preserve"> for Akademikerne. I 2021 var arrangementet noe nedskalert på grunn av koronapandemien og </w:t>
      </w:r>
      <w:r w:rsidR="00111BAC">
        <w:t>Akad</w:t>
      </w:r>
      <w:r w:rsidR="00E851BF">
        <w:t xml:space="preserve">emikerne </w:t>
      </w:r>
      <w:r>
        <w:t xml:space="preserve">valgte å ikke arrangere egne debatter. Leder deltok imidlertid i flere debatter om utdanning og arbeidsliv – inkludert i Dagsnytt 18. I 2022 var Arendalsuka tilbake for fullt og Akademikerne hadde egne debatter om studiestøtte og </w:t>
      </w:r>
      <w:r>
        <w:lastRenderedPageBreak/>
        <w:t xml:space="preserve">kjønnsbalanse på studier. Leder deltok i </w:t>
      </w:r>
      <w:r w:rsidR="008B7C49">
        <w:t>flere</w:t>
      </w:r>
      <w:r>
        <w:t xml:space="preserve"> debatter om arbeidsliv, inkludert i Arbeidslivets toppmøte som var en del av hovedprogrammet. </w:t>
      </w:r>
    </w:p>
    <w:p w14:paraId="65C40F0A" w14:textId="6B074B3F" w:rsidR="000C00EC" w:rsidRDefault="003965C5" w:rsidP="003965C5">
      <w:r>
        <w:t xml:space="preserve">Nettsiden, </w:t>
      </w:r>
      <w:r w:rsidR="3D4B2196">
        <w:t>so</w:t>
      </w:r>
      <w:r w:rsidR="003247B7">
        <w:t>s</w:t>
      </w:r>
      <w:r w:rsidR="3D4B2196">
        <w:t>iale medier</w:t>
      </w:r>
      <w:r>
        <w:t xml:space="preserve"> og nyhetsbrev er også viktige kanaler der målet er å nå ut til tillitsvalgte, medlemmer, medlemsforeninger, andre aktører i samfunnslivet og media. </w:t>
      </w:r>
    </w:p>
    <w:p w14:paraId="651A1A64" w14:textId="37F20292" w:rsidR="00125290" w:rsidRDefault="00125290" w:rsidP="0088576A">
      <w:pPr>
        <w:pStyle w:val="Overskrift3"/>
        <w:numPr>
          <w:ilvl w:val="0"/>
          <w:numId w:val="46"/>
        </w:numPr>
      </w:pPr>
      <w:bookmarkStart w:id="16" w:name="_Toc114065534"/>
      <w:r>
        <w:t>Akademikersamarbeidet skal preges av godt samarbeid, åpenhet og dialog</w:t>
      </w:r>
      <w:bookmarkEnd w:id="16"/>
    </w:p>
    <w:p w14:paraId="6C5E0DCF" w14:textId="77AF444F" w:rsidR="001C27B3" w:rsidRDefault="39C71F8D" w:rsidP="00C0426E">
      <w:pPr>
        <w:spacing w:before="240"/>
      </w:pPr>
      <w:r>
        <w:t>K</w:t>
      </w:r>
      <w:r w:rsidR="38DFA6D3">
        <w:t xml:space="preserve">oronapandemien </w:t>
      </w:r>
      <w:r w:rsidR="772B40E5">
        <w:t>har redusert</w:t>
      </w:r>
      <w:r w:rsidR="00E1486D">
        <w:t xml:space="preserve">e </w:t>
      </w:r>
      <w:r w:rsidR="38DFA6D3">
        <w:t>mulighet</w:t>
      </w:r>
      <w:r w:rsidR="7868B138">
        <w:t>en</w:t>
      </w:r>
      <w:r w:rsidR="00AD7EDE">
        <w:t xml:space="preserve"> for fysiske </w:t>
      </w:r>
      <w:r w:rsidR="00ED7533">
        <w:t>arrangement i</w:t>
      </w:r>
      <w:r w:rsidR="2CC62460">
        <w:t xml:space="preserve"> </w:t>
      </w:r>
      <w:r w:rsidR="002A2EF3">
        <w:t>styreperioden</w:t>
      </w:r>
      <w:r w:rsidR="2CC62460">
        <w:t>. Dette</w:t>
      </w:r>
      <w:r w:rsidR="6500D43E">
        <w:t xml:space="preserve"> </w:t>
      </w:r>
      <w:r w:rsidR="00FD2E2A">
        <w:t xml:space="preserve">har </w:t>
      </w:r>
      <w:r w:rsidR="4BFF685D">
        <w:t xml:space="preserve">ført til </w:t>
      </w:r>
      <w:r w:rsidR="00B5372A">
        <w:t xml:space="preserve">færre muligheter for å møtes </w:t>
      </w:r>
      <w:r w:rsidR="001509F2">
        <w:t xml:space="preserve">og </w:t>
      </w:r>
      <w:r w:rsidR="00B5372A">
        <w:t xml:space="preserve">diskutere </w:t>
      </w:r>
      <w:r w:rsidR="60179E63">
        <w:t xml:space="preserve">hvordan samarbeidet kan styrkes. </w:t>
      </w:r>
      <w:r w:rsidR="5016EA36">
        <w:t>Antal</w:t>
      </w:r>
      <w:r w:rsidR="319B3560">
        <w:t>let</w:t>
      </w:r>
      <w:r w:rsidR="5016EA36">
        <w:t xml:space="preserve"> </w:t>
      </w:r>
      <w:r w:rsidR="5BA165AB">
        <w:t>styre</w:t>
      </w:r>
      <w:r w:rsidR="4F6FCCAA">
        <w:t xml:space="preserve">møter har </w:t>
      </w:r>
      <w:r w:rsidR="319B3560">
        <w:t>imidlertid gått noe opp som følge</w:t>
      </w:r>
      <w:r w:rsidR="0CCD2C21">
        <w:t xml:space="preserve"> av </w:t>
      </w:r>
      <w:r w:rsidR="09A98525">
        <w:t>at det er enklere å arrangere kortere</w:t>
      </w:r>
      <w:r w:rsidR="0CCD2C21">
        <w:t xml:space="preserve"> digitale </w:t>
      </w:r>
      <w:r w:rsidR="6C7961A9">
        <w:t>møter med bred deltakelse</w:t>
      </w:r>
      <w:r w:rsidR="319B3560">
        <w:t xml:space="preserve">.  </w:t>
      </w:r>
    </w:p>
    <w:p w14:paraId="6CF2D1CF" w14:textId="19DC733A" w:rsidR="00E82ADA" w:rsidRDefault="00EA4862" w:rsidP="00E82ADA">
      <w:r>
        <w:t>Til tross for at pandemien har begrenset mulighet</w:t>
      </w:r>
      <w:r w:rsidR="007B4D4B">
        <w:t>en</w:t>
      </w:r>
      <w:r>
        <w:t xml:space="preserve"> </w:t>
      </w:r>
      <w:r w:rsidR="007B4D4B">
        <w:t>til</w:t>
      </w:r>
      <w:r w:rsidR="002F2717">
        <w:t xml:space="preserve"> </w:t>
      </w:r>
      <w:r>
        <w:t>å møtes fysisk har Akademikerne lagt vekt på å videreføre og videreutvikle felles arenaer for erfaringsutveksling, læring og diskusjon</w:t>
      </w:r>
      <w:r w:rsidR="000D1519">
        <w:t xml:space="preserve">, blant annet gjennom det årlige Topplederseminaret. </w:t>
      </w:r>
      <w:r w:rsidR="00E82ADA">
        <w:t>Både høstkonferansen og inntektspolitisk konferanse har vært gjennomført med god deltakelse fra foreningene. Høstkonferansen hadde fokus på unge akademikere og de utfordringene de møter i skole og arbeidsliv blant annet som følge av pandemien.</w:t>
      </w:r>
    </w:p>
    <w:p w14:paraId="113E8F44" w14:textId="0D8A1CFC" w:rsidR="00E82ADA" w:rsidRDefault="00263059" w:rsidP="00263059">
      <w:r w:rsidRPr="00263059">
        <w:t xml:space="preserve">De valgte lederne i medlemsorganisasjonene har sammen med Akademikernes leder etablert en møteplass hvor de møtes jevnlig for å diskutere saker av felles interesse. Generalsekretærene har </w:t>
      </w:r>
      <w:r w:rsidR="713CAF4F">
        <w:t xml:space="preserve">i perioden </w:t>
      </w:r>
      <w:r w:rsidR="4DA06406">
        <w:t xml:space="preserve">også </w:t>
      </w:r>
      <w:r w:rsidR="713CAF4F">
        <w:t xml:space="preserve">møttes hyppig, primært digitalt. </w:t>
      </w:r>
      <w:r w:rsidR="7303C605">
        <w:t>Tema for samtalene har vært både faglig og administrativt. Generalsekretærmøtene har blitt et nyttig fora for å</w:t>
      </w:r>
      <w:r w:rsidR="2C5D027F">
        <w:t xml:space="preserve"> utveksle erfaring og bygge tillit. </w:t>
      </w:r>
      <w:r w:rsidR="00175A7E">
        <w:t>Foreningene</w:t>
      </w:r>
      <w:r w:rsidR="1B904F7F">
        <w:t xml:space="preserve"> møtes også i rammen av Akademikerpluss</w:t>
      </w:r>
      <w:r w:rsidR="00175A7E">
        <w:t>-s</w:t>
      </w:r>
      <w:r w:rsidR="1B904F7F">
        <w:t xml:space="preserve">amarbeidet, et samarbeid </w:t>
      </w:r>
      <w:r w:rsidR="6FD69BDD">
        <w:t>som forutsetter dialog og en høy grad av åpenhet.</w:t>
      </w:r>
      <w:r w:rsidR="1B904F7F">
        <w:t xml:space="preserve"> </w:t>
      </w:r>
    </w:p>
    <w:p w14:paraId="0784EA50" w14:textId="1227305A" w:rsidR="00263059" w:rsidRPr="00263059" w:rsidRDefault="00263059" w:rsidP="00263059">
      <w:r w:rsidRPr="00263059">
        <w:t xml:space="preserve">Sekretariatene samarbeider gjennom ulike fagpolitiske nettverk, nettverk </w:t>
      </w:r>
      <w:r w:rsidR="003B081B">
        <w:t xml:space="preserve">for </w:t>
      </w:r>
      <w:r w:rsidRPr="00263059">
        <w:t xml:space="preserve">organisasjonsutvikling og kommunikasjonsnettverk, samt gjennom arbeidsgrupper knyttet til særskilte saker og politisk prosesser. </w:t>
      </w:r>
    </w:p>
    <w:p w14:paraId="1B87C776" w14:textId="6E5A4724" w:rsidR="00720944" w:rsidRDefault="008A242D" w:rsidP="00720944">
      <w:pPr>
        <w:pStyle w:val="Overskrift2"/>
      </w:pPr>
      <w:bookmarkStart w:id="17" w:name="_Toc114065535"/>
      <w:r>
        <w:t>1.</w:t>
      </w:r>
      <w:r w:rsidR="00D52C31">
        <w:t>4</w:t>
      </w:r>
      <w:r w:rsidR="00E37790">
        <w:t xml:space="preserve"> </w:t>
      </w:r>
      <w:r w:rsidR="00720944">
        <w:t>Rapporter og undersøkelser</w:t>
      </w:r>
      <w:bookmarkEnd w:id="17"/>
    </w:p>
    <w:p w14:paraId="1E55FF8D" w14:textId="77777777" w:rsidR="006738FE" w:rsidRDefault="00720944" w:rsidP="006738FE">
      <w:r>
        <w:t>Akademikerne skal fremme kunnskapsbasert politikk og løsninger. Det prioriteres derfor å sette ut oppdrag eksternt på områder hvor kunnskapsgrunnlaget må styrkes. I tillegg gjennomføres ulike spørreundersøkelser i egen regi. Kunnskapsinnhentingen benyttes til politikkutvikling, presenteres på konferanser og seminarer der det er relevant, og danner utgangspunkt for medieoppslag.</w:t>
      </w:r>
      <w:r w:rsidR="006738FE" w:rsidRPr="006738FE">
        <w:t xml:space="preserve"> </w:t>
      </w:r>
    </w:p>
    <w:p w14:paraId="422CB6AA" w14:textId="3E064F10" w:rsidR="006738FE" w:rsidRDefault="00E82ADA" w:rsidP="006738FE">
      <w:r>
        <w:t>I 2021 ble</w:t>
      </w:r>
      <w:r w:rsidR="006738FE">
        <w:t xml:space="preserve"> det gjennomført en utredning om akademikere som vekstgründere, herunder relevante rammevilkår for gruppen (Menon). Rapporten bidrar til kunnskapsgrunnlaget for </w:t>
      </w:r>
      <w:r w:rsidR="006738FE">
        <w:lastRenderedPageBreak/>
        <w:t xml:space="preserve">arbeidet med å styrke rammevilkår for selvstendig næringsdrivende og forbedret tilrettelegging for personer som ønsker å kombinere selvstendig næringsdrift med fast ansettelse. </w:t>
      </w:r>
      <w:r w:rsidR="005C4DBF">
        <w:t>Videre</w:t>
      </w:r>
      <w:r w:rsidR="00856877">
        <w:t xml:space="preserve"> ble det gjennomført </w:t>
      </w:r>
      <w:r w:rsidR="00F042D4">
        <w:t>en utredning som belyser mobilitet blant Akademikere</w:t>
      </w:r>
      <w:r w:rsidR="00083264">
        <w:t xml:space="preserve"> som så på </w:t>
      </w:r>
      <w:r w:rsidR="00EB3E22">
        <w:t>både geografisk mobilitet og mobilitet mellom sektorer og på t</w:t>
      </w:r>
      <w:r w:rsidR="00586516">
        <w:t>v</w:t>
      </w:r>
      <w:r w:rsidR="00EB3E22">
        <w:t>ers av næringer.</w:t>
      </w:r>
      <w:r w:rsidR="00715CBB">
        <w:t xml:space="preserve"> </w:t>
      </w:r>
      <w:r w:rsidR="000727F5">
        <w:t xml:space="preserve">I forbindelse med </w:t>
      </w:r>
      <w:r w:rsidR="00FB4944">
        <w:t xml:space="preserve">det pågående </w:t>
      </w:r>
      <w:r w:rsidR="000727F5">
        <w:t xml:space="preserve">arbeidet med </w:t>
      </w:r>
      <w:r w:rsidR="00ED3C25">
        <w:t xml:space="preserve">hjemmekontorregelverket har </w:t>
      </w:r>
      <w:r w:rsidR="00715CBB">
        <w:t xml:space="preserve">Akademikerne </w:t>
      </w:r>
      <w:r w:rsidR="00923F75">
        <w:t xml:space="preserve">i 2021 og 2022 </w:t>
      </w:r>
      <w:r w:rsidR="00715CBB">
        <w:t>innhentet tre eksterne juridiske vurderinge</w:t>
      </w:r>
      <w:r w:rsidR="00923F75">
        <w:t>r</w:t>
      </w:r>
      <w:r w:rsidR="0073699E">
        <w:t xml:space="preserve">. Disse gjelder </w:t>
      </w:r>
      <w:r w:rsidR="00212B0C">
        <w:t xml:space="preserve">mulige endringsbehov </w:t>
      </w:r>
      <w:r w:rsidR="000727F5">
        <w:t xml:space="preserve">hhv. </w:t>
      </w:r>
      <w:r w:rsidR="00212B0C">
        <w:t xml:space="preserve">i reglene om skatt og yrkesskader </w:t>
      </w:r>
      <w:r w:rsidR="00923F75">
        <w:t xml:space="preserve">på hjemmekontor og ved annet fjernarbeid. </w:t>
      </w:r>
      <w:r w:rsidR="00715CBB">
        <w:t xml:space="preserve"> </w:t>
      </w:r>
    </w:p>
    <w:p w14:paraId="42FBB6EF" w14:textId="7A432E97" w:rsidR="00720944" w:rsidRDefault="006738FE" w:rsidP="006738FE">
      <w:r>
        <w:t xml:space="preserve">Akademikerne har etablert et akademikerpanel i samarbeid med Respons analyse. Panelet består av et utvalg personer med høyere utdanning, drøye </w:t>
      </w:r>
      <w:r w:rsidR="00860DA6">
        <w:t>1</w:t>
      </w:r>
      <w:r>
        <w:t xml:space="preserve">000 respondenter. Generelt er panelet tenkt benyttet til å gi kunnskap om de til enhver tid viktigste politiske spørsmålene for Akademikerne, </w:t>
      </w:r>
      <w:r w:rsidR="00A25368">
        <w:t xml:space="preserve">blant annet </w:t>
      </w:r>
      <w:r>
        <w:t xml:space="preserve">som grunnlag til medieutspill. </w:t>
      </w:r>
    </w:p>
    <w:p w14:paraId="2F0EF80B" w14:textId="612ADAFF" w:rsidR="008A242D" w:rsidRDefault="008A242D" w:rsidP="008A242D">
      <w:pPr>
        <w:pStyle w:val="Overskrift2"/>
      </w:pPr>
      <w:bookmarkStart w:id="18" w:name="_Toc114065536"/>
      <w:r>
        <w:t>1.</w:t>
      </w:r>
      <w:r w:rsidR="00D52C31">
        <w:t>5</w:t>
      </w:r>
      <w:r w:rsidRPr="008A242D">
        <w:t xml:space="preserve"> </w:t>
      </w:r>
      <w:r>
        <w:t>Akademikerprisen</w:t>
      </w:r>
      <w:bookmarkEnd w:id="18"/>
    </w:p>
    <w:p w14:paraId="13F12951" w14:textId="40EEFD97" w:rsidR="0065552B" w:rsidRDefault="008A242D" w:rsidP="164D3C38">
      <w:pPr>
        <w:rPr>
          <w:rFonts w:eastAsia="Calibri"/>
        </w:rPr>
      </w:pPr>
      <w:r w:rsidRPr="00ED6220">
        <w:t xml:space="preserve">Akademikerprisen deles </w:t>
      </w:r>
      <w:r>
        <w:t xml:space="preserve">ut </w:t>
      </w:r>
      <w:r w:rsidRPr="00ED6220">
        <w:t xml:space="preserve">årlig </w:t>
      </w:r>
      <w:r w:rsidR="0065552B" w:rsidRPr="164D3C38">
        <w:rPr>
          <w:rFonts w:eastAsia="Calibri"/>
        </w:rPr>
        <w:t>under</w:t>
      </w:r>
      <w:r w:rsidRPr="006B654E">
        <w:rPr>
          <w:rFonts w:eastAsia="Calibri"/>
        </w:rPr>
        <w:t xml:space="preserve"> Akademikernes høstkonferanse. </w:t>
      </w:r>
      <w:r w:rsidR="5B0B40E1" w:rsidRPr="006B654E">
        <w:rPr>
          <w:rFonts w:eastAsia="Calibri"/>
        </w:rPr>
        <w:t xml:space="preserve">I 2021 ble den tildelt veterinær Line Vold i Folkehelseinstituttet og lege og jurist Espen Rostrup Nakstad i Helsedirektoratet. De fikk prisen for å ha vist verdien av tung fagkunnskap kombinert med </w:t>
      </w:r>
      <w:r w:rsidR="7AEE255B" w:rsidRPr="164D3C38">
        <w:rPr>
          <w:rFonts w:eastAsia="Calibri"/>
        </w:rPr>
        <w:t xml:space="preserve">gode formidlingsevner </w:t>
      </w:r>
      <w:r w:rsidR="5B0B40E1" w:rsidRPr="006B654E">
        <w:rPr>
          <w:rFonts w:eastAsia="Calibri"/>
        </w:rPr>
        <w:t xml:space="preserve">i en krisesituasjon. </w:t>
      </w:r>
    </w:p>
    <w:p w14:paraId="6543A9E9" w14:textId="707A170F" w:rsidR="008A242D" w:rsidRPr="003B449D" w:rsidRDefault="5B0B40E1" w:rsidP="006B654E">
      <w:pPr>
        <w:rPr>
          <w:rFonts w:eastAsia="Calibri" w:cstheme="minorHAnsi"/>
          <w:color w:val="211D1E"/>
        </w:rPr>
      </w:pPr>
      <w:r w:rsidRPr="003B449D">
        <w:rPr>
          <w:rFonts w:eastAsia="Calibri" w:cstheme="minorHAnsi"/>
        </w:rPr>
        <w:t>I</w:t>
      </w:r>
      <w:r w:rsidRPr="003B449D">
        <w:rPr>
          <w:rFonts w:eastAsia="Calibri" w:cstheme="minorHAnsi"/>
          <w:color w:val="211D1E"/>
        </w:rPr>
        <w:t xml:space="preserve"> 2022 </w:t>
      </w:r>
      <w:r w:rsidR="005A3A60" w:rsidRPr="003B449D">
        <w:rPr>
          <w:rFonts w:eastAsia="Calibri" w:cstheme="minorHAnsi"/>
          <w:color w:val="211D1E"/>
        </w:rPr>
        <w:t>er</w:t>
      </w:r>
      <w:r w:rsidRPr="003B449D">
        <w:rPr>
          <w:rFonts w:eastAsia="Calibri" w:cstheme="minorHAnsi"/>
          <w:color w:val="211D1E"/>
        </w:rPr>
        <w:t xml:space="preserve"> vinneren </w:t>
      </w:r>
      <w:r w:rsidR="00630F37" w:rsidRPr="003B449D">
        <w:rPr>
          <w:rFonts w:eastAsia="Calibri" w:cstheme="minorHAnsi"/>
          <w:color w:val="211D1E"/>
        </w:rPr>
        <w:t>fysiker Andreas Wahl</w:t>
      </w:r>
      <w:r w:rsidRPr="003B449D">
        <w:rPr>
          <w:rFonts w:eastAsia="Calibri" w:cstheme="minorHAnsi"/>
          <w:color w:val="211D1E"/>
        </w:rPr>
        <w:t xml:space="preserve">. </w:t>
      </w:r>
      <w:r w:rsidR="005A3A60" w:rsidRPr="003B449D">
        <w:rPr>
          <w:rFonts w:eastAsia="Calibri" w:cstheme="minorHAnsi"/>
          <w:color w:val="211D1E"/>
        </w:rPr>
        <w:t>Wahl mottar prisen for sin vitenskapsformidling</w:t>
      </w:r>
      <w:r w:rsidR="000E41AB" w:rsidRPr="003B449D">
        <w:rPr>
          <w:rFonts w:eastAsia="Calibri" w:cstheme="minorHAnsi"/>
          <w:color w:val="211D1E"/>
        </w:rPr>
        <w:t xml:space="preserve"> som over flere år har engasjert barn, unge og v</w:t>
      </w:r>
      <w:r w:rsidR="00082F30" w:rsidRPr="003B449D">
        <w:rPr>
          <w:rFonts w:eastAsia="Calibri" w:cstheme="minorHAnsi"/>
          <w:color w:val="211D1E"/>
        </w:rPr>
        <w:t>oksne</w:t>
      </w:r>
      <w:r w:rsidR="005A3A60" w:rsidRPr="003B449D">
        <w:rPr>
          <w:rFonts w:eastAsia="Calibri" w:cstheme="minorHAnsi"/>
          <w:color w:val="211D1E"/>
        </w:rPr>
        <w:t xml:space="preserve">. </w:t>
      </w:r>
      <w:r w:rsidRPr="003B449D">
        <w:rPr>
          <w:rFonts w:eastAsia="Calibri" w:cstheme="minorHAnsi"/>
          <w:color w:val="211D1E"/>
        </w:rPr>
        <w:t>Juryen fremheve</w:t>
      </w:r>
      <w:r w:rsidR="000E41AB" w:rsidRPr="003B449D">
        <w:rPr>
          <w:rFonts w:eastAsia="Calibri" w:cstheme="minorHAnsi"/>
          <w:color w:val="211D1E"/>
        </w:rPr>
        <w:t>r</w:t>
      </w:r>
      <w:r w:rsidRPr="003B449D">
        <w:rPr>
          <w:rFonts w:eastAsia="Calibri" w:cstheme="minorHAnsi"/>
          <w:color w:val="211D1E"/>
        </w:rPr>
        <w:t xml:space="preserve"> blant annet at </w:t>
      </w:r>
      <w:r w:rsidR="00C5113F" w:rsidRPr="003B449D">
        <w:rPr>
          <w:rFonts w:eastAsia="Calibri" w:cstheme="minorHAnsi"/>
          <w:color w:val="211D1E"/>
        </w:rPr>
        <w:t xml:space="preserve">Wahl er en </w:t>
      </w:r>
      <w:r w:rsidR="00082F30" w:rsidRPr="003B449D">
        <w:rPr>
          <w:rFonts w:eastAsia="Calibri" w:cstheme="minorHAnsi"/>
          <w:color w:val="211D1E"/>
        </w:rPr>
        <w:t xml:space="preserve">viktig </w:t>
      </w:r>
      <w:r w:rsidR="00C5113F" w:rsidRPr="003B449D">
        <w:rPr>
          <w:rFonts w:eastAsia="Calibri" w:cstheme="minorHAnsi"/>
          <w:color w:val="211D1E"/>
        </w:rPr>
        <w:t xml:space="preserve">realfagsambassadør </w:t>
      </w:r>
      <w:r w:rsidR="00082F30" w:rsidRPr="003B449D">
        <w:rPr>
          <w:rFonts w:eastAsia="Calibri" w:cstheme="minorHAnsi"/>
          <w:color w:val="211D1E"/>
        </w:rPr>
        <w:t xml:space="preserve">i en tid der naturvitenskaplig kompetanse er mangelvare </w:t>
      </w:r>
      <w:r w:rsidR="00C5113F" w:rsidRPr="003B449D">
        <w:rPr>
          <w:rFonts w:eastAsia="Calibri" w:cstheme="minorHAnsi"/>
          <w:color w:val="211D1E"/>
        </w:rPr>
        <w:t xml:space="preserve">og at han gjennom sin formidling gjør </w:t>
      </w:r>
      <w:r w:rsidR="00C5113F" w:rsidRPr="003B449D">
        <w:t>akademisk kunnskap til allmennkunnskap.</w:t>
      </w:r>
    </w:p>
    <w:p w14:paraId="4795AD37" w14:textId="53E40078" w:rsidR="008A242D" w:rsidRDefault="00C5113F" w:rsidP="006B654E">
      <w:pPr>
        <w:spacing w:line="257" w:lineRule="auto"/>
        <w:rPr>
          <w:rFonts w:eastAsia="Calibri" w:cstheme="minorHAnsi"/>
        </w:rPr>
      </w:pPr>
      <w:r>
        <w:rPr>
          <w:rFonts w:eastAsia="Calibri" w:cstheme="minorHAnsi"/>
        </w:rPr>
        <w:t>Akademiker</w:t>
      </w:r>
      <w:r w:rsidR="5B0B40E1" w:rsidRPr="006B654E">
        <w:rPr>
          <w:rFonts w:eastAsia="Calibri" w:cstheme="minorHAnsi"/>
        </w:rPr>
        <w:t xml:space="preserve">prisen </w:t>
      </w:r>
      <w:r>
        <w:rPr>
          <w:rFonts w:eastAsia="Calibri" w:cstheme="minorHAnsi"/>
        </w:rPr>
        <w:t xml:space="preserve">gis til akademikere som har </w:t>
      </w:r>
      <w:r w:rsidRPr="00181E51">
        <w:t>utmerket seg med sin forskning, kunnskapsformidling eller bidrag til akademisk frihet.</w:t>
      </w:r>
      <w:r>
        <w:t xml:space="preserve"> </w:t>
      </w:r>
      <w:r w:rsidR="000E41AB">
        <w:rPr>
          <w:rFonts w:eastAsia="Calibri" w:cstheme="minorHAnsi"/>
        </w:rPr>
        <w:t>Prisen skal</w:t>
      </w:r>
      <w:r w:rsidR="5B0B40E1" w:rsidRPr="006B654E">
        <w:rPr>
          <w:rFonts w:eastAsia="Calibri" w:cstheme="minorHAnsi"/>
        </w:rPr>
        <w:t xml:space="preserve"> bygge opp Akademikernes identitet og synlighet</w:t>
      </w:r>
      <w:r>
        <w:rPr>
          <w:rFonts w:eastAsia="Calibri" w:cstheme="minorHAnsi"/>
        </w:rPr>
        <w:t>.</w:t>
      </w:r>
    </w:p>
    <w:p w14:paraId="11DDD0C8" w14:textId="77777777" w:rsidR="00157A5B" w:rsidRPr="00ED6220" w:rsidRDefault="00157A5B" w:rsidP="006B654E">
      <w:pPr>
        <w:spacing w:line="257" w:lineRule="auto"/>
        <w:rPr>
          <w:rFonts w:ascii="Calibri" w:eastAsia="Calibri" w:hAnsi="Calibri" w:cs="Calibri"/>
        </w:rPr>
      </w:pPr>
    </w:p>
    <w:p w14:paraId="65CA7363" w14:textId="75D95E48" w:rsidR="00736E8E" w:rsidRDefault="37E23E58" w:rsidP="00157A5B">
      <w:pPr>
        <w:pStyle w:val="Overskrift1"/>
      </w:pPr>
      <w:r>
        <w:t xml:space="preserve"> </w:t>
      </w:r>
      <w:bookmarkStart w:id="19" w:name="_Toc114065537"/>
      <w:r w:rsidR="00175A7E">
        <w:t xml:space="preserve">2. </w:t>
      </w:r>
      <w:r w:rsidR="00736E8E">
        <w:t>Lønn og tariff</w:t>
      </w:r>
      <w:bookmarkEnd w:id="19"/>
    </w:p>
    <w:p w14:paraId="7E1C1425" w14:textId="3B81B325" w:rsidR="002D2994" w:rsidRPr="00B655C6" w:rsidRDefault="002D2994" w:rsidP="002D2994">
      <w:pPr>
        <w:pStyle w:val="Overskrift2"/>
      </w:pPr>
      <w:bookmarkStart w:id="20" w:name="_Toc114065538"/>
      <w:r>
        <w:t>2.1 Saker som særlig har preget tariffpolitikken i perioden</w:t>
      </w:r>
      <w:bookmarkEnd w:id="20"/>
      <w:r>
        <w:t xml:space="preserve"> </w:t>
      </w:r>
    </w:p>
    <w:p w14:paraId="5E3C68B4" w14:textId="0C27CAB4" w:rsidR="002D2994" w:rsidRDefault="002D2994" w:rsidP="002D2994">
      <w:pPr>
        <w:rPr>
          <w:b/>
          <w:bCs/>
        </w:rPr>
      </w:pPr>
      <w:r w:rsidRPr="29C12CC8">
        <w:rPr>
          <w:b/>
          <w:bCs/>
        </w:rPr>
        <w:t xml:space="preserve">Offentlig tjenestepensjon </w:t>
      </w:r>
      <w:r w:rsidR="3243D802" w:rsidRPr="164D3C38">
        <w:rPr>
          <w:b/>
          <w:bCs/>
        </w:rPr>
        <w:t>(OFTP)</w:t>
      </w:r>
    </w:p>
    <w:p w14:paraId="0F8DDE30" w14:textId="29C1C331" w:rsidR="002D2994" w:rsidRDefault="002D2994" w:rsidP="00157A5B">
      <w:pPr>
        <w:rPr>
          <w:rFonts w:eastAsia="Times New Roman"/>
        </w:rPr>
      </w:pPr>
      <w:r w:rsidRPr="159D3F6F">
        <w:rPr>
          <w:rFonts w:eastAsia="Times New Roman"/>
        </w:rPr>
        <w:t>Partene i offentlig sektor forhandlet i 2018 frem en ny pensjonsløsning med tilhørende overgangsordninger. Premissene for utforming av ny pensjonsløsning fremgår av avtale av 3. mars 2018 inngått mellom Arbeids- og sosialdepartementet, KS, Spekter, Akademikerne, LO, Unio og YS.</w:t>
      </w:r>
      <w:r w:rsidR="001728A3">
        <w:rPr>
          <w:rFonts w:eastAsia="Times New Roman"/>
        </w:rPr>
        <w:t xml:space="preserve"> </w:t>
      </w:r>
      <w:r w:rsidRPr="09D7C99A">
        <w:rPr>
          <w:rFonts w:eastAsia="Times New Roman"/>
        </w:rPr>
        <w:t xml:space="preserve">I </w:t>
      </w:r>
      <w:r w:rsidR="19794C9A" w:rsidRPr="25152AD0">
        <w:rPr>
          <w:rFonts w:eastAsia="Times New Roman"/>
        </w:rPr>
        <w:t>mars 2022</w:t>
      </w:r>
      <w:r w:rsidRPr="09D7C99A">
        <w:rPr>
          <w:rFonts w:eastAsia="Times New Roman"/>
        </w:rPr>
        <w:t xml:space="preserve"> startet dialogen mellom staten og partene i arbeidslivet opp igjen</w:t>
      </w:r>
      <w:r w:rsidR="001728A3">
        <w:rPr>
          <w:rFonts w:eastAsia="Times New Roman"/>
        </w:rPr>
        <w:t xml:space="preserve"> for å </w:t>
      </w:r>
      <w:r w:rsidR="001728A3">
        <w:rPr>
          <w:rFonts w:eastAsia="Times New Roman"/>
        </w:rPr>
        <w:lastRenderedPageBreak/>
        <w:t>følge opp</w:t>
      </w:r>
      <w:r w:rsidRPr="09D7C99A">
        <w:rPr>
          <w:rFonts w:eastAsia="Times New Roman"/>
        </w:rPr>
        <w:t xml:space="preserve"> gjenstående temaer. Dette dreier seg om AFP-ordningen i offentlig sektor, samt tilpasninger i oftp for personer født i 1963 eller senere og som har særaldersgrense. </w:t>
      </w:r>
    </w:p>
    <w:p w14:paraId="50918C56" w14:textId="27FC4E4C" w:rsidR="002D2994" w:rsidRPr="00B0722B" w:rsidRDefault="00B0722B" w:rsidP="002D2994">
      <w:pPr>
        <w:rPr>
          <w:rFonts w:ascii="Times New Roman" w:eastAsia="Times New Roman" w:hAnsi="Times New Roman" w:cs="Times New Roman"/>
          <w:b/>
          <w:sz w:val="24"/>
          <w:szCs w:val="24"/>
        </w:rPr>
      </w:pPr>
      <w:r w:rsidRPr="00B0722B">
        <w:rPr>
          <w:rFonts w:ascii="Times New Roman" w:eastAsia="Times New Roman" w:hAnsi="Times New Roman" w:cs="Times New Roman"/>
          <w:b/>
          <w:bCs/>
          <w:sz w:val="24"/>
          <w:szCs w:val="24"/>
        </w:rPr>
        <w:t>S</w:t>
      </w:r>
      <w:r w:rsidR="002D2994" w:rsidRPr="00B0722B">
        <w:rPr>
          <w:rFonts w:ascii="Times New Roman" w:eastAsia="Times New Roman" w:hAnsi="Times New Roman" w:cs="Times New Roman"/>
          <w:b/>
          <w:bCs/>
          <w:sz w:val="24"/>
          <w:szCs w:val="24"/>
        </w:rPr>
        <w:t>æraldersgrenser</w:t>
      </w:r>
    </w:p>
    <w:p w14:paraId="5313B606" w14:textId="51A9C9F1" w:rsidR="002D2994" w:rsidRDefault="002D2994" w:rsidP="00157A5B">
      <w:pPr>
        <w:rPr>
          <w:rFonts w:eastAsia="Times New Roman"/>
        </w:rPr>
      </w:pPr>
      <w:r w:rsidRPr="09D7C99A">
        <w:rPr>
          <w:rFonts w:eastAsia="Times New Roman"/>
        </w:rPr>
        <w:t>Akademikerne og de øvrige partene i arbeidslivet har hatt dialog med AID for å få på plass en prosessavtale knyttet til problemstillinge</w:t>
      </w:r>
      <w:r w:rsidR="00F541F9">
        <w:rPr>
          <w:rFonts w:eastAsia="Times New Roman"/>
        </w:rPr>
        <w:t>r rundt</w:t>
      </w:r>
      <w:r w:rsidRPr="09D7C99A">
        <w:rPr>
          <w:rFonts w:eastAsia="Times New Roman"/>
        </w:rPr>
        <w:t xml:space="preserve"> særaldersgrenser. Prosessavtalen ble signert 14. juni, og videre arbeid vil foregå fra høsten 2022. AID ønsker å se regelverket for pensjon for ansatte med særaldersgrenser i sammenheng med spørsmålet om hvilke yrkesgrupper som skal omfattes av særaldersgrenser. Dette har samtlige parter på arbeidstakersiden uttrykt skepsis mot, og viser til avtalen fra 2018 som sier at regelverket for beregning av pensjon skal på plass før videre dialog om omfanget av særaldersgrensene. </w:t>
      </w:r>
      <w:r w:rsidR="00F541F9">
        <w:rPr>
          <w:rFonts w:eastAsia="Times New Roman"/>
        </w:rPr>
        <w:t>A</w:t>
      </w:r>
      <w:r w:rsidRPr="09D7C99A">
        <w:rPr>
          <w:rFonts w:eastAsia="Times New Roman"/>
        </w:rPr>
        <w:t xml:space="preserve">rbeidet med regelverket </w:t>
      </w:r>
      <w:r w:rsidR="00F541F9">
        <w:rPr>
          <w:rFonts w:eastAsia="Times New Roman"/>
        </w:rPr>
        <w:t xml:space="preserve">skal </w:t>
      </w:r>
      <w:r w:rsidRPr="09D7C99A">
        <w:rPr>
          <w:rFonts w:eastAsia="Times New Roman"/>
        </w:rPr>
        <w:t xml:space="preserve">være ferdigstilt senest 1. juli 2023. </w:t>
      </w:r>
      <w:r w:rsidR="007E5590">
        <w:rPr>
          <w:rFonts w:eastAsia="Times New Roman"/>
        </w:rPr>
        <w:t>D</w:t>
      </w:r>
      <w:r w:rsidRPr="159D3F6F">
        <w:rPr>
          <w:rFonts w:eastAsia="Times New Roman"/>
        </w:rPr>
        <w:t xml:space="preserve">epartementet vil </w:t>
      </w:r>
      <w:r w:rsidR="007E5590">
        <w:rPr>
          <w:rFonts w:eastAsia="Times New Roman"/>
        </w:rPr>
        <w:t>parallelt sette ned</w:t>
      </w:r>
      <w:r w:rsidRPr="159D3F6F">
        <w:rPr>
          <w:rFonts w:eastAsia="Times New Roman"/>
        </w:rPr>
        <w:t xml:space="preserve"> en arbeidsgruppe som skal se på fremtidig behov for særaldersgrenser. </w:t>
      </w:r>
    </w:p>
    <w:p w14:paraId="363AD9D3" w14:textId="77777777" w:rsidR="002D2994" w:rsidRPr="007E5590" w:rsidRDefault="002D2994" w:rsidP="002D2994">
      <w:pPr>
        <w:rPr>
          <w:rFonts w:ascii="Times New Roman" w:eastAsia="Times New Roman" w:hAnsi="Times New Roman" w:cs="Times New Roman"/>
          <w:b/>
          <w:sz w:val="24"/>
          <w:szCs w:val="24"/>
        </w:rPr>
      </w:pPr>
      <w:r w:rsidRPr="007E5590">
        <w:rPr>
          <w:rFonts w:ascii="Times New Roman" w:eastAsia="Times New Roman" w:hAnsi="Times New Roman" w:cs="Times New Roman"/>
          <w:b/>
          <w:sz w:val="24"/>
          <w:szCs w:val="24"/>
        </w:rPr>
        <w:t>AFP i offentlig sektor</w:t>
      </w:r>
    </w:p>
    <w:p w14:paraId="0AC33EBC" w14:textId="32CCBE74" w:rsidR="002D2994" w:rsidRPr="00157A5B" w:rsidRDefault="4E194DAE" w:rsidP="002D2994">
      <w:pPr>
        <w:tabs>
          <w:tab w:val="left" w:pos="708"/>
        </w:tabs>
        <w:rPr>
          <w:rFonts w:eastAsia="Times New Roman"/>
        </w:rPr>
      </w:pPr>
      <w:r w:rsidRPr="00157A5B">
        <w:rPr>
          <w:rFonts w:eastAsia="Times New Roman"/>
        </w:rPr>
        <w:t>AID har opplyst partene om at r</w:t>
      </w:r>
      <w:r w:rsidR="002D2994" w:rsidRPr="00157A5B">
        <w:rPr>
          <w:rFonts w:eastAsia="Times New Roman"/>
        </w:rPr>
        <w:t xml:space="preserve">egelverket for ny AFP i offentlig sektor vil komme på høring </w:t>
      </w:r>
      <w:r w:rsidR="775D0003" w:rsidRPr="00157A5B">
        <w:rPr>
          <w:rFonts w:eastAsia="Times New Roman"/>
        </w:rPr>
        <w:t>høsten 2022</w:t>
      </w:r>
      <w:r w:rsidR="654FFD5F" w:rsidRPr="00157A5B">
        <w:rPr>
          <w:rFonts w:eastAsia="Times New Roman"/>
        </w:rPr>
        <w:t>.</w:t>
      </w:r>
      <w:r w:rsidR="002D2994" w:rsidRPr="00157A5B">
        <w:rPr>
          <w:rFonts w:eastAsia="Times New Roman"/>
        </w:rPr>
        <w:t xml:space="preserve"> Sammen med de øvrige partene i offentlig sektor, deltok Akademikerne 25. Mars 2022 på et møte i AID om temaet. Formålet med møtet var</w:t>
      </w:r>
      <w:r w:rsidR="002D2994" w:rsidRPr="00157A5B">
        <w:rPr>
          <w:rFonts w:ascii="Times New Roman" w:eastAsia="Times New Roman" w:hAnsi="Times New Roman" w:cs="Times New Roman"/>
        </w:rPr>
        <w:t xml:space="preserve"> «.… </w:t>
      </w:r>
      <w:r w:rsidR="002D2994" w:rsidRPr="00157A5B">
        <w:rPr>
          <w:rFonts w:ascii="Times New Roman" w:eastAsia="Times New Roman" w:hAnsi="Times New Roman" w:cs="Times New Roman"/>
          <w:i/>
          <w:iCs/>
        </w:rPr>
        <w:t>å sikre en felles forståelse av gjenstående uavklarte punkter og diskutere videre framdrift</w:t>
      </w:r>
      <w:r w:rsidR="002D2994" w:rsidRPr="00157A5B">
        <w:rPr>
          <w:rFonts w:ascii="Times New Roman" w:eastAsia="Times New Roman" w:hAnsi="Times New Roman" w:cs="Times New Roman"/>
        </w:rPr>
        <w:t>.»</w:t>
      </w:r>
      <w:r w:rsidR="002D2994" w:rsidRPr="159D3F6F">
        <w:rPr>
          <w:rFonts w:ascii="Times New Roman" w:eastAsia="Times New Roman" w:hAnsi="Times New Roman" w:cs="Times New Roman"/>
          <w:sz w:val="24"/>
          <w:szCs w:val="24"/>
        </w:rPr>
        <w:t xml:space="preserve"> I </w:t>
      </w:r>
      <w:r w:rsidR="002D2994" w:rsidRPr="00157A5B">
        <w:rPr>
          <w:rFonts w:eastAsia="Times New Roman"/>
        </w:rPr>
        <w:t xml:space="preserve">møtet gjennomgikk partene i korte trekk hvilken tematikk som i lys av 2018-avtalen er problemstillinger partene må diskutere nærmere. </w:t>
      </w:r>
    </w:p>
    <w:p w14:paraId="7F4A65EB" w14:textId="3CA126C1" w:rsidR="002D2994" w:rsidRPr="00157A5B" w:rsidRDefault="002D2994" w:rsidP="002D2994">
      <w:pPr>
        <w:tabs>
          <w:tab w:val="left" w:pos="708"/>
        </w:tabs>
        <w:rPr>
          <w:rFonts w:eastAsia="Times New Roman"/>
        </w:rPr>
      </w:pPr>
      <w:r w:rsidRPr="00157A5B">
        <w:rPr>
          <w:rFonts w:eastAsia="Times New Roman"/>
        </w:rPr>
        <w:t xml:space="preserve">AID skisserte at departementet vil ha en dialog med partene i perioden frem til høringsfristen, med mål om å klargjøre felles forståelse og problembeskrivelse i god tid før høringsfristen utløper. Lovproposisjonen vil etter planen sendes Stortinget våren 2023.  </w:t>
      </w:r>
    </w:p>
    <w:p w14:paraId="3E4B049F" w14:textId="32B9E87E" w:rsidR="00D67745" w:rsidRDefault="00111D93" w:rsidP="00111D93">
      <w:pPr>
        <w:pStyle w:val="Overskrift2"/>
      </w:pPr>
      <w:bookmarkStart w:id="21" w:name="_Toc114065539"/>
      <w:r>
        <w:t xml:space="preserve">2.2 </w:t>
      </w:r>
      <w:r w:rsidR="00D67745">
        <w:t>Akademikernes utvalg og samarbeidsorgan</w:t>
      </w:r>
      <w:bookmarkEnd w:id="21"/>
    </w:p>
    <w:p w14:paraId="31B60AA4" w14:textId="70A62B7A" w:rsidR="001F588A" w:rsidRPr="001B0E8A" w:rsidRDefault="001F588A" w:rsidP="00482BA1">
      <w:r>
        <w:t xml:space="preserve">Akademikerne har tre forhandlingsutvalg: Akademikerne stat (statlig tariffområde), Akademikerne kommune (KS, Oslo kommune og Samfunnsbedriftene) og Akademikerne Helse (Spekter helse/helseforetakene). Forhandlingsutvalgene fremste oppgave er å gjennomføre forhandlinger om tariffavtaler knyttet til lønns- og arbeidsvilkår for medlemmene i sektorene, men tar også opp ulike </w:t>
      </w:r>
      <w:r w:rsidR="7F522BD3">
        <w:t>tariff</w:t>
      </w:r>
      <w:r>
        <w:t xml:space="preserve">politiske problemstillinger knyttet til sektorene. </w:t>
      </w:r>
    </w:p>
    <w:p w14:paraId="1745F256" w14:textId="0F1653EF" w:rsidR="00D67745" w:rsidRDefault="001F588A" w:rsidP="00527C2F">
      <w:r>
        <w:t xml:space="preserve">I tillegg har Akademikerne to samarbeidsutvalg, Akademikerne privat og Akademikerne næringsdrivende. Disse samarbeidsutvalgene forhandler ingen tariffavtaler på vegne av akademikerfellesskapet, men har fokus på ulike problemstillinger og temaer knyttet til privat ansatte og næringsdrivende medlemmer. </w:t>
      </w:r>
    </w:p>
    <w:p w14:paraId="1CFCB829" w14:textId="0BE625D4" w:rsidR="00527C2F" w:rsidRPr="00D67745" w:rsidRDefault="00527C2F" w:rsidP="00527C2F">
      <w:r w:rsidRPr="00266331">
        <w:rPr>
          <w:rFonts w:ascii="Times New Roman" w:hAnsi="Times New Roman"/>
        </w:rPr>
        <w:t>Forhandlingsutvalgene/samarbeidsorganene har hatt følgende valgte ledere og nestledere i perioden:</w:t>
      </w:r>
    </w:p>
    <w:p w14:paraId="2631AB80" w14:textId="77777777" w:rsidR="00527C2F" w:rsidRPr="00D36CA2" w:rsidRDefault="00527C2F" w:rsidP="00527C2F">
      <w:pPr>
        <w:keepNext/>
        <w:spacing w:before="180" w:after="60"/>
        <w:rPr>
          <w:rFonts w:ascii="Times New Roman" w:hAnsi="Times New Roman"/>
          <w:b/>
          <w:sz w:val="24"/>
          <w:u w:val="single"/>
        </w:rPr>
      </w:pPr>
      <w:r w:rsidRPr="00D36CA2">
        <w:rPr>
          <w:rFonts w:ascii="Times New Roman" w:hAnsi="Times New Roman"/>
          <w:b/>
          <w:sz w:val="24"/>
          <w:u w:val="single"/>
        </w:rPr>
        <w:lastRenderedPageBreak/>
        <w:t>Akademikerne stat</w:t>
      </w:r>
    </w:p>
    <w:p w14:paraId="5A8D2697" w14:textId="29F47B31" w:rsidR="00527C2F" w:rsidRPr="00D36CA2" w:rsidRDefault="00527C2F" w:rsidP="00527C2F">
      <w:pPr>
        <w:spacing w:after="0"/>
        <w:rPr>
          <w:rFonts w:ascii="Times New Roman" w:hAnsi="Times New Roman"/>
        </w:rPr>
      </w:pPr>
      <w:r w:rsidRPr="00D36CA2">
        <w:rPr>
          <w:rFonts w:ascii="Times New Roman" w:hAnsi="Times New Roman"/>
        </w:rPr>
        <w:t xml:space="preserve">Leder Kari </w:t>
      </w:r>
      <w:r w:rsidR="69544EEA" w:rsidRPr="00D36CA2">
        <w:rPr>
          <w:rFonts w:ascii="Times New Roman" w:hAnsi="Times New Roman"/>
        </w:rPr>
        <w:t>Nor</w:t>
      </w:r>
      <w:r w:rsidR="253A2509" w:rsidRPr="00D36CA2">
        <w:rPr>
          <w:rFonts w:ascii="Times New Roman" w:hAnsi="Times New Roman"/>
        </w:rPr>
        <w:t>d</w:t>
      </w:r>
      <w:r w:rsidR="69544EEA" w:rsidRPr="00D36CA2">
        <w:rPr>
          <w:rFonts w:ascii="Times New Roman" w:hAnsi="Times New Roman"/>
        </w:rPr>
        <w:t>li</w:t>
      </w:r>
      <w:r w:rsidRPr="00D36CA2">
        <w:rPr>
          <w:rFonts w:ascii="Times New Roman" w:hAnsi="Times New Roman"/>
        </w:rPr>
        <w:t xml:space="preserve">, Tekna </w:t>
      </w:r>
    </w:p>
    <w:p w14:paraId="740E4791" w14:textId="77777777" w:rsidR="00527C2F" w:rsidRPr="000B3986" w:rsidRDefault="00527C2F" w:rsidP="00527C2F">
      <w:pPr>
        <w:spacing w:after="0"/>
        <w:rPr>
          <w:rFonts w:ascii="Times New Roman" w:hAnsi="Times New Roman"/>
        </w:rPr>
      </w:pPr>
      <w:r w:rsidRPr="12DC08F0">
        <w:rPr>
          <w:rFonts w:ascii="Times New Roman" w:hAnsi="Times New Roman"/>
        </w:rPr>
        <w:t>Nestleder Julius Okkenhaug, Norsk psykologforening</w:t>
      </w:r>
    </w:p>
    <w:p w14:paraId="62DC8846" w14:textId="77777777" w:rsidR="00527C2F" w:rsidRPr="00E33361" w:rsidRDefault="00527C2F" w:rsidP="00527C2F">
      <w:pPr>
        <w:keepNext/>
        <w:spacing w:before="180" w:after="60"/>
        <w:rPr>
          <w:rFonts w:ascii="Times New Roman" w:hAnsi="Times New Roman"/>
          <w:b/>
          <w:sz w:val="24"/>
          <w:u w:val="single"/>
        </w:rPr>
      </w:pPr>
      <w:r w:rsidRPr="00E33361">
        <w:rPr>
          <w:rFonts w:ascii="Times New Roman" w:hAnsi="Times New Roman"/>
          <w:b/>
          <w:sz w:val="24"/>
          <w:u w:val="single"/>
        </w:rPr>
        <w:t>Akademikerne kommune</w:t>
      </w:r>
    </w:p>
    <w:p w14:paraId="4164D659" w14:textId="77777777" w:rsidR="00527C2F" w:rsidRPr="00DF7687" w:rsidRDefault="00527C2F" w:rsidP="00527C2F">
      <w:pPr>
        <w:spacing w:after="0"/>
        <w:rPr>
          <w:rFonts w:ascii="Times New Roman" w:hAnsi="Times New Roman"/>
        </w:rPr>
      </w:pPr>
      <w:r w:rsidRPr="12DC08F0">
        <w:rPr>
          <w:rFonts w:ascii="Times New Roman" w:hAnsi="Times New Roman"/>
        </w:rPr>
        <w:t>Leder Tonje Leborg, Norsk Lektorlag</w:t>
      </w:r>
    </w:p>
    <w:p w14:paraId="547FE3E8" w14:textId="77777777" w:rsidR="00527C2F" w:rsidRPr="00DF7687" w:rsidRDefault="00527C2F" w:rsidP="00527C2F">
      <w:pPr>
        <w:spacing w:after="0"/>
        <w:rPr>
          <w:rFonts w:ascii="Times New Roman" w:hAnsi="Times New Roman"/>
        </w:rPr>
      </w:pPr>
      <w:r w:rsidRPr="00DF7687">
        <w:rPr>
          <w:rFonts w:ascii="Times New Roman" w:hAnsi="Times New Roman"/>
        </w:rPr>
        <w:t>Nestleder Erik Graff, Juristforbundet</w:t>
      </w:r>
    </w:p>
    <w:p w14:paraId="49571160" w14:textId="77777777" w:rsidR="00527C2F" w:rsidRPr="00E33361" w:rsidRDefault="00527C2F" w:rsidP="00527C2F">
      <w:pPr>
        <w:keepNext/>
        <w:spacing w:before="180" w:after="60"/>
        <w:rPr>
          <w:rFonts w:ascii="Times New Roman" w:hAnsi="Times New Roman"/>
          <w:b/>
          <w:sz w:val="24"/>
          <w:u w:val="single"/>
        </w:rPr>
      </w:pPr>
      <w:r w:rsidRPr="00E33361">
        <w:rPr>
          <w:rFonts w:ascii="Times New Roman" w:hAnsi="Times New Roman"/>
          <w:b/>
          <w:sz w:val="24"/>
          <w:u w:val="single"/>
        </w:rPr>
        <w:t>Akademikerne helse</w:t>
      </w:r>
    </w:p>
    <w:p w14:paraId="2C425E67" w14:textId="77777777" w:rsidR="00527C2F" w:rsidRPr="00DF7687" w:rsidRDefault="00527C2F" w:rsidP="00527C2F">
      <w:pPr>
        <w:spacing w:after="0"/>
        <w:rPr>
          <w:rFonts w:ascii="Times New Roman" w:hAnsi="Times New Roman"/>
        </w:rPr>
      </w:pPr>
      <w:r w:rsidRPr="00DF7687">
        <w:rPr>
          <w:rFonts w:ascii="Times New Roman" w:hAnsi="Times New Roman"/>
        </w:rPr>
        <w:t>Leder Rune Frøyland, Norsk psykologforening</w:t>
      </w:r>
    </w:p>
    <w:p w14:paraId="092C56AF" w14:textId="77777777" w:rsidR="00527C2F" w:rsidRDefault="00527C2F" w:rsidP="00527C2F">
      <w:pPr>
        <w:spacing w:after="0"/>
        <w:rPr>
          <w:rFonts w:ascii="Times New Roman" w:hAnsi="Times New Roman"/>
        </w:rPr>
      </w:pPr>
      <w:r w:rsidRPr="00DF7687">
        <w:rPr>
          <w:rFonts w:ascii="Times New Roman" w:hAnsi="Times New Roman"/>
        </w:rPr>
        <w:t xml:space="preserve">Nestleder Marit Hermansen, Den norske legeforening </w:t>
      </w:r>
      <w:r>
        <w:rPr>
          <w:rFonts w:ascii="Times New Roman" w:hAnsi="Times New Roman"/>
        </w:rPr>
        <w:t>(t.o.m 31/8-2021)</w:t>
      </w:r>
    </w:p>
    <w:p w14:paraId="05063312" w14:textId="220D11DA" w:rsidR="00527C2F" w:rsidRPr="00DF7687" w:rsidRDefault="00527C2F" w:rsidP="00527C2F">
      <w:pPr>
        <w:spacing w:after="0"/>
        <w:rPr>
          <w:rFonts w:ascii="Times New Roman" w:hAnsi="Times New Roman"/>
        </w:rPr>
      </w:pPr>
      <w:r>
        <w:rPr>
          <w:rFonts w:ascii="Times New Roman" w:hAnsi="Times New Roman"/>
        </w:rPr>
        <w:t>Nestleder Anne-Karin Rime, Den norske legeforening (f.o.m 1/9-2021)</w:t>
      </w:r>
    </w:p>
    <w:p w14:paraId="59E1F58E" w14:textId="77777777" w:rsidR="00527C2F" w:rsidRPr="00E33361" w:rsidRDefault="00527C2F" w:rsidP="00527C2F">
      <w:pPr>
        <w:keepNext/>
        <w:spacing w:before="180" w:after="60"/>
        <w:rPr>
          <w:rFonts w:ascii="Times New Roman" w:hAnsi="Times New Roman"/>
          <w:b/>
          <w:sz w:val="24"/>
          <w:u w:val="single"/>
        </w:rPr>
      </w:pPr>
      <w:r w:rsidRPr="00E33361">
        <w:rPr>
          <w:rFonts w:ascii="Times New Roman" w:hAnsi="Times New Roman"/>
          <w:b/>
          <w:sz w:val="24"/>
          <w:u w:val="single"/>
        </w:rPr>
        <w:t>Akademikerne privat</w:t>
      </w:r>
    </w:p>
    <w:p w14:paraId="4C963562" w14:textId="77777777" w:rsidR="00527C2F" w:rsidRPr="00DF7687" w:rsidRDefault="00527C2F" w:rsidP="00527C2F">
      <w:pPr>
        <w:spacing w:after="0"/>
        <w:rPr>
          <w:rFonts w:ascii="Times New Roman" w:hAnsi="Times New Roman"/>
        </w:rPr>
      </w:pPr>
      <w:r w:rsidRPr="12DC08F0">
        <w:rPr>
          <w:rFonts w:ascii="Times New Roman" w:hAnsi="Times New Roman"/>
        </w:rPr>
        <w:t>Leder Marianne Gran Juriks, Tekna</w:t>
      </w:r>
    </w:p>
    <w:p w14:paraId="398AC08D" w14:textId="77777777" w:rsidR="00527C2F" w:rsidRPr="00DF7687" w:rsidRDefault="00527C2F" w:rsidP="00527C2F">
      <w:pPr>
        <w:spacing w:after="0"/>
        <w:rPr>
          <w:rFonts w:ascii="Times New Roman" w:hAnsi="Times New Roman"/>
        </w:rPr>
      </w:pPr>
      <w:r w:rsidRPr="12DC08F0">
        <w:rPr>
          <w:rFonts w:ascii="Times New Roman" w:hAnsi="Times New Roman"/>
        </w:rPr>
        <w:t>Nestleder Robert Kjøsnes, Afag</w:t>
      </w:r>
    </w:p>
    <w:p w14:paraId="5E435307" w14:textId="75D71388" w:rsidR="00527C2F" w:rsidRPr="00BD434E" w:rsidRDefault="00527C2F" w:rsidP="00527C2F">
      <w:pPr>
        <w:keepNext/>
        <w:spacing w:before="180" w:after="60"/>
        <w:rPr>
          <w:rFonts w:ascii="Times New Roman" w:hAnsi="Times New Roman"/>
          <w:b/>
          <w:sz w:val="24"/>
          <w:u w:val="single"/>
        </w:rPr>
      </w:pPr>
      <w:r w:rsidRPr="00BD434E">
        <w:rPr>
          <w:rFonts w:ascii="Times New Roman" w:hAnsi="Times New Roman"/>
          <w:b/>
          <w:sz w:val="24"/>
          <w:u w:val="single"/>
        </w:rPr>
        <w:t>Akademikerne næringsdrivende</w:t>
      </w:r>
    </w:p>
    <w:p w14:paraId="57D51D0A" w14:textId="77777777" w:rsidR="00527C2F" w:rsidRPr="00266331" w:rsidRDefault="00527C2F" w:rsidP="00F541F9">
      <w:pPr>
        <w:spacing w:after="0"/>
        <w:rPr>
          <w:rFonts w:ascii="Times New Roman" w:hAnsi="Times New Roman"/>
        </w:rPr>
      </w:pPr>
      <w:r w:rsidRPr="12DC08F0">
        <w:rPr>
          <w:rFonts w:ascii="Times New Roman" w:hAnsi="Times New Roman"/>
        </w:rPr>
        <w:t xml:space="preserve">Leder Michael </w:t>
      </w:r>
      <w:r w:rsidRPr="790781D2">
        <w:rPr>
          <w:rFonts w:ascii="Times New Roman" w:hAnsi="Times New Roman"/>
        </w:rPr>
        <w:t>Rummelhoff</w:t>
      </w:r>
      <w:r w:rsidRPr="12DC08F0">
        <w:rPr>
          <w:rFonts w:ascii="Times New Roman" w:hAnsi="Times New Roman"/>
        </w:rPr>
        <w:t>, Juristforbundet (t.o.m</w:t>
      </w:r>
      <w:r>
        <w:rPr>
          <w:rFonts w:ascii="Times New Roman" w:hAnsi="Times New Roman"/>
        </w:rPr>
        <w:t>.</w:t>
      </w:r>
      <w:r w:rsidRPr="12DC08F0">
        <w:rPr>
          <w:rFonts w:ascii="Times New Roman" w:hAnsi="Times New Roman"/>
        </w:rPr>
        <w:t xml:space="preserve"> </w:t>
      </w:r>
      <w:r>
        <w:rPr>
          <w:rFonts w:ascii="Times New Roman" w:hAnsi="Times New Roman"/>
        </w:rPr>
        <w:t>31. august 2022</w:t>
      </w:r>
      <w:r w:rsidRPr="12DC08F0">
        <w:rPr>
          <w:rFonts w:ascii="Times New Roman" w:hAnsi="Times New Roman"/>
        </w:rPr>
        <w:t>)</w:t>
      </w:r>
    </w:p>
    <w:p w14:paraId="25C7FF3F" w14:textId="77777777" w:rsidR="00527C2F" w:rsidRPr="00F541F9" w:rsidRDefault="00527C2F" w:rsidP="00F541F9">
      <w:pPr>
        <w:spacing w:after="0"/>
        <w:rPr>
          <w:rFonts w:ascii="Times New Roman" w:hAnsi="Times New Roman"/>
        </w:rPr>
      </w:pPr>
      <w:r w:rsidRPr="00266331">
        <w:rPr>
          <w:rFonts w:ascii="Times New Roman" w:hAnsi="Times New Roman"/>
        </w:rPr>
        <w:t>Nestleder</w:t>
      </w:r>
      <w:r>
        <w:rPr>
          <w:rFonts w:ascii="Times New Roman" w:hAnsi="Times New Roman"/>
        </w:rPr>
        <w:t xml:space="preserve"> Mette R. Fredriksen, </w:t>
      </w:r>
      <w:r w:rsidRPr="00266331">
        <w:rPr>
          <w:rFonts w:ascii="Times New Roman" w:hAnsi="Times New Roman"/>
        </w:rPr>
        <w:t>Den norske veterinærforening</w:t>
      </w:r>
    </w:p>
    <w:p w14:paraId="267C2DDD" w14:textId="77777777" w:rsidR="00D347BE" w:rsidRPr="00D347BE" w:rsidRDefault="00D347BE" w:rsidP="00D347BE">
      <w:pPr>
        <w:pStyle w:val="Listeavsnitt"/>
        <w:ind w:left="750"/>
      </w:pPr>
    </w:p>
    <w:p w14:paraId="05E45B53" w14:textId="111161F2" w:rsidR="001F588A" w:rsidRDefault="17AADDE6" w:rsidP="006752C8">
      <w:pPr>
        <w:pStyle w:val="Overskrift2"/>
      </w:pPr>
      <w:bookmarkStart w:id="22" w:name="_Toc114065540"/>
      <w:r>
        <w:t>2</w:t>
      </w:r>
      <w:r w:rsidR="003C3968">
        <w:t>.2</w:t>
      </w:r>
      <w:r w:rsidR="15C43517">
        <w:t xml:space="preserve">.1 </w:t>
      </w:r>
      <w:r w:rsidR="31493868">
        <w:t>Akademikerne stat</w:t>
      </w:r>
      <w:bookmarkEnd w:id="22"/>
    </w:p>
    <w:p w14:paraId="59AD964A" w14:textId="21F6023B" w:rsidR="49D5ABA2" w:rsidRDefault="49D5ABA2" w:rsidP="5D5DDA90">
      <w:pPr>
        <w:tabs>
          <w:tab w:val="left" w:pos="708"/>
        </w:tabs>
        <w:spacing w:before="200" w:after="0"/>
        <w:rPr>
          <w:rFonts w:ascii="Times New Roman" w:eastAsia="Times New Roman" w:hAnsi="Times New Roman" w:cs="Times New Roman"/>
          <w:b/>
          <w:bCs/>
        </w:rPr>
      </w:pPr>
      <w:r w:rsidRPr="5D5DDA90">
        <w:rPr>
          <w:rFonts w:ascii="Times New Roman" w:eastAsia="Times New Roman" w:hAnsi="Times New Roman" w:cs="Times New Roman"/>
          <w:b/>
          <w:bCs/>
        </w:rPr>
        <w:t>Mellomoppgjøret 2021</w:t>
      </w:r>
    </w:p>
    <w:p w14:paraId="683CF29B" w14:textId="5B33B117" w:rsidR="49D5ABA2" w:rsidRPr="00F541F9" w:rsidRDefault="49D5ABA2" w:rsidP="00F541F9">
      <w:pPr>
        <w:spacing w:after="0"/>
        <w:rPr>
          <w:rFonts w:ascii="Times New Roman" w:hAnsi="Times New Roman"/>
        </w:rPr>
      </w:pPr>
      <w:r w:rsidRPr="5D5DDA90">
        <w:rPr>
          <w:rFonts w:eastAsiaTheme="minorEastAsia"/>
        </w:rPr>
        <w:t xml:space="preserve">I </w:t>
      </w:r>
      <w:r w:rsidRPr="00F541F9">
        <w:rPr>
          <w:rFonts w:ascii="Times New Roman" w:hAnsi="Times New Roman"/>
        </w:rPr>
        <w:t>statlig sektor ble det brudd i forhandlingene for alle Hovedsammenslutningene. Gjennom</w:t>
      </w:r>
    </w:p>
    <w:p w14:paraId="18A32177" w14:textId="5212BD44" w:rsidR="49D5ABA2" w:rsidRPr="00F541F9" w:rsidRDefault="49D5ABA2" w:rsidP="00F541F9">
      <w:pPr>
        <w:spacing w:after="0"/>
        <w:rPr>
          <w:rFonts w:ascii="Times New Roman" w:hAnsi="Times New Roman"/>
        </w:rPr>
      </w:pPr>
      <w:r w:rsidRPr="00F541F9">
        <w:rPr>
          <w:rFonts w:ascii="Times New Roman" w:hAnsi="Times New Roman"/>
        </w:rPr>
        <w:t>mekling ble Akademikerne og staten enige om en økonomisk ramme tilsvarende anslaget i</w:t>
      </w:r>
    </w:p>
    <w:p w14:paraId="7395AD60" w14:textId="29C782F0" w:rsidR="49D5ABA2" w:rsidRPr="00F541F9" w:rsidRDefault="49D5ABA2" w:rsidP="00F541F9">
      <w:pPr>
        <w:spacing w:after="0"/>
        <w:rPr>
          <w:rFonts w:ascii="Times New Roman" w:hAnsi="Times New Roman"/>
        </w:rPr>
      </w:pPr>
      <w:r w:rsidRPr="00F541F9">
        <w:rPr>
          <w:rFonts w:ascii="Times New Roman" w:hAnsi="Times New Roman"/>
        </w:rPr>
        <w:t>frontfaget på 2,7</w:t>
      </w:r>
      <w:r w:rsidR="00F05EBA" w:rsidRPr="00F541F9">
        <w:rPr>
          <w:rFonts w:ascii="Times New Roman" w:hAnsi="Times New Roman"/>
        </w:rPr>
        <w:t xml:space="preserve"> prosent</w:t>
      </w:r>
      <w:r w:rsidRPr="00F541F9">
        <w:rPr>
          <w:rFonts w:ascii="Times New Roman" w:hAnsi="Times New Roman"/>
        </w:rPr>
        <w:t>. I praksis innebar dette en avsetning til lokale kollektive forhandlinger med</w:t>
      </w:r>
      <w:r w:rsidR="00F541F9">
        <w:rPr>
          <w:rFonts w:ascii="Times New Roman" w:hAnsi="Times New Roman"/>
        </w:rPr>
        <w:t xml:space="preserve"> </w:t>
      </w:r>
      <w:r w:rsidRPr="00F541F9">
        <w:rPr>
          <w:rFonts w:ascii="Times New Roman" w:hAnsi="Times New Roman"/>
        </w:rPr>
        <w:t xml:space="preserve">3,35 </w:t>
      </w:r>
      <w:r w:rsidR="00F05EBA" w:rsidRPr="00F541F9">
        <w:rPr>
          <w:rFonts w:ascii="Times New Roman" w:hAnsi="Times New Roman"/>
        </w:rPr>
        <w:t>prosent</w:t>
      </w:r>
      <w:r w:rsidRPr="00F541F9">
        <w:rPr>
          <w:rFonts w:ascii="Times New Roman" w:hAnsi="Times New Roman"/>
        </w:rPr>
        <w:t xml:space="preserve"> av Akademikernes lønnsmasse.</w:t>
      </w:r>
    </w:p>
    <w:p w14:paraId="7D0B11F6" w14:textId="5509E2F2" w:rsidR="49D5ABA2" w:rsidRPr="00F541F9" w:rsidRDefault="49D5ABA2" w:rsidP="00F541F9">
      <w:pPr>
        <w:spacing w:after="0"/>
        <w:rPr>
          <w:rFonts w:ascii="Times New Roman" w:hAnsi="Times New Roman"/>
        </w:rPr>
      </w:pPr>
      <w:r w:rsidRPr="00F541F9">
        <w:rPr>
          <w:rFonts w:ascii="Times New Roman" w:hAnsi="Times New Roman"/>
        </w:rPr>
        <w:t xml:space="preserve"> </w:t>
      </w:r>
    </w:p>
    <w:p w14:paraId="399FDD81" w14:textId="5E1FB6BE" w:rsidR="49D5ABA2" w:rsidRPr="00F541F9" w:rsidRDefault="49D5ABA2" w:rsidP="00F541F9">
      <w:pPr>
        <w:spacing w:after="0"/>
        <w:rPr>
          <w:rFonts w:ascii="Times New Roman" w:hAnsi="Times New Roman"/>
        </w:rPr>
      </w:pPr>
      <w:r w:rsidRPr="00F541F9">
        <w:rPr>
          <w:rFonts w:ascii="Times New Roman" w:hAnsi="Times New Roman"/>
        </w:rPr>
        <w:t>Hovedavtalen i staten skulle vært reforhandlet høsten 2021, men som følge av blant annet</w:t>
      </w:r>
    </w:p>
    <w:p w14:paraId="340923FC" w14:textId="136DA0F4" w:rsidR="49D5ABA2" w:rsidRPr="00F541F9" w:rsidRDefault="49D5ABA2" w:rsidP="00F541F9">
      <w:pPr>
        <w:spacing w:after="0"/>
        <w:rPr>
          <w:rFonts w:ascii="Times New Roman" w:hAnsi="Times New Roman"/>
        </w:rPr>
      </w:pPr>
      <w:r w:rsidRPr="00F541F9">
        <w:rPr>
          <w:rFonts w:ascii="Times New Roman" w:hAnsi="Times New Roman"/>
        </w:rPr>
        <w:t>koronasituasjonen ble avtalen prolongert ut 2022.</w:t>
      </w:r>
      <w:r w:rsidR="00F541F9">
        <w:rPr>
          <w:rFonts w:ascii="Times New Roman" w:hAnsi="Times New Roman"/>
        </w:rPr>
        <w:t xml:space="preserve"> </w:t>
      </w:r>
      <w:r w:rsidRPr="00F541F9">
        <w:rPr>
          <w:rFonts w:ascii="Times New Roman" w:hAnsi="Times New Roman"/>
        </w:rPr>
        <w:t xml:space="preserve">Som følge av korona-situasjonen ble partene </w:t>
      </w:r>
      <w:r w:rsidR="498452D7" w:rsidRPr="00F541F9">
        <w:rPr>
          <w:rFonts w:ascii="Times New Roman" w:hAnsi="Times New Roman"/>
        </w:rPr>
        <w:t xml:space="preserve">også </w:t>
      </w:r>
      <w:r w:rsidRPr="00F541F9">
        <w:rPr>
          <w:rFonts w:ascii="Times New Roman" w:hAnsi="Times New Roman"/>
        </w:rPr>
        <w:t xml:space="preserve">enige om å </w:t>
      </w:r>
      <w:r w:rsidR="5AFBFE68" w:rsidRPr="00F541F9">
        <w:rPr>
          <w:rFonts w:ascii="Times New Roman" w:hAnsi="Times New Roman"/>
        </w:rPr>
        <w:t>viderefø</w:t>
      </w:r>
      <w:r w:rsidR="3912FDCA" w:rsidRPr="00F541F9">
        <w:rPr>
          <w:rFonts w:ascii="Times New Roman" w:hAnsi="Times New Roman"/>
        </w:rPr>
        <w:t>r</w:t>
      </w:r>
      <w:r w:rsidR="5AFBFE68" w:rsidRPr="00F541F9">
        <w:rPr>
          <w:rFonts w:ascii="Times New Roman" w:hAnsi="Times New Roman"/>
        </w:rPr>
        <w:t>e</w:t>
      </w:r>
      <w:r w:rsidRPr="00F541F9">
        <w:rPr>
          <w:rFonts w:ascii="Times New Roman" w:hAnsi="Times New Roman"/>
        </w:rPr>
        <w:t xml:space="preserve"> </w:t>
      </w:r>
      <w:r w:rsidR="2C7F9ABC" w:rsidRPr="00F541F9">
        <w:rPr>
          <w:rFonts w:ascii="Times New Roman" w:hAnsi="Times New Roman"/>
        </w:rPr>
        <w:t>ut året</w:t>
      </w:r>
      <w:r w:rsidRPr="00F541F9">
        <w:rPr>
          <w:rFonts w:ascii="Times New Roman" w:hAnsi="Times New Roman"/>
        </w:rPr>
        <w:t xml:space="preserve"> tidligere avtalt suspensjon</w:t>
      </w:r>
      <w:r w:rsidR="00F541F9">
        <w:rPr>
          <w:rFonts w:ascii="Times New Roman" w:hAnsi="Times New Roman"/>
        </w:rPr>
        <w:t xml:space="preserve"> </w:t>
      </w:r>
      <w:r w:rsidRPr="00F541F9">
        <w:rPr>
          <w:rFonts w:ascii="Times New Roman" w:hAnsi="Times New Roman"/>
        </w:rPr>
        <w:t xml:space="preserve">av kjernetidsbestemmelsene i særavtale om fleksibel arbeidstid. </w:t>
      </w:r>
    </w:p>
    <w:p w14:paraId="470CBCB7" w14:textId="77777777" w:rsidR="00F541F9" w:rsidRDefault="00F541F9" w:rsidP="5D5DDA90">
      <w:pPr>
        <w:rPr>
          <w:rFonts w:ascii="Calibri" w:eastAsia="Calibri" w:hAnsi="Calibri" w:cs="Calibri"/>
          <w:b/>
          <w:bCs/>
        </w:rPr>
      </w:pPr>
    </w:p>
    <w:p w14:paraId="3CD95B9F" w14:textId="6678C08F" w:rsidR="49D5ABA2" w:rsidRDefault="49D5ABA2" w:rsidP="5D5DDA90">
      <w:r w:rsidRPr="00F541F9">
        <w:rPr>
          <w:rFonts w:eastAsia="Calibri" w:cstheme="minorHAnsi"/>
          <w:b/>
        </w:rPr>
        <w:t>Hovedtariffoppgjøret 2022</w:t>
      </w:r>
    </w:p>
    <w:p w14:paraId="421DB8A9" w14:textId="77777777" w:rsidR="00F541F9" w:rsidRDefault="49D5ABA2" w:rsidP="00F541F9">
      <w:pPr>
        <w:spacing w:after="0"/>
        <w:rPr>
          <w:rFonts w:ascii="Times New Roman" w:hAnsi="Times New Roman"/>
        </w:rPr>
      </w:pPr>
      <w:r w:rsidRPr="00F541F9">
        <w:rPr>
          <w:rFonts w:ascii="Times New Roman" w:hAnsi="Times New Roman"/>
        </w:rPr>
        <w:t>Hovedtariffoppgjøret i staten startet 20. april</w:t>
      </w:r>
      <w:r w:rsidR="00F541F9" w:rsidRPr="00F541F9">
        <w:rPr>
          <w:rFonts w:ascii="Times New Roman" w:hAnsi="Times New Roman"/>
        </w:rPr>
        <w:t xml:space="preserve"> og endte med </w:t>
      </w:r>
      <w:r w:rsidRPr="00F541F9">
        <w:rPr>
          <w:rFonts w:ascii="Times New Roman" w:hAnsi="Times New Roman"/>
        </w:rPr>
        <w:t xml:space="preserve">brudd for alle </w:t>
      </w:r>
      <w:r w:rsidR="00F541F9">
        <w:rPr>
          <w:rFonts w:ascii="Times New Roman" w:hAnsi="Times New Roman"/>
        </w:rPr>
        <w:t>h</w:t>
      </w:r>
      <w:r w:rsidRPr="00F541F9">
        <w:rPr>
          <w:rFonts w:ascii="Times New Roman" w:hAnsi="Times New Roman"/>
        </w:rPr>
        <w:t xml:space="preserve">ovedsammenslutningene 29. april. Meklingen hadde oppstart 2. mai, med meklingsfrist 23. mai. Akademikerne ble 24. mai enige med staten om ny hovedtariffavtale. </w:t>
      </w:r>
    </w:p>
    <w:p w14:paraId="60A04D68" w14:textId="25FBC176" w:rsidR="49D5ABA2" w:rsidRPr="00F541F9" w:rsidRDefault="49D5ABA2" w:rsidP="00F541F9">
      <w:pPr>
        <w:spacing w:before="240" w:after="0"/>
        <w:rPr>
          <w:rFonts w:ascii="Times New Roman" w:hAnsi="Times New Roman"/>
        </w:rPr>
      </w:pPr>
      <w:r w:rsidRPr="00F541F9">
        <w:rPr>
          <w:rFonts w:ascii="Times New Roman" w:hAnsi="Times New Roman"/>
        </w:rPr>
        <w:lastRenderedPageBreak/>
        <w:t xml:space="preserve">Etter hovedtariffoppgjøret 2022 har Akademikerne og Unio likelydende avtaler. Rammen for oppgjøret er anslått til 3,84 prosent, noe som innebærer at 2,46 prosent fordeles i sin helhet til lokale, kollektive forhandlinger med virkning fra 1. mai 2022.  </w:t>
      </w:r>
    </w:p>
    <w:p w14:paraId="21F31775" w14:textId="507389BD" w:rsidR="49D5ABA2" w:rsidRDefault="49D5ABA2" w:rsidP="00F541F9">
      <w:pPr>
        <w:spacing w:after="0"/>
        <w:rPr>
          <w:rFonts w:eastAsiaTheme="minorEastAsia"/>
        </w:rPr>
      </w:pPr>
      <w:r>
        <w:rPr>
          <w:rFonts w:eastAsiaTheme="minorEastAsia"/>
        </w:rPr>
        <w:t>A</w:t>
      </w:r>
      <w:r w:rsidRPr="00F541F9">
        <w:rPr>
          <w:rFonts w:eastAsiaTheme="minorEastAsia"/>
        </w:rPr>
        <w:t>kademikerne har i flere år hatt en lønnsstige på ti år. I årets oppgjør ble det i tillegg innført en lønnsstige på 16 år. Denne stigen har en årlig stigning på 1,1 prosent de første ti årene og deretter 0,55 prosent årlig stigning de siste seks årene. De lokale parter har tidligere hatt muligheter til å avtale inntil seks fridager pr. år som et seniorpolitikks tiltak. Etter oppgjøret i 2022 kan lokale parter</w:t>
      </w:r>
      <w:r w:rsidR="005B3C97">
        <w:rPr>
          <w:rFonts w:eastAsiaTheme="minorEastAsia"/>
        </w:rPr>
        <w:t>,</w:t>
      </w:r>
      <w:r>
        <w:rPr>
          <w:rFonts w:eastAsiaTheme="minorEastAsia"/>
        </w:rPr>
        <w:t xml:space="preserve"> </w:t>
      </w:r>
      <w:r w:rsidRPr="00F541F9">
        <w:rPr>
          <w:rFonts w:eastAsiaTheme="minorEastAsia"/>
        </w:rPr>
        <w:t>som et alternativ</w:t>
      </w:r>
      <w:r w:rsidR="005B3C97">
        <w:rPr>
          <w:rFonts w:eastAsiaTheme="minorEastAsia"/>
        </w:rPr>
        <w:t>,</w:t>
      </w:r>
      <w:r w:rsidRPr="00F541F9">
        <w:rPr>
          <w:rFonts w:eastAsiaTheme="minorEastAsia"/>
        </w:rPr>
        <w:t xml:space="preserve"> avtale karriere- og kompetansemessige tiltak. </w:t>
      </w:r>
    </w:p>
    <w:p w14:paraId="441A29D2" w14:textId="77777777" w:rsidR="00F541F9" w:rsidRPr="00F541F9" w:rsidRDefault="00F541F9" w:rsidP="00F541F9">
      <w:pPr>
        <w:spacing w:after="0"/>
        <w:rPr>
          <w:rFonts w:eastAsiaTheme="minorEastAsia"/>
        </w:rPr>
      </w:pPr>
    </w:p>
    <w:p w14:paraId="65F45D0E" w14:textId="7ABC113E" w:rsidR="49D5ABA2" w:rsidRDefault="49D5ABA2" w:rsidP="00F541F9">
      <w:pPr>
        <w:spacing w:after="0"/>
      </w:pPr>
      <w:r w:rsidRPr="00F541F9">
        <w:rPr>
          <w:rFonts w:eastAsiaTheme="minorEastAsia"/>
        </w:rPr>
        <w:t xml:space="preserve">Partene ble enige om å </w:t>
      </w:r>
      <w:r w:rsidR="009C1C7D">
        <w:rPr>
          <w:rFonts w:eastAsiaTheme="minorEastAsia"/>
        </w:rPr>
        <w:t xml:space="preserve">sette ned en </w:t>
      </w:r>
      <w:r w:rsidRPr="00F541F9">
        <w:rPr>
          <w:rFonts w:eastAsiaTheme="minorEastAsia"/>
        </w:rPr>
        <w:t>partssammensatt gruppe</w:t>
      </w:r>
      <w:r w:rsidR="009C1C7D">
        <w:rPr>
          <w:rFonts w:eastAsiaTheme="minorEastAsia"/>
        </w:rPr>
        <w:t xml:space="preserve"> som</w:t>
      </w:r>
      <w:r w:rsidRPr="00F541F9">
        <w:rPr>
          <w:rFonts w:eastAsiaTheme="minorEastAsia"/>
        </w:rPr>
        <w:t xml:space="preserve"> skal kartlegge hvordan virksomhetene praktiserer reisetid og vurdere om praksisen er i tråd med regelverket på området. Videre skal en gruppe jobbe videre med vilkårene for hjemmekontor. Gruppen skal blant annet vurdere forsikringsordninger, dekning av kostnader til utstyr og hvordan forsvarlige arbeidsforhold på hjemmekontor kan ivaretas. Partene ble også enige om å gjennomgå helheten i stillingskodesystemet i staten slik at det er tilpasset behovet til arbeidsgivere, ansatte og publikum.</w:t>
      </w:r>
    </w:p>
    <w:p w14:paraId="6B89772D" w14:textId="28E1C6BC" w:rsidR="5D5DDA90" w:rsidRDefault="5D5DDA90" w:rsidP="5D5DDA90"/>
    <w:p w14:paraId="00BD5798" w14:textId="7A9E13FC" w:rsidR="001F588A" w:rsidRPr="00E67FED" w:rsidRDefault="0011289A" w:rsidP="001252BD">
      <w:pPr>
        <w:pStyle w:val="Overskrift2"/>
        <w:rPr>
          <w:b w:val="0"/>
        </w:rPr>
      </w:pPr>
      <w:bookmarkStart w:id="23" w:name="_Toc114065541"/>
      <w:bookmarkStart w:id="24" w:name="_Toc522810448"/>
      <w:r>
        <w:t>2.2</w:t>
      </w:r>
      <w:r w:rsidR="003C3968">
        <w:t>.2</w:t>
      </w:r>
      <w:r>
        <w:t xml:space="preserve"> </w:t>
      </w:r>
      <w:r w:rsidR="001F588A" w:rsidRPr="00E67FED">
        <w:t>Akademikerne kommune</w:t>
      </w:r>
      <w:r w:rsidR="002C3020">
        <w:t xml:space="preserve"> - KS</w:t>
      </w:r>
      <w:bookmarkEnd w:id="23"/>
    </w:p>
    <w:p w14:paraId="4D22A21A" w14:textId="228383B3" w:rsidR="2854A89C" w:rsidRPr="008E173A" w:rsidRDefault="2854A89C" w:rsidP="2854A89C">
      <w:pPr>
        <w:pStyle w:val="Overskrift2"/>
        <w:rPr>
          <w:rStyle w:val="Overskrift2Tegn"/>
          <w:rFonts w:asciiTheme="minorHAnsi" w:eastAsiaTheme="minorEastAsia" w:hAnsiTheme="minorHAnsi" w:cstheme="minorBidi"/>
          <w:b/>
          <w:color w:val="auto"/>
          <w:sz w:val="22"/>
          <w:szCs w:val="22"/>
        </w:rPr>
      </w:pPr>
      <w:bookmarkStart w:id="25" w:name="_Toc114065542"/>
      <w:r w:rsidRPr="008E173A">
        <w:rPr>
          <w:rStyle w:val="Overskrift2Tegn"/>
          <w:rFonts w:asciiTheme="minorHAnsi" w:eastAsiaTheme="minorEastAsia" w:hAnsiTheme="minorHAnsi" w:cstheme="minorBidi"/>
          <w:b/>
          <w:color w:val="auto"/>
          <w:sz w:val="22"/>
          <w:szCs w:val="22"/>
        </w:rPr>
        <w:t>Mellomoppgjøret 2021</w:t>
      </w:r>
      <w:bookmarkEnd w:id="25"/>
    </w:p>
    <w:p w14:paraId="7D623ECE" w14:textId="6B79A1BF" w:rsidR="2854A89C" w:rsidRDefault="009C1C7D" w:rsidP="09D7C99A">
      <w:pPr>
        <w:pStyle w:val="Overskrift2"/>
        <w:rPr>
          <w:rStyle w:val="Overskrift2Tegn"/>
          <w:rFonts w:asciiTheme="minorHAnsi" w:eastAsiaTheme="minorEastAsia" w:hAnsiTheme="minorHAnsi" w:cstheme="minorBidi"/>
          <w:color w:val="auto"/>
          <w:sz w:val="22"/>
          <w:szCs w:val="22"/>
        </w:rPr>
      </w:pPr>
      <w:bookmarkStart w:id="26" w:name="_Toc114065543"/>
      <w:r>
        <w:rPr>
          <w:rStyle w:val="Overskrift2Tegn"/>
          <w:rFonts w:asciiTheme="minorHAnsi" w:eastAsiaTheme="minorEastAsia" w:hAnsiTheme="minorHAnsi" w:cstheme="minorBidi"/>
          <w:color w:val="auto"/>
          <w:sz w:val="22"/>
          <w:szCs w:val="22"/>
        </w:rPr>
        <w:t>O</w:t>
      </w:r>
      <w:r w:rsidR="0564D58D" w:rsidRPr="09D7C99A">
        <w:rPr>
          <w:rStyle w:val="Overskrift2Tegn"/>
          <w:rFonts w:asciiTheme="minorHAnsi" w:eastAsiaTheme="minorEastAsia" w:hAnsiTheme="minorHAnsi" w:cstheme="minorBidi"/>
          <w:color w:val="auto"/>
          <w:sz w:val="22"/>
          <w:szCs w:val="22"/>
        </w:rPr>
        <w:t xml:space="preserve">ppgjøret for alle forhandlingssammenslutningene </w:t>
      </w:r>
      <w:r>
        <w:rPr>
          <w:rStyle w:val="Overskrift2Tegn"/>
          <w:rFonts w:asciiTheme="minorHAnsi" w:eastAsiaTheme="minorEastAsia" w:hAnsiTheme="minorHAnsi" w:cstheme="minorBidi"/>
          <w:color w:val="auto"/>
          <w:sz w:val="22"/>
          <w:szCs w:val="22"/>
        </w:rPr>
        <w:t xml:space="preserve">gikk </w:t>
      </w:r>
      <w:r w:rsidR="0564D58D" w:rsidRPr="09D7C99A">
        <w:rPr>
          <w:rStyle w:val="Overskrift2Tegn"/>
          <w:rFonts w:asciiTheme="minorHAnsi" w:eastAsiaTheme="minorEastAsia" w:hAnsiTheme="minorHAnsi" w:cstheme="minorBidi"/>
          <w:color w:val="auto"/>
          <w:sz w:val="22"/>
          <w:szCs w:val="22"/>
        </w:rPr>
        <w:t>til mekling. Meklingsresultatet innebar en økonomisk ramme for lektorene (kapittel 4) på 2,82</w:t>
      </w:r>
      <w:r w:rsidR="00F05EBA">
        <w:rPr>
          <w:rStyle w:val="Overskrift2Tegn"/>
          <w:rFonts w:asciiTheme="minorHAnsi" w:eastAsiaTheme="minorEastAsia" w:hAnsiTheme="minorHAnsi" w:cstheme="minorBidi"/>
          <w:color w:val="auto"/>
          <w:sz w:val="22"/>
          <w:szCs w:val="22"/>
        </w:rPr>
        <w:t xml:space="preserve"> prosent</w:t>
      </w:r>
      <w:r w:rsidR="0564D58D" w:rsidRPr="09D7C99A">
        <w:rPr>
          <w:rStyle w:val="Overskrift2Tegn"/>
          <w:rFonts w:asciiTheme="minorHAnsi" w:eastAsiaTheme="minorEastAsia" w:hAnsiTheme="minorHAnsi" w:cstheme="minorBidi"/>
          <w:color w:val="auto"/>
          <w:sz w:val="22"/>
          <w:szCs w:val="22"/>
        </w:rPr>
        <w:t xml:space="preserve">. Av dette ble det avsatt midler på 1,0 </w:t>
      </w:r>
      <w:r w:rsidR="00F05EBA">
        <w:rPr>
          <w:rStyle w:val="Overskrift2Tegn"/>
          <w:rFonts w:asciiTheme="minorHAnsi" w:eastAsiaTheme="minorEastAsia" w:hAnsiTheme="minorHAnsi" w:cstheme="minorBidi"/>
          <w:color w:val="auto"/>
          <w:sz w:val="22"/>
          <w:szCs w:val="22"/>
        </w:rPr>
        <w:t>prosent</w:t>
      </w:r>
      <w:r w:rsidR="0564D58D" w:rsidRPr="09D7C99A">
        <w:rPr>
          <w:rStyle w:val="Overskrift2Tegn"/>
          <w:rFonts w:asciiTheme="minorHAnsi" w:eastAsiaTheme="minorEastAsia" w:hAnsiTheme="minorHAnsi" w:cstheme="minorBidi"/>
          <w:color w:val="auto"/>
          <w:sz w:val="22"/>
          <w:szCs w:val="22"/>
        </w:rPr>
        <w:t xml:space="preserve"> pr 01.10.2021 til lokale forhandlinger i kapittel 4. </w:t>
      </w:r>
      <w:r w:rsidR="2EFDEF92" w:rsidRPr="09D7C99A">
        <w:rPr>
          <w:rStyle w:val="Overskrift2Tegn"/>
          <w:rFonts w:asciiTheme="minorHAnsi" w:eastAsiaTheme="minorEastAsia" w:hAnsiTheme="minorHAnsi" w:cstheme="minorBidi"/>
          <w:color w:val="auto"/>
          <w:sz w:val="22"/>
          <w:szCs w:val="22"/>
        </w:rPr>
        <w:t>Norsk Lektorlag aksepterte ikke meklingsresultatet og tok ut 44 av sine medlemmer i streik</w:t>
      </w:r>
      <w:r>
        <w:rPr>
          <w:rStyle w:val="Overskrift2Tegn"/>
          <w:rFonts w:asciiTheme="minorHAnsi" w:eastAsiaTheme="minorEastAsia" w:hAnsiTheme="minorHAnsi" w:cstheme="minorBidi"/>
          <w:color w:val="auto"/>
          <w:sz w:val="22"/>
          <w:szCs w:val="22"/>
        </w:rPr>
        <w:t>. Denne</w:t>
      </w:r>
      <w:r w:rsidR="2EFDEF92" w:rsidRPr="09D7C99A">
        <w:rPr>
          <w:rStyle w:val="Overskrift2Tegn"/>
          <w:rFonts w:asciiTheme="minorHAnsi" w:eastAsiaTheme="minorEastAsia" w:hAnsiTheme="minorHAnsi" w:cstheme="minorBidi"/>
          <w:color w:val="auto"/>
          <w:sz w:val="22"/>
          <w:szCs w:val="22"/>
        </w:rPr>
        <w:t xml:space="preserve"> ble avsluttet 11.06.22</w:t>
      </w:r>
      <w:r>
        <w:rPr>
          <w:rStyle w:val="Overskrift2Tegn"/>
          <w:rFonts w:asciiTheme="minorHAnsi" w:eastAsiaTheme="minorEastAsia" w:hAnsiTheme="minorHAnsi" w:cstheme="minorBidi"/>
          <w:color w:val="auto"/>
          <w:sz w:val="22"/>
          <w:szCs w:val="22"/>
        </w:rPr>
        <w:t xml:space="preserve"> og Lektorlaget</w:t>
      </w:r>
      <w:r w:rsidR="2EFDEF92" w:rsidRPr="09D7C99A">
        <w:rPr>
          <w:rStyle w:val="Overskrift2Tegn"/>
          <w:rFonts w:asciiTheme="minorHAnsi" w:eastAsiaTheme="minorEastAsia" w:hAnsiTheme="minorHAnsi" w:cstheme="minorBidi"/>
          <w:color w:val="auto"/>
          <w:sz w:val="22"/>
          <w:szCs w:val="22"/>
        </w:rPr>
        <w:t xml:space="preserve"> tilsluttet seg meklerens forslag. </w:t>
      </w:r>
      <w:r w:rsidR="0564D58D" w:rsidRPr="09D7C99A">
        <w:rPr>
          <w:rStyle w:val="Overskrift2Tegn"/>
          <w:rFonts w:asciiTheme="minorHAnsi" w:eastAsiaTheme="minorEastAsia" w:hAnsiTheme="minorHAnsi" w:cstheme="minorBidi"/>
          <w:color w:val="auto"/>
          <w:sz w:val="22"/>
          <w:szCs w:val="22"/>
        </w:rPr>
        <w:t>Videre ble det gjennomført kollektive lokale forhandlinger for Akademikernes medlemmer i kapittel 3 og 5.</w:t>
      </w:r>
      <w:bookmarkEnd w:id="26"/>
      <w:r w:rsidR="586E4D7F" w:rsidRPr="09D7C99A">
        <w:rPr>
          <w:rStyle w:val="Overskrift2Tegn"/>
          <w:rFonts w:asciiTheme="minorHAnsi" w:eastAsiaTheme="minorEastAsia" w:hAnsiTheme="minorHAnsi" w:cstheme="minorBidi"/>
          <w:color w:val="auto"/>
          <w:sz w:val="22"/>
          <w:szCs w:val="22"/>
        </w:rPr>
        <w:t xml:space="preserve"> </w:t>
      </w:r>
    </w:p>
    <w:p w14:paraId="5CA453A8" w14:textId="6A8F68B6" w:rsidR="2854A89C" w:rsidRDefault="0564D58D" w:rsidP="09D7C99A">
      <w:pPr>
        <w:pStyle w:val="Overskrift2"/>
        <w:rPr>
          <w:rStyle w:val="Overskrift2Tegn"/>
          <w:rFonts w:asciiTheme="minorHAnsi" w:eastAsiaTheme="minorEastAsia" w:hAnsiTheme="minorHAnsi" w:cstheme="minorBidi"/>
          <w:color w:val="auto"/>
          <w:sz w:val="22"/>
          <w:szCs w:val="22"/>
        </w:rPr>
      </w:pPr>
      <w:bookmarkStart w:id="27" w:name="_Toc114065544"/>
      <w:r w:rsidRPr="09D7C99A">
        <w:rPr>
          <w:rStyle w:val="Overskrift2Tegn"/>
          <w:rFonts w:asciiTheme="minorHAnsi" w:eastAsiaTheme="minorEastAsia" w:hAnsiTheme="minorHAnsi" w:cstheme="minorBidi"/>
          <w:color w:val="auto"/>
          <w:sz w:val="22"/>
          <w:szCs w:val="22"/>
        </w:rPr>
        <w:t>Høsten 2021 ble Hovedavtalen reforhandlet, og i januar 2022 ble partene enige om ny Hovedavtale i KS-området med varighet fra 01.01.2022 til 31.12.2023.</w:t>
      </w:r>
      <w:bookmarkEnd w:id="27"/>
    </w:p>
    <w:p w14:paraId="1DB05AB9" w14:textId="25C09F52" w:rsidR="5C782271" w:rsidRDefault="5C782271" w:rsidP="2D2CC39E">
      <w:r>
        <w:t xml:space="preserve">I november ble ny pensjonsavtale </w:t>
      </w:r>
      <w:r w:rsidR="4F784844">
        <w:t xml:space="preserve">(SGS2020) </w:t>
      </w:r>
      <w:r>
        <w:t>gjeldende fra 1.</w:t>
      </w:r>
      <w:r w:rsidR="57F4B722">
        <w:t xml:space="preserve">1.2022 til 31.12.2023 </w:t>
      </w:r>
      <w:r>
        <w:t>forhandlet frem</w:t>
      </w:r>
      <w:r w:rsidR="6CA9F97A">
        <w:t>.</w:t>
      </w:r>
      <w:r w:rsidR="1056D3D4">
        <w:t xml:space="preserve"> De viktigste endringene </w:t>
      </w:r>
      <w:r w:rsidR="1CAD6237">
        <w:t>innebærer</w:t>
      </w:r>
      <w:r w:rsidR="5BA2D544">
        <w:t xml:space="preserve"> at </w:t>
      </w:r>
      <w:r w:rsidR="1056D3D4">
        <w:t>det skal betales full premie i inntil 3 år for arbeidstakere som har ulønnet permisjon og mottar pleiepenger</w:t>
      </w:r>
      <w:r w:rsidR="066AC5DE">
        <w:t xml:space="preserve"> og at beløpet AFP-pensjonister kan tjene, uten avkortning i pensjon, er økt til kr 30</w:t>
      </w:r>
      <w:r w:rsidR="00442265">
        <w:t xml:space="preserve"> </w:t>
      </w:r>
      <w:r w:rsidR="066AC5DE">
        <w:t>000,-</w:t>
      </w:r>
      <w:r w:rsidR="34DEBB04">
        <w:t xml:space="preserve"> i året.</w:t>
      </w:r>
    </w:p>
    <w:p w14:paraId="776B99F6" w14:textId="065E43AC" w:rsidR="2854A89C" w:rsidRDefault="0564D58D" w:rsidP="09D7C99A">
      <w:pPr>
        <w:pStyle w:val="Overskrift2"/>
        <w:rPr>
          <w:rStyle w:val="Overskrift2Tegn"/>
          <w:rFonts w:asciiTheme="minorHAnsi" w:eastAsiaTheme="minorEastAsia" w:hAnsiTheme="minorHAnsi" w:cstheme="minorBidi"/>
          <w:color w:val="auto"/>
          <w:sz w:val="22"/>
          <w:szCs w:val="22"/>
        </w:rPr>
      </w:pPr>
      <w:bookmarkStart w:id="28" w:name="_Toc114065545"/>
      <w:r w:rsidRPr="09D7C99A">
        <w:rPr>
          <w:rStyle w:val="Overskrift2Tegn"/>
          <w:rFonts w:asciiTheme="minorHAnsi" w:eastAsiaTheme="minorEastAsia" w:hAnsiTheme="minorHAnsi" w:cstheme="minorBidi"/>
          <w:color w:val="auto"/>
          <w:sz w:val="22"/>
          <w:szCs w:val="22"/>
        </w:rPr>
        <w:lastRenderedPageBreak/>
        <w:t>Desember 2021 inngikk partene en “Korona-avtale” om kompensasjon for ekstra arbeidstid, for å mobilisere arbeidskraft. Avtalen gjaldt helse- og omsorgssektoren, utdanningspersonell og ledere unntatt arbeidstidsbestemmelsene</w:t>
      </w:r>
      <w:r w:rsidR="6B1DDE89" w:rsidRPr="09D7C99A">
        <w:rPr>
          <w:rStyle w:val="Overskrift2Tegn"/>
          <w:rFonts w:asciiTheme="minorHAnsi" w:eastAsiaTheme="minorEastAsia" w:hAnsiTheme="minorHAnsi" w:cstheme="minorBidi"/>
          <w:color w:val="auto"/>
          <w:sz w:val="22"/>
          <w:szCs w:val="22"/>
        </w:rPr>
        <w:t>,</w:t>
      </w:r>
      <w:r w:rsidRPr="09D7C99A">
        <w:rPr>
          <w:rStyle w:val="Overskrift2Tegn"/>
          <w:rFonts w:asciiTheme="minorHAnsi" w:eastAsiaTheme="minorEastAsia" w:hAnsiTheme="minorHAnsi" w:cstheme="minorBidi"/>
          <w:color w:val="auto"/>
          <w:sz w:val="22"/>
          <w:szCs w:val="22"/>
        </w:rPr>
        <w:t xml:space="preserve"> og ha</w:t>
      </w:r>
      <w:r w:rsidR="1C7CAD86" w:rsidRPr="09D7C99A">
        <w:rPr>
          <w:rStyle w:val="Overskrift2Tegn"/>
          <w:rFonts w:asciiTheme="minorHAnsi" w:eastAsiaTheme="minorEastAsia" w:hAnsiTheme="minorHAnsi" w:cstheme="minorBidi"/>
          <w:color w:val="auto"/>
          <w:sz w:val="22"/>
          <w:szCs w:val="22"/>
        </w:rPr>
        <w:t>dde</w:t>
      </w:r>
      <w:r w:rsidRPr="09D7C99A">
        <w:rPr>
          <w:rStyle w:val="Overskrift2Tegn"/>
          <w:rFonts w:asciiTheme="minorHAnsi" w:eastAsiaTheme="minorEastAsia" w:hAnsiTheme="minorHAnsi" w:cstheme="minorBidi"/>
          <w:color w:val="auto"/>
          <w:sz w:val="22"/>
          <w:szCs w:val="22"/>
        </w:rPr>
        <w:t xml:space="preserve"> en varighet fra 20.12.2021 til 30.04.2022</w:t>
      </w:r>
      <w:bookmarkEnd w:id="28"/>
    </w:p>
    <w:p w14:paraId="3477B302" w14:textId="4C74A562" w:rsidR="2854A89C" w:rsidRPr="002E26F3" w:rsidRDefault="0966B449" w:rsidP="2854A89C">
      <w:pPr>
        <w:rPr>
          <w:rFonts w:eastAsiaTheme="minorEastAsia"/>
          <w:b/>
        </w:rPr>
      </w:pPr>
      <w:r w:rsidRPr="002E26F3">
        <w:rPr>
          <w:rFonts w:eastAsiaTheme="minorEastAsia"/>
          <w:b/>
        </w:rPr>
        <w:t>Hovedtariffoppgjøret 2022</w:t>
      </w:r>
    </w:p>
    <w:p w14:paraId="30CF2DE7" w14:textId="635411B0" w:rsidR="2854A89C" w:rsidRDefault="7C48098B" w:rsidP="09D7C99A">
      <w:pPr>
        <w:rPr>
          <w:rFonts w:eastAsiaTheme="minorEastAsia"/>
        </w:rPr>
      </w:pPr>
      <w:r w:rsidRPr="09D7C99A">
        <w:rPr>
          <w:rFonts w:eastAsiaTheme="minorEastAsia"/>
        </w:rPr>
        <w:t>Hovedtariffoppgjøret i KS-området startet 6</w:t>
      </w:r>
      <w:r w:rsidR="0E0D967A" w:rsidRPr="09D7C99A">
        <w:rPr>
          <w:rFonts w:eastAsiaTheme="minorEastAsia"/>
        </w:rPr>
        <w:t>.</w:t>
      </w:r>
      <w:r w:rsidRPr="09D7C99A">
        <w:rPr>
          <w:rFonts w:eastAsiaTheme="minorEastAsia"/>
        </w:rPr>
        <w:t xml:space="preserve"> april og ble avsluttet med en bruddprotokoll 29. april. Oppgjøret gikk til mekling med a</w:t>
      </w:r>
      <w:r w:rsidR="39006D5C" w:rsidRPr="09D7C99A">
        <w:rPr>
          <w:rFonts w:eastAsiaTheme="minorEastAsia"/>
        </w:rPr>
        <w:t xml:space="preserve">lle hovedsammenslutningene. </w:t>
      </w:r>
      <w:r w:rsidR="70569336" w:rsidRPr="09D7C99A">
        <w:rPr>
          <w:rFonts w:eastAsiaTheme="minorEastAsia"/>
        </w:rPr>
        <w:t xml:space="preserve">Meklingsresultatet ble godkjent av 37 av forbundene i Akademikerne, Unio, YS og LO. Norsk Lektorlag, Utdanningsforbundet og Skolenes Landsforbund aksepterte ikke resultatet og er i streik. </w:t>
      </w:r>
      <w:r w:rsidR="00DF42D1">
        <w:rPr>
          <w:rFonts w:eastAsiaTheme="minorEastAsia"/>
        </w:rPr>
        <w:t xml:space="preserve">Norsk </w:t>
      </w:r>
      <w:r w:rsidR="004E4E1A">
        <w:rPr>
          <w:rFonts w:eastAsiaTheme="minorEastAsia"/>
        </w:rPr>
        <w:t>Lektorlags</w:t>
      </w:r>
      <w:r w:rsidR="00AF11AD">
        <w:rPr>
          <w:rFonts w:eastAsiaTheme="minorEastAsia"/>
        </w:rPr>
        <w:t xml:space="preserve"> hovedkrav inn i forhandlingene</w:t>
      </w:r>
      <w:r w:rsidR="00EE2362">
        <w:rPr>
          <w:rFonts w:eastAsiaTheme="minorEastAsia"/>
        </w:rPr>
        <w:t xml:space="preserve"> var reallønnsvekst</w:t>
      </w:r>
      <w:r w:rsidR="00FF6D6D">
        <w:rPr>
          <w:rFonts w:eastAsiaTheme="minorEastAsia"/>
        </w:rPr>
        <w:t xml:space="preserve"> og systemskifte for lektorene.</w:t>
      </w:r>
    </w:p>
    <w:p w14:paraId="284181E1" w14:textId="6FD6AD51" w:rsidR="2854A89C" w:rsidRDefault="5AA61D08" w:rsidP="5536DFA1">
      <w:pPr>
        <w:rPr>
          <w:rFonts w:eastAsiaTheme="minorEastAsia"/>
        </w:rPr>
      </w:pPr>
      <w:r w:rsidRPr="5536DFA1">
        <w:rPr>
          <w:rFonts w:eastAsiaTheme="minorEastAsia"/>
        </w:rPr>
        <w:t>For de av Akademikernes medlemmer som forhandler etter kapittel 3 og 5 (utelukkende lokalt uten sentralt avsatte rammer) blir forhandlingene gjennomført med siste frist 1. oktober. Virkningsdato for lønnstillegg etter disse forhandlingene er 1. mai 2022, med mindre partene lokalt blir enige om noe annet.</w:t>
      </w:r>
    </w:p>
    <w:p w14:paraId="68AFBA9D" w14:textId="63474D63" w:rsidR="70569336" w:rsidRDefault="70569336" w:rsidP="662F7D10">
      <w:pPr>
        <w:rPr>
          <w:rFonts w:eastAsiaTheme="minorEastAsia"/>
        </w:rPr>
      </w:pPr>
      <w:r w:rsidRPr="662F7D10">
        <w:rPr>
          <w:rFonts w:eastAsiaTheme="minorEastAsia"/>
        </w:rPr>
        <w:t xml:space="preserve">Resultatet av meklingen for medlemmer som tilhører kapittel 4 i Hovedtariffavtalen </w:t>
      </w:r>
      <w:r w:rsidR="62011288" w:rsidRPr="662F7D10">
        <w:rPr>
          <w:rFonts w:eastAsiaTheme="minorEastAsia"/>
        </w:rPr>
        <w:t xml:space="preserve">(lektorene) </w:t>
      </w:r>
      <w:r w:rsidRPr="662F7D10">
        <w:rPr>
          <w:rFonts w:eastAsiaTheme="minorEastAsia"/>
        </w:rPr>
        <w:t xml:space="preserve">var </w:t>
      </w:r>
      <w:r w:rsidR="4BECD7C4" w:rsidRPr="662F7D10">
        <w:rPr>
          <w:rFonts w:eastAsiaTheme="minorEastAsia"/>
        </w:rPr>
        <w:t xml:space="preserve">en økonomisk </w:t>
      </w:r>
      <w:r w:rsidR="5B9A3BBB" w:rsidRPr="662F7D10">
        <w:rPr>
          <w:rFonts w:eastAsiaTheme="minorEastAsia"/>
        </w:rPr>
        <w:t xml:space="preserve">ramme på 3,84 </w:t>
      </w:r>
      <w:r w:rsidR="00F05EBA" w:rsidRPr="662F7D10">
        <w:rPr>
          <w:rFonts w:eastAsiaTheme="minorEastAsia"/>
        </w:rPr>
        <w:t>prosent</w:t>
      </w:r>
      <w:r w:rsidR="5B9A3BBB" w:rsidRPr="662F7D10">
        <w:rPr>
          <w:rFonts w:eastAsiaTheme="minorEastAsia"/>
        </w:rPr>
        <w:t xml:space="preserve"> fordelt på ansiennitetstabellen med </w:t>
      </w:r>
      <w:r w:rsidR="789487A5" w:rsidRPr="662F7D10">
        <w:rPr>
          <w:rFonts w:eastAsiaTheme="minorEastAsia"/>
        </w:rPr>
        <w:t xml:space="preserve">sentrale generelle </w:t>
      </w:r>
      <w:r w:rsidR="5B9A3BBB" w:rsidRPr="662F7D10">
        <w:rPr>
          <w:rFonts w:eastAsiaTheme="minorEastAsia"/>
        </w:rPr>
        <w:t xml:space="preserve">tillegg fra </w:t>
      </w:r>
      <w:r w:rsidR="74E71CF0" w:rsidRPr="662F7D10">
        <w:rPr>
          <w:rFonts w:eastAsiaTheme="minorEastAsia"/>
        </w:rPr>
        <w:t xml:space="preserve">mellom </w:t>
      </w:r>
      <w:r w:rsidR="5B9A3BBB" w:rsidRPr="662F7D10">
        <w:rPr>
          <w:rFonts w:eastAsiaTheme="minorEastAsia"/>
        </w:rPr>
        <w:t xml:space="preserve">kr 12 000,- til kr 16 800,- </w:t>
      </w:r>
    </w:p>
    <w:p w14:paraId="5DEB9EE0" w14:textId="7CFB51AA" w:rsidR="632EC0FE" w:rsidRDefault="632EC0FE" w:rsidP="09D7C99A">
      <w:pPr>
        <w:rPr>
          <w:rFonts w:eastAsiaTheme="minorEastAsia"/>
        </w:rPr>
      </w:pPr>
      <w:r w:rsidRPr="09D7C99A">
        <w:rPr>
          <w:rFonts w:eastAsiaTheme="minorEastAsia"/>
        </w:rPr>
        <w:t xml:space="preserve">For den nye tariffperioden ble det satt ned fem partssammensatte utvalg for Hovedtariffavtalen og et for Hovedavtalen. For Hovedtariffavtalen gjelder dette temaene heltidskultur, reisetid/ vakt på vaktrom, hjemmekontor, sentrale lønns- og stillingsbestemmelser og avtalens vedlegg 1. For Hovedavtalen er temaet for partsamarbeidet å oppdatere veileder og lage felles opplæring.  </w:t>
      </w:r>
    </w:p>
    <w:p w14:paraId="42226363" w14:textId="22D75DCE" w:rsidR="002C3020" w:rsidRPr="008F3D15" w:rsidRDefault="724FF2B2" w:rsidP="09D7C99A">
      <w:pPr>
        <w:pStyle w:val="Overskrift2"/>
        <w:rPr>
          <w:rStyle w:val="Overskrift3Tegn"/>
          <w:b/>
          <w:bCs/>
          <w:color w:val="262682" w:themeColor="accent1"/>
        </w:rPr>
      </w:pPr>
      <w:bookmarkStart w:id="29" w:name="_Toc522810450"/>
      <w:bookmarkStart w:id="30" w:name="_Toc114065546"/>
      <w:bookmarkEnd w:id="24"/>
      <w:r w:rsidRPr="09D7C99A">
        <w:rPr>
          <w:rStyle w:val="Overskrift2Tegn"/>
          <w:b/>
          <w:bCs/>
        </w:rPr>
        <w:t>2</w:t>
      </w:r>
      <w:r w:rsidR="15C43517" w:rsidRPr="09D7C99A">
        <w:rPr>
          <w:rStyle w:val="Overskrift2Tegn"/>
          <w:b/>
          <w:bCs/>
        </w:rPr>
        <w:t>.</w:t>
      </w:r>
      <w:r w:rsidRPr="09D7C99A">
        <w:rPr>
          <w:rStyle w:val="Overskrift2Tegn"/>
          <w:b/>
          <w:bCs/>
        </w:rPr>
        <w:t>2</w:t>
      </w:r>
      <w:r w:rsidR="15C43517" w:rsidRPr="09D7C99A">
        <w:rPr>
          <w:rStyle w:val="Overskrift2Tegn"/>
          <w:b/>
          <w:bCs/>
        </w:rPr>
        <w:t xml:space="preserve">.3 </w:t>
      </w:r>
      <w:bookmarkStart w:id="31" w:name="_Toc522810451"/>
      <w:bookmarkEnd w:id="29"/>
      <w:r w:rsidR="45426433" w:rsidRPr="09D7C99A">
        <w:rPr>
          <w:rStyle w:val="Overskrift3Tegn"/>
          <w:b/>
          <w:bCs/>
          <w:color w:val="262682" w:themeColor="accent1"/>
        </w:rPr>
        <w:t>Akademikerne kommune</w:t>
      </w:r>
      <w:r w:rsidR="296D71B8" w:rsidRPr="09D7C99A">
        <w:rPr>
          <w:rStyle w:val="Overskrift3Tegn"/>
          <w:b/>
          <w:bCs/>
          <w:color w:val="262682" w:themeColor="accent1"/>
        </w:rPr>
        <w:t xml:space="preserve"> – Samfunnsbedriftene</w:t>
      </w:r>
      <w:bookmarkEnd w:id="30"/>
    </w:p>
    <w:p w14:paraId="0CF802E8" w14:textId="5C5EFC61" w:rsidR="2854A89C" w:rsidRPr="00EB0D04" w:rsidRDefault="2854A89C" w:rsidP="2854A89C">
      <w:pPr>
        <w:pStyle w:val="Overskrift2"/>
        <w:rPr>
          <w:color w:val="auto"/>
          <w:sz w:val="22"/>
          <w:szCs w:val="22"/>
        </w:rPr>
      </w:pPr>
      <w:bookmarkStart w:id="32" w:name="_Toc114065547"/>
      <w:r w:rsidRPr="00EB0D04">
        <w:rPr>
          <w:color w:val="auto"/>
          <w:sz w:val="22"/>
          <w:szCs w:val="22"/>
        </w:rPr>
        <w:t>Mellomoppgjøret 2021</w:t>
      </w:r>
      <w:bookmarkEnd w:id="32"/>
    </w:p>
    <w:p w14:paraId="590E9F5C" w14:textId="19FD4229" w:rsidR="2854A89C" w:rsidRDefault="0564D58D" w:rsidP="2854A89C">
      <w:pPr>
        <w:pStyle w:val="Overskrift2"/>
        <w:rPr>
          <w:b w:val="0"/>
          <w:color w:val="auto"/>
          <w:sz w:val="22"/>
          <w:szCs w:val="22"/>
        </w:rPr>
      </w:pPr>
      <w:bookmarkStart w:id="33" w:name="_Toc114065548"/>
      <w:r w:rsidRPr="09D7C99A">
        <w:rPr>
          <w:b w:val="0"/>
          <w:color w:val="auto"/>
          <w:sz w:val="22"/>
          <w:szCs w:val="22"/>
        </w:rPr>
        <w:t>I tariffområdet Samfunnsbedriftene kom partene til enighet etter forhandlinger. Enigheten innebar en</w:t>
      </w:r>
      <w:r w:rsidR="51A2654B" w:rsidRPr="09D7C99A">
        <w:rPr>
          <w:b w:val="0"/>
          <w:color w:val="auto"/>
          <w:sz w:val="22"/>
          <w:szCs w:val="22"/>
        </w:rPr>
        <w:t xml:space="preserve"> økonomisk r</w:t>
      </w:r>
      <w:r w:rsidRPr="09D7C99A">
        <w:rPr>
          <w:b w:val="0"/>
          <w:color w:val="auto"/>
          <w:sz w:val="22"/>
          <w:szCs w:val="22"/>
        </w:rPr>
        <w:t xml:space="preserve">amme på 2,82 </w:t>
      </w:r>
      <w:r w:rsidR="00F05EBA" w:rsidRPr="164D3C38">
        <w:rPr>
          <w:b w:val="0"/>
          <w:color w:val="auto"/>
          <w:sz w:val="22"/>
          <w:szCs w:val="22"/>
        </w:rPr>
        <w:t>prosent</w:t>
      </w:r>
      <w:r w:rsidRPr="09D7C99A">
        <w:rPr>
          <w:b w:val="0"/>
          <w:color w:val="auto"/>
          <w:sz w:val="22"/>
          <w:szCs w:val="22"/>
        </w:rPr>
        <w:t xml:space="preserve"> for øvrige grupper uten akademisk utdanning</w:t>
      </w:r>
      <w:r w:rsidR="3F770663" w:rsidRPr="09D7C99A">
        <w:rPr>
          <w:b w:val="0"/>
          <w:color w:val="auto"/>
          <w:sz w:val="22"/>
          <w:szCs w:val="22"/>
        </w:rPr>
        <w:t>. Det ble</w:t>
      </w:r>
      <w:r w:rsidRPr="09D7C99A">
        <w:rPr>
          <w:b w:val="0"/>
          <w:color w:val="auto"/>
          <w:sz w:val="22"/>
          <w:szCs w:val="22"/>
        </w:rPr>
        <w:t xml:space="preserve"> gjennomfør</w:t>
      </w:r>
      <w:r w:rsidR="0795F2BA" w:rsidRPr="09D7C99A">
        <w:rPr>
          <w:b w:val="0"/>
          <w:color w:val="auto"/>
          <w:sz w:val="22"/>
          <w:szCs w:val="22"/>
        </w:rPr>
        <w:t>t</w:t>
      </w:r>
      <w:r w:rsidRPr="09D7C99A">
        <w:rPr>
          <w:b w:val="0"/>
          <w:color w:val="auto"/>
          <w:sz w:val="22"/>
          <w:szCs w:val="22"/>
        </w:rPr>
        <w:t xml:space="preserve"> kollektive lokale forhandlinger for Akademikernes medlemmer i virksomhetene tilknyttet Samfunnsbedriftene.</w:t>
      </w:r>
      <w:bookmarkEnd w:id="33"/>
    </w:p>
    <w:p w14:paraId="444FFAFB" w14:textId="40E9B503" w:rsidR="2854A89C" w:rsidRPr="00EB0D04" w:rsidRDefault="2854A89C" w:rsidP="2854A89C">
      <w:pPr>
        <w:rPr>
          <w:b/>
        </w:rPr>
      </w:pPr>
      <w:r w:rsidRPr="00EB0D04">
        <w:rPr>
          <w:b/>
        </w:rPr>
        <w:t>Hovedtariffoppgjøret 2022</w:t>
      </w:r>
    </w:p>
    <w:p w14:paraId="28BC950D" w14:textId="0DCD79E3" w:rsidR="5536DFA1" w:rsidRDefault="375B6E48" w:rsidP="5536DFA1">
      <w:r>
        <w:t>Hovedtarif</w:t>
      </w:r>
      <w:r w:rsidR="7544031E">
        <w:t>foppgjøret i Samfunnsbedriftene startet 8. juni og ble avsluttet med enighet mellom alle parte</w:t>
      </w:r>
      <w:r w:rsidR="07B5CED2">
        <w:t>r</w:t>
      </w:r>
      <w:r w:rsidR="7544031E">
        <w:t xml:space="preserve"> 9. juni. Resultatet var en økonomisk ramme på 3,84 </w:t>
      </w:r>
      <w:r w:rsidR="00F05EBA">
        <w:t>prosent</w:t>
      </w:r>
      <w:r w:rsidR="7544031E">
        <w:t xml:space="preserve"> for medlemmene til LO og YS, som tilhører Hovedtariffavtalens gruppe 1 med sentral lønnsdannelse. Det ble satt av 1</w:t>
      </w:r>
      <w:r w:rsidR="00F05EBA">
        <w:t xml:space="preserve"> prosent</w:t>
      </w:r>
      <w:r w:rsidR="7544031E">
        <w:t xml:space="preserve"> av</w:t>
      </w:r>
      <w:r w:rsidR="01E99260">
        <w:t xml:space="preserve"> midlene</w:t>
      </w:r>
      <w:r w:rsidR="7544031E">
        <w:t xml:space="preserve"> til lokale forhandlinger for denne gruppen. Akademikernes og Unios medlemmer tilhører gruppe 2 i avtalen og har dermed utelukkende lokal lønnsdannelse. Disse </w:t>
      </w:r>
      <w:r w:rsidR="7544031E">
        <w:lastRenderedPageBreak/>
        <w:t xml:space="preserve">kollektive lokale forhandlingene har virkningstidspunkt 1.5.2022 med mindre partene lokalt blir enige om noe annet. </w:t>
      </w:r>
    </w:p>
    <w:p w14:paraId="2B9AE88A" w14:textId="2FC9F8B1" w:rsidR="001F588A" w:rsidRPr="008129F1" w:rsidRDefault="6D84FF9E" w:rsidP="00EF4D73">
      <w:pPr>
        <w:pStyle w:val="Overskrift2"/>
      </w:pPr>
      <w:bookmarkStart w:id="34" w:name="_Toc522810453"/>
      <w:bookmarkStart w:id="35" w:name="_Toc114065549"/>
      <w:bookmarkEnd w:id="31"/>
      <w:r>
        <w:t>2</w:t>
      </w:r>
      <w:r w:rsidR="15C43517">
        <w:t>.</w:t>
      </w:r>
      <w:r>
        <w:t>2</w:t>
      </w:r>
      <w:r w:rsidR="15C43517">
        <w:t xml:space="preserve">.4 </w:t>
      </w:r>
      <w:r w:rsidR="63624A11">
        <w:t xml:space="preserve">Akademikerne kommune - </w:t>
      </w:r>
      <w:r w:rsidR="31493868">
        <w:t>Oslo kommune</w:t>
      </w:r>
      <w:bookmarkEnd w:id="34"/>
      <w:bookmarkEnd w:id="35"/>
    </w:p>
    <w:p w14:paraId="170D5728" w14:textId="18B78F0F" w:rsidR="2854A89C" w:rsidRPr="00EB0D04" w:rsidRDefault="2854A89C" w:rsidP="2854A89C">
      <w:pPr>
        <w:pStyle w:val="Overskrift2"/>
        <w:rPr>
          <w:color w:val="auto"/>
          <w:sz w:val="22"/>
          <w:szCs w:val="22"/>
        </w:rPr>
      </w:pPr>
      <w:bookmarkStart w:id="36" w:name="_Toc114065550"/>
      <w:r w:rsidRPr="00EB0D04">
        <w:rPr>
          <w:color w:val="auto"/>
          <w:sz w:val="22"/>
          <w:szCs w:val="22"/>
        </w:rPr>
        <w:t>Mellomoppgjøret 2021</w:t>
      </w:r>
      <w:bookmarkEnd w:id="36"/>
    </w:p>
    <w:p w14:paraId="7078FF3E" w14:textId="4947C3C0" w:rsidR="2854A89C" w:rsidRDefault="0564D58D" w:rsidP="2854A89C">
      <w:pPr>
        <w:pStyle w:val="Overskrift2"/>
        <w:rPr>
          <w:b w:val="0"/>
          <w:color w:val="auto"/>
          <w:sz w:val="22"/>
          <w:szCs w:val="22"/>
        </w:rPr>
      </w:pPr>
      <w:bookmarkStart w:id="37" w:name="_Toc114065551"/>
      <w:r w:rsidRPr="09D7C99A">
        <w:rPr>
          <w:b w:val="0"/>
          <w:color w:val="auto"/>
          <w:sz w:val="22"/>
          <w:szCs w:val="22"/>
        </w:rPr>
        <w:t>I Oslo kommune gikk alle sammenslutningene til mekling. Akademikerne ble til slutt enige med Oslo kommune om lønnsjustering innenfor tilsvarende ramme som frontfagets anslag på 2,7</w:t>
      </w:r>
      <w:r w:rsidR="00F05EBA">
        <w:rPr>
          <w:b w:val="0"/>
          <w:color w:val="auto"/>
          <w:sz w:val="22"/>
          <w:szCs w:val="22"/>
        </w:rPr>
        <w:t xml:space="preserve"> prosent</w:t>
      </w:r>
      <w:r w:rsidRPr="09D7C99A">
        <w:rPr>
          <w:b w:val="0"/>
          <w:color w:val="auto"/>
          <w:sz w:val="22"/>
          <w:szCs w:val="22"/>
        </w:rPr>
        <w:t>.</w:t>
      </w:r>
      <w:r w:rsidR="7DB1DE57" w:rsidRPr="09D7C99A">
        <w:rPr>
          <w:b w:val="0"/>
          <w:color w:val="auto"/>
          <w:sz w:val="22"/>
          <w:szCs w:val="22"/>
        </w:rPr>
        <w:t xml:space="preserve"> </w:t>
      </w:r>
      <w:r w:rsidR="1EF3BA38" w:rsidRPr="09D7C99A">
        <w:rPr>
          <w:b w:val="0"/>
          <w:color w:val="auto"/>
          <w:sz w:val="22"/>
          <w:szCs w:val="22"/>
        </w:rPr>
        <w:t>Dette ble fordelt med et prosentvist tillegg på lønnstabellen på 3,45</w:t>
      </w:r>
      <w:r w:rsidR="00F05EBA">
        <w:rPr>
          <w:b w:val="0"/>
          <w:color w:val="auto"/>
          <w:sz w:val="22"/>
          <w:szCs w:val="22"/>
        </w:rPr>
        <w:t xml:space="preserve"> prosent</w:t>
      </w:r>
      <w:r w:rsidR="1EF3BA38" w:rsidRPr="09D7C99A">
        <w:rPr>
          <w:b w:val="0"/>
          <w:color w:val="auto"/>
          <w:sz w:val="22"/>
          <w:szCs w:val="22"/>
        </w:rPr>
        <w:t>, minimum 16</w:t>
      </w:r>
      <w:r w:rsidR="007716D2">
        <w:rPr>
          <w:b w:val="0"/>
          <w:color w:val="auto"/>
          <w:sz w:val="22"/>
          <w:szCs w:val="22"/>
        </w:rPr>
        <w:t> </w:t>
      </w:r>
      <w:r w:rsidR="1EF3BA38" w:rsidRPr="09D7C99A">
        <w:rPr>
          <w:b w:val="0"/>
          <w:color w:val="auto"/>
          <w:sz w:val="22"/>
          <w:szCs w:val="22"/>
        </w:rPr>
        <w:t>500</w:t>
      </w:r>
      <w:r w:rsidR="007716D2">
        <w:rPr>
          <w:b w:val="0"/>
          <w:color w:val="auto"/>
          <w:sz w:val="22"/>
          <w:szCs w:val="22"/>
        </w:rPr>
        <w:t xml:space="preserve"> </w:t>
      </w:r>
      <w:r w:rsidR="1EF3BA38" w:rsidRPr="09D7C99A">
        <w:rPr>
          <w:b w:val="0"/>
          <w:color w:val="auto"/>
          <w:sz w:val="22"/>
          <w:szCs w:val="22"/>
        </w:rPr>
        <w:t xml:space="preserve">kr, </w:t>
      </w:r>
      <w:r w:rsidR="637B03AB" w:rsidRPr="09D7C99A">
        <w:rPr>
          <w:b w:val="0"/>
          <w:color w:val="auto"/>
          <w:sz w:val="22"/>
          <w:szCs w:val="22"/>
        </w:rPr>
        <w:t>med virkning fra 1.5.2021.</w:t>
      </w:r>
      <w:bookmarkEnd w:id="37"/>
    </w:p>
    <w:p w14:paraId="51555D73" w14:textId="1F5E9C4B" w:rsidR="2854A89C" w:rsidRDefault="0564D58D" w:rsidP="2854A89C">
      <w:pPr>
        <w:pStyle w:val="Overskrift2"/>
        <w:rPr>
          <w:b w:val="0"/>
          <w:color w:val="auto"/>
          <w:sz w:val="22"/>
          <w:szCs w:val="22"/>
        </w:rPr>
      </w:pPr>
      <w:bookmarkStart w:id="38" w:name="_Toc114065552"/>
      <w:r w:rsidRPr="09D7C99A">
        <w:rPr>
          <w:b w:val="0"/>
          <w:color w:val="auto"/>
          <w:sz w:val="22"/>
          <w:szCs w:val="22"/>
        </w:rPr>
        <w:t xml:space="preserve">I slutten av desember 2021 ble det inngått en tilsvarende «Korona-avtale» i Oslo kommune som i KS. Avtalen </w:t>
      </w:r>
      <w:r w:rsidR="28024D1F" w:rsidRPr="09D7C99A">
        <w:rPr>
          <w:b w:val="0"/>
          <w:color w:val="auto"/>
          <w:sz w:val="22"/>
          <w:szCs w:val="22"/>
        </w:rPr>
        <w:t>var</w:t>
      </w:r>
      <w:r w:rsidRPr="09D7C99A">
        <w:rPr>
          <w:b w:val="0"/>
          <w:color w:val="auto"/>
          <w:sz w:val="22"/>
          <w:szCs w:val="22"/>
        </w:rPr>
        <w:t xml:space="preserve"> gyldig fra 22.12.2021 til 30.04.2022, og gj</w:t>
      </w:r>
      <w:r w:rsidR="3E251C13" w:rsidRPr="09D7C99A">
        <w:rPr>
          <w:b w:val="0"/>
          <w:color w:val="auto"/>
          <w:sz w:val="22"/>
          <w:szCs w:val="22"/>
        </w:rPr>
        <w:t>aldt</w:t>
      </w:r>
      <w:r w:rsidRPr="09D7C99A">
        <w:rPr>
          <w:b w:val="0"/>
          <w:color w:val="auto"/>
          <w:sz w:val="22"/>
          <w:szCs w:val="22"/>
        </w:rPr>
        <w:t xml:space="preserve"> Utdanningsetaten, Barne- og familieetaten, Velferdsetaten, Helseetaten, Sykehjemsetaten og </w:t>
      </w:r>
      <w:r w:rsidR="098DF391" w:rsidRPr="09D7C99A">
        <w:rPr>
          <w:b w:val="0"/>
          <w:color w:val="auto"/>
          <w:sz w:val="22"/>
          <w:szCs w:val="22"/>
        </w:rPr>
        <w:t>b</w:t>
      </w:r>
      <w:r w:rsidRPr="09D7C99A">
        <w:rPr>
          <w:b w:val="0"/>
          <w:color w:val="auto"/>
          <w:sz w:val="22"/>
          <w:szCs w:val="22"/>
        </w:rPr>
        <w:t>ydelene i Oslo kommune.</w:t>
      </w:r>
      <w:bookmarkEnd w:id="38"/>
    </w:p>
    <w:p w14:paraId="05342078" w14:textId="123149C5" w:rsidR="2854A89C" w:rsidRPr="00175A7E" w:rsidRDefault="1B769370" w:rsidP="2854A89C">
      <w:pPr>
        <w:rPr>
          <w:b/>
        </w:rPr>
      </w:pPr>
      <w:r w:rsidRPr="00175A7E">
        <w:rPr>
          <w:b/>
        </w:rPr>
        <w:t>Hovedtariffoppgjøret 2022</w:t>
      </w:r>
    </w:p>
    <w:p w14:paraId="34258631" w14:textId="09A0AD17" w:rsidR="29C12CC8" w:rsidRDefault="7544031E" w:rsidP="29C12CC8">
      <w:r>
        <w:t>Hovedtariffoppgjøret i Oslo kommune startet 20. april og ble avsluttet med bruddprotokoll den 29. april. Oppgjøret gikk til mekling med alle partene. Meklingsresultatet ble godkjent av alle partene</w:t>
      </w:r>
      <w:r w:rsidR="0FF489F5">
        <w:t>, og</w:t>
      </w:r>
      <w:r>
        <w:t xml:space="preserve"> hadde en samlet økonomisk ramme på 3,84</w:t>
      </w:r>
      <w:r w:rsidR="00F05EBA">
        <w:t xml:space="preserve"> prosent</w:t>
      </w:r>
      <w:r>
        <w:t>. Det ble gitt et prosentvist tillegg på lønnstabellen på 3,71</w:t>
      </w:r>
      <w:r w:rsidR="00F05EBA">
        <w:t xml:space="preserve"> prosent</w:t>
      </w:r>
      <w:r w:rsidR="686031EB">
        <w:t>,</w:t>
      </w:r>
      <w:r>
        <w:t xml:space="preserve"> minimum</w:t>
      </w:r>
      <w:r w:rsidR="135C0EE8">
        <w:t xml:space="preserve"> </w:t>
      </w:r>
      <w:r>
        <w:t>18</w:t>
      </w:r>
      <w:r w:rsidR="00883766">
        <w:t> </w:t>
      </w:r>
      <w:r>
        <w:t>800</w:t>
      </w:r>
      <w:r w:rsidR="00883766">
        <w:t xml:space="preserve"> </w:t>
      </w:r>
      <w:r w:rsidR="49DACB76">
        <w:t xml:space="preserve">kr, </w:t>
      </w:r>
      <w:r w:rsidR="232E6290">
        <w:t xml:space="preserve">med </w:t>
      </w:r>
      <w:r w:rsidR="715EDBD2">
        <w:t>virkning fra</w:t>
      </w:r>
      <w:r w:rsidR="651CF3E4">
        <w:t xml:space="preserve"> 1.5.2022.</w:t>
      </w:r>
    </w:p>
    <w:p w14:paraId="17D64629" w14:textId="205DDDED" w:rsidR="2854A89C" w:rsidRDefault="7E2671DB" w:rsidP="2854A89C">
      <w:r>
        <w:t>Spesielt viktig</w:t>
      </w:r>
      <w:r w:rsidR="7ADD7AEB">
        <w:t>e punkter</w:t>
      </w:r>
      <w:r>
        <w:t xml:space="preserve"> for Akademikerne</w:t>
      </w:r>
      <w:r w:rsidR="2D700403">
        <w:t xml:space="preserve"> i meklingsprotokollen</w:t>
      </w:r>
      <w:r>
        <w:t xml:space="preserve"> </w:t>
      </w:r>
      <w:r w:rsidR="174CD542">
        <w:t xml:space="preserve">er punkt </w:t>
      </w:r>
      <w:r w:rsidR="174CD542" w:rsidRPr="09D7C99A">
        <w:rPr>
          <w:i/>
          <w:iCs/>
        </w:rPr>
        <w:t>4) Bruk av profesjonskoder</w:t>
      </w:r>
      <w:r w:rsidR="686BA430">
        <w:t xml:space="preserve">, </w:t>
      </w:r>
      <w:r w:rsidR="686BA430" w:rsidRPr="09D7C99A">
        <w:rPr>
          <w:i/>
          <w:iCs/>
        </w:rPr>
        <w:t>5) Oppfølging av punkt 5 i meklingsprotokollen fra tariffrevisjonen 2020</w:t>
      </w:r>
      <w:r w:rsidR="686BA430">
        <w:t xml:space="preserve"> og </w:t>
      </w:r>
      <w:r w:rsidR="5A6DA7D3" w:rsidRPr="09D7C99A">
        <w:rPr>
          <w:i/>
          <w:iCs/>
        </w:rPr>
        <w:t xml:space="preserve">6) </w:t>
      </w:r>
      <w:r w:rsidR="5A6DA7D3" w:rsidRPr="164D3C38">
        <w:rPr>
          <w:i/>
          <w:iCs/>
        </w:rPr>
        <w:t>Tils</w:t>
      </w:r>
      <w:r w:rsidR="339412CA" w:rsidRPr="164D3C38">
        <w:rPr>
          <w:i/>
          <w:iCs/>
        </w:rPr>
        <w:t>l</w:t>
      </w:r>
      <w:r w:rsidR="5A6DA7D3" w:rsidRPr="164D3C38">
        <w:rPr>
          <w:i/>
          <w:iCs/>
        </w:rPr>
        <w:t>utningsavtale</w:t>
      </w:r>
      <w:r w:rsidR="5A6DA7D3" w:rsidRPr="09D7C99A">
        <w:rPr>
          <w:i/>
          <w:iCs/>
        </w:rPr>
        <w:t xml:space="preserve"> til særbestemmelser med Utdanningsforbundet (skoleverket)</w:t>
      </w:r>
      <w:r w:rsidR="0EFD1860" w:rsidRPr="09D7C99A">
        <w:rPr>
          <w:i/>
          <w:iCs/>
        </w:rPr>
        <w:t>.</w:t>
      </w:r>
    </w:p>
    <w:p w14:paraId="18D5B676" w14:textId="7923BC11" w:rsidR="001F588A" w:rsidRDefault="00210E8B" w:rsidP="002C3020">
      <w:pPr>
        <w:pStyle w:val="Overskrift2"/>
      </w:pPr>
      <w:bookmarkStart w:id="39" w:name="_Toc522810457"/>
      <w:bookmarkStart w:id="40" w:name="_Toc114065553"/>
      <w:r>
        <w:t>2</w:t>
      </w:r>
      <w:r w:rsidR="008F3D15">
        <w:t>.</w:t>
      </w:r>
      <w:r>
        <w:t>2</w:t>
      </w:r>
      <w:r w:rsidR="008F3D15">
        <w:t xml:space="preserve">.5 </w:t>
      </w:r>
      <w:r w:rsidR="001F588A" w:rsidRPr="008129F1">
        <w:t>Akademikerne helse</w:t>
      </w:r>
      <w:bookmarkEnd w:id="39"/>
      <w:bookmarkEnd w:id="40"/>
      <w:r w:rsidR="001F588A" w:rsidRPr="008129F1">
        <w:t xml:space="preserve">  </w:t>
      </w:r>
    </w:p>
    <w:p w14:paraId="19862EAB" w14:textId="27A599E5" w:rsidR="00624BE6" w:rsidRPr="00175A7E" w:rsidRDefault="00624BE6" w:rsidP="00624BE6">
      <w:pPr>
        <w:rPr>
          <w:b/>
        </w:rPr>
      </w:pPr>
      <w:r w:rsidRPr="00175A7E">
        <w:rPr>
          <w:b/>
        </w:rPr>
        <w:t>Mellomopp</w:t>
      </w:r>
      <w:r w:rsidR="00720DD2" w:rsidRPr="00175A7E">
        <w:rPr>
          <w:b/>
        </w:rPr>
        <w:t xml:space="preserve">gjøret </w:t>
      </w:r>
      <w:r w:rsidR="007A4A3B" w:rsidRPr="00175A7E">
        <w:rPr>
          <w:b/>
        </w:rPr>
        <w:t>20</w:t>
      </w:r>
      <w:r w:rsidR="00A67096" w:rsidRPr="00175A7E">
        <w:rPr>
          <w:b/>
        </w:rPr>
        <w:t>21</w:t>
      </w:r>
    </w:p>
    <w:p w14:paraId="43388E61" w14:textId="1504F739" w:rsidR="002A0B03" w:rsidRDefault="002A0B03" w:rsidP="00624BE6">
      <w:r>
        <w:t>Akademikerne helse kom til enighet etter forhandlinger med Spekter i område 10 og område 13. De økonomiske resultatene var på nivå med resten av offentlig sektor. I november 2021 ble det inngått en ny Hovedavtale mellom Spekter og Akademikerne helse, samt avtale om avvikende forhandlingssystem i helseforetakene. Det ble også signert protokoll om fordelingen av ansvar mellom Akademikerne helse og SAN for foreninger som er tilsluttet både Akademikerne og SAN. I oppfølgingen av 2020-oppgjøret har det vært dialog mellom partene om grensen mellom arbeidstid/reisetid og fritid, uten å konstatere annet enn at partene er uenige.</w:t>
      </w:r>
    </w:p>
    <w:p w14:paraId="7A28E73D" w14:textId="74EB7481" w:rsidR="00884F6F" w:rsidRDefault="00AA4C38" w:rsidP="00624BE6">
      <w:r>
        <w:t>Høsten 2021 ble det inngått en ny h</w:t>
      </w:r>
      <w:r w:rsidR="00884F6F">
        <w:t>ovedavtale</w:t>
      </w:r>
      <w:r>
        <w:t xml:space="preserve"> med Spekter. </w:t>
      </w:r>
      <w:r w:rsidRPr="00AA4C38">
        <w:t xml:space="preserve">Avtalen gjelder frem til 31. desember 2025. </w:t>
      </w:r>
      <w:r w:rsidR="00F60562">
        <w:t>Hovedavtalen har fått en ny innledning som beskriver formålet med avtalen tydeligere og løfter topartssamarbeidet. De tillitsvalgtes rolle er også forsterket</w:t>
      </w:r>
      <w:r w:rsidR="00757DE3">
        <w:t>. D</w:t>
      </w:r>
      <w:r w:rsidR="00F60562">
        <w:t xml:space="preserve">en nye </w:t>
      </w:r>
      <w:r w:rsidR="00F60562">
        <w:lastRenderedPageBreak/>
        <w:t xml:space="preserve">hovedavtalen </w:t>
      </w:r>
      <w:r w:rsidR="003062AF">
        <w:t xml:space="preserve">er </w:t>
      </w:r>
      <w:r w:rsidR="00F60562">
        <w:t>tydelig på at partsdialogen lokalt også skal omhandle temaer som blir viktige i arbeidslivet fremover, slik som digitalisering, klima og miljøtiltak.</w:t>
      </w:r>
    </w:p>
    <w:p w14:paraId="01B35338" w14:textId="014A43F6" w:rsidR="00A67096" w:rsidRPr="00175A7E" w:rsidRDefault="00A67096" w:rsidP="00624BE6">
      <w:pPr>
        <w:rPr>
          <w:b/>
        </w:rPr>
      </w:pPr>
      <w:r w:rsidRPr="00175A7E">
        <w:rPr>
          <w:b/>
        </w:rPr>
        <w:t>Hovedtariffoppgjø</w:t>
      </w:r>
      <w:r w:rsidR="00F368F9" w:rsidRPr="00175A7E">
        <w:rPr>
          <w:b/>
        </w:rPr>
        <w:t>ret 202</w:t>
      </w:r>
      <w:r w:rsidR="00CD5C2F" w:rsidRPr="00175A7E">
        <w:rPr>
          <w:b/>
        </w:rPr>
        <w:t>2</w:t>
      </w:r>
    </w:p>
    <w:p w14:paraId="21D2FCB4" w14:textId="77777777" w:rsidR="00300D8C" w:rsidRDefault="00300D8C" w:rsidP="00300D8C">
      <w:r>
        <w:t xml:space="preserve">Hovedtariffoppgjøret for 2022 startet 5. april og ble avsluttet med enighet 23. juni. Det økonomiske resultatet var på linje med resten av offentlig sektor. Med unntak av leger i spesialisering ble alle Akademiker-gruppenes lønnsoppgjør fremforhandlet lokalt.  </w:t>
      </w:r>
    </w:p>
    <w:p w14:paraId="36354F1F" w14:textId="0D407C9F" w:rsidR="00300D8C" w:rsidRDefault="009256CF" w:rsidP="00300D8C">
      <w:r>
        <w:t>D</w:t>
      </w:r>
      <w:r w:rsidR="00300D8C">
        <w:t xml:space="preserve">e sosiale bestemmelsene </w:t>
      </w:r>
      <w:r>
        <w:t xml:space="preserve">ble videreført, og det ble avtalt en redaksjonell gjennomgang av protokoll og overenskomstdel. </w:t>
      </w:r>
      <w:r w:rsidR="00300D8C">
        <w:t xml:space="preserve">Akademikerne og de andre arbeidstakerorganisasjonene hadde flere krav for å styrke arbeidslinja og gjøre det mer attraktivt for eldre arbeidstakere å fortsette i arbeid, men fikk ikke gjennomslag for dette. </w:t>
      </w:r>
    </w:p>
    <w:p w14:paraId="732A95D2" w14:textId="2FC19EE6" w:rsidR="00A90A8D" w:rsidRDefault="00A90A8D" w:rsidP="00A90A8D">
      <w:bookmarkStart w:id="41" w:name="_Toc522810447"/>
      <w:r>
        <w:t>I perioden har det partssammensatte utvalget for Samarbeid, integrering og kompetanse etablert undergrupper for å følge opp arbeid som ble avtalt i 2020</w:t>
      </w:r>
      <w:r w:rsidR="001B2CCF">
        <w:t>. Gruppene har arbeidet med</w:t>
      </w:r>
      <w:r>
        <w:t xml:space="preserve"> teknologi</w:t>
      </w:r>
      <w:r w:rsidR="0046118B">
        <w:t xml:space="preserve"> </w:t>
      </w:r>
      <w:r w:rsidR="0046118B" w:rsidRPr="00F77D78">
        <w:t>og kontroll</w:t>
      </w:r>
      <w:r w:rsidRPr="00F77D78">
        <w:t xml:space="preserve"> (erfaringskonferanse), kompetanseutvikling (veileder) og likelønn mht. til kjønn. I tillegg ble det avtalt en egen </w:t>
      </w:r>
      <w:r w:rsidRPr="00F77D78">
        <w:rPr>
          <w:rFonts w:eastAsia="Cambria"/>
        </w:rPr>
        <w:t xml:space="preserve">arbeidsgruppe for bærekraft og miljø. </w:t>
      </w:r>
      <w:r w:rsidR="001B2CCF" w:rsidRPr="00F77D78">
        <w:rPr>
          <w:rFonts w:eastAsia="Cambria"/>
        </w:rPr>
        <w:t>A</w:t>
      </w:r>
      <w:r w:rsidRPr="00F77D78">
        <w:rPr>
          <w:rFonts w:eastAsia="Cambria"/>
        </w:rPr>
        <w:t>rbeidsgruppen</w:t>
      </w:r>
      <w:r w:rsidR="001B2CCF">
        <w:rPr>
          <w:rFonts w:eastAsia="Cambria"/>
        </w:rPr>
        <w:t xml:space="preserve"> for bærekraft og miljø</w:t>
      </w:r>
      <w:r>
        <w:rPr>
          <w:rFonts w:eastAsia="Cambria"/>
        </w:rPr>
        <w:t xml:space="preserve"> har utarbeidet en egen veileder for h</w:t>
      </w:r>
      <w:r w:rsidRPr="00E41705">
        <w:rPr>
          <w:rFonts w:eastAsia="Cambria"/>
        </w:rPr>
        <w:t>vordan partene lokalt kan samarbeide for å få til bærekraftig utvikling i sykehusene.</w:t>
      </w:r>
      <w:r>
        <w:rPr>
          <w:rFonts w:eastAsia="Cambria"/>
        </w:rPr>
        <w:t xml:space="preserve"> Det ble i hovedoppgjøret 2022</w:t>
      </w:r>
      <w:r w:rsidR="001B2CCF">
        <w:rPr>
          <w:rFonts w:eastAsia="Cambria"/>
        </w:rPr>
        <w:t xml:space="preserve"> avtalt</w:t>
      </w:r>
      <w:r>
        <w:rPr>
          <w:rFonts w:eastAsia="Cambria"/>
        </w:rPr>
        <w:t xml:space="preserve"> </w:t>
      </w:r>
      <w:r w:rsidR="001B2CCF">
        <w:t>en videreføring av det partssammensatte utvalget og at</w:t>
      </w:r>
      <w:r>
        <w:rPr>
          <w:rFonts w:eastAsia="Cambria"/>
        </w:rPr>
        <w:t xml:space="preserve"> arbeidet med likestilling/likelønn sk</w:t>
      </w:r>
      <w:r w:rsidR="001B2CCF">
        <w:rPr>
          <w:rFonts w:eastAsia="Cambria"/>
        </w:rPr>
        <w:t>al</w:t>
      </w:r>
      <w:r>
        <w:rPr>
          <w:rFonts w:eastAsia="Cambria"/>
        </w:rPr>
        <w:t xml:space="preserve"> videreføres. </w:t>
      </w:r>
      <w:r w:rsidR="001B2CCF">
        <w:rPr>
          <w:rFonts w:eastAsia="Cambria"/>
        </w:rPr>
        <w:t>U</w:t>
      </w:r>
      <w:r w:rsidR="001B2CCF">
        <w:t>tvalget skal i perioden innhente erfaringer fra virksomhetenes arbeid med likestilling/likelønn, bruk av den nye likestillings- og diskrimineringsloven og tilrettelegging for likestilling, mangfold, integrering og livsfasebehov. Erfaringene skal danne grunnlag for drøftinger mellom Akademikerne og Spekter om hvordan kvinners og menns lønn utvikler seg i Spekter-området.</w:t>
      </w:r>
    </w:p>
    <w:p w14:paraId="28FB2894" w14:textId="146FABA3" w:rsidR="00736ADE" w:rsidRDefault="00885F7B" w:rsidP="003C3968">
      <w:pPr>
        <w:pStyle w:val="Overskrift2"/>
        <w:numPr>
          <w:ilvl w:val="1"/>
          <w:numId w:val="44"/>
        </w:numPr>
      </w:pPr>
      <w:bookmarkStart w:id="42" w:name="_Toc114065554"/>
      <w:r>
        <w:t>S</w:t>
      </w:r>
      <w:r w:rsidR="00736ADE">
        <w:t>amarbeidsorganer</w:t>
      </w:r>
      <w:bookmarkEnd w:id="42"/>
    </w:p>
    <w:p w14:paraId="5CA89AE6" w14:textId="6F1526A7" w:rsidR="001F588A" w:rsidRPr="002C57F2" w:rsidRDefault="003C3968">
      <w:pPr>
        <w:pStyle w:val="Overskrift2"/>
        <w:rPr>
          <w:color w:val="FF0000"/>
        </w:rPr>
      </w:pPr>
      <w:bookmarkStart w:id="43" w:name="_Toc114065555"/>
      <w:r>
        <w:t>2.</w:t>
      </w:r>
      <w:r w:rsidR="00C96ED6">
        <w:t xml:space="preserve">3.1 </w:t>
      </w:r>
      <w:r w:rsidR="001F588A" w:rsidRPr="002C57F2">
        <w:t>Akademikerne næringsdrivende</w:t>
      </w:r>
      <w:bookmarkEnd w:id="41"/>
      <w:bookmarkEnd w:id="43"/>
      <w:r w:rsidR="001F588A" w:rsidRPr="002C57F2">
        <w:t xml:space="preserve"> </w:t>
      </w:r>
    </w:p>
    <w:p w14:paraId="1B7EF6EA" w14:textId="3F9BCCBE" w:rsidR="002C3020" w:rsidRDefault="002C3020" w:rsidP="002C3020">
      <w:bookmarkStart w:id="44" w:name="_Toc522810446"/>
      <w:r>
        <w:t xml:space="preserve">Akademikerne næringsdrivende </w:t>
      </w:r>
      <w:r w:rsidR="006752C8">
        <w:t>er</w:t>
      </w:r>
      <w:r w:rsidR="00DA7688">
        <w:t xml:space="preserve"> </w:t>
      </w:r>
      <w:r w:rsidR="00757D81">
        <w:t xml:space="preserve">et </w:t>
      </w:r>
      <w:r w:rsidR="004B0DF4">
        <w:t xml:space="preserve">samarbeidsorgan </w:t>
      </w:r>
      <w:r w:rsidR="00AC1430">
        <w:t xml:space="preserve">som </w:t>
      </w:r>
      <w:r w:rsidR="004C1E3F">
        <w:t xml:space="preserve">har som formål å </w:t>
      </w:r>
      <w:r w:rsidR="004C1E3F" w:rsidRPr="004C1E3F">
        <w:t xml:space="preserve">arbeide for </w:t>
      </w:r>
      <w:r w:rsidR="00F03CCA">
        <w:t>gode</w:t>
      </w:r>
      <w:r w:rsidR="004C1E3F" w:rsidRPr="004C1E3F">
        <w:t xml:space="preserve"> rammebetingelser for næringsdrivende. </w:t>
      </w:r>
      <w:r w:rsidR="006752C8">
        <w:t xml:space="preserve">Samarbeidsutvalget </w:t>
      </w:r>
      <w:r>
        <w:t xml:space="preserve">har hatt </w:t>
      </w:r>
      <w:r w:rsidR="00FD38DD">
        <w:t xml:space="preserve">14 </w:t>
      </w:r>
      <w:r>
        <w:t>møter i styreperioden</w:t>
      </w:r>
      <w:r w:rsidR="00736ADE">
        <w:t xml:space="preserve"> og</w:t>
      </w:r>
      <w:r>
        <w:t xml:space="preserve"> inkludert </w:t>
      </w:r>
      <w:r w:rsidR="00724D96">
        <w:rPr>
          <w:rFonts w:cs="Aharoni"/>
        </w:rPr>
        <w:t xml:space="preserve">to </w:t>
      </w:r>
      <w:r>
        <w:t xml:space="preserve">utvalgsseminar. </w:t>
      </w:r>
    </w:p>
    <w:p w14:paraId="1523AE1D" w14:textId="51AB99AB" w:rsidR="002D6F0E" w:rsidRPr="002D6F0E" w:rsidRDefault="002D6F0E" w:rsidP="002D6F0E">
      <w:r w:rsidRPr="002D6F0E">
        <w:t xml:space="preserve">Akademikerne </w:t>
      </w:r>
      <w:r w:rsidR="006B62DB">
        <w:t>n</w:t>
      </w:r>
      <w:r w:rsidRPr="002D6F0E">
        <w:t xml:space="preserve">æringsdrivende har </w:t>
      </w:r>
      <w:r w:rsidR="00326EAF">
        <w:t>i perioden hatt fem prioriter</w:t>
      </w:r>
      <w:r w:rsidR="00663ADD">
        <w:t xml:space="preserve">te saker som de har jobbet </w:t>
      </w:r>
      <w:r w:rsidR="004C4B3A">
        <w:t xml:space="preserve">aktivt </w:t>
      </w:r>
      <w:r w:rsidR="00663ADD">
        <w:t>med:</w:t>
      </w:r>
    </w:p>
    <w:p w14:paraId="14DB5ABD" w14:textId="3002B3A2" w:rsidR="002D6F0E" w:rsidRPr="002D6F0E" w:rsidRDefault="00663ADD" w:rsidP="008C7EA7">
      <w:pPr>
        <w:numPr>
          <w:ilvl w:val="0"/>
          <w:numId w:val="47"/>
        </w:numPr>
        <w:spacing w:after="0"/>
      </w:pPr>
      <w:r>
        <w:t>M</w:t>
      </w:r>
      <w:r w:rsidR="002D6F0E" w:rsidRPr="002D6F0E">
        <w:t>instefradrag for enkeltpersonforetak</w:t>
      </w:r>
    </w:p>
    <w:p w14:paraId="3E34D416" w14:textId="6144BD80" w:rsidR="002D6F0E" w:rsidRPr="002D6F0E" w:rsidRDefault="000E343C" w:rsidP="008C7EA7">
      <w:pPr>
        <w:numPr>
          <w:ilvl w:val="0"/>
          <w:numId w:val="47"/>
        </w:numPr>
        <w:spacing w:after="0"/>
      </w:pPr>
      <w:r w:rsidRPr="000E343C">
        <w:t>Økt skattefradrag for frivillig pensjonssparing for selvstendig næringsdrivende</w:t>
      </w:r>
    </w:p>
    <w:p w14:paraId="0BB91827" w14:textId="0F3EE8B7" w:rsidR="002D6F0E" w:rsidRPr="002D6F0E" w:rsidRDefault="003B30A7" w:rsidP="008C7EA7">
      <w:pPr>
        <w:numPr>
          <w:ilvl w:val="0"/>
          <w:numId w:val="47"/>
        </w:numPr>
        <w:spacing w:after="0"/>
      </w:pPr>
      <w:r>
        <w:t>Økt</w:t>
      </w:r>
      <w:r w:rsidR="002D6F0E" w:rsidRPr="002D6F0E">
        <w:t xml:space="preserve"> kunnskap om pensjon blant næringsdrivende medlemmer</w:t>
      </w:r>
      <w:r w:rsidR="002D6F0E" w:rsidRPr="002D6F0E">
        <w:tab/>
      </w:r>
    </w:p>
    <w:p w14:paraId="56E04092" w14:textId="77777777" w:rsidR="002D6F0E" w:rsidRPr="002D6F0E" w:rsidRDefault="002D6F0E" w:rsidP="008C7EA7">
      <w:pPr>
        <w:numPr>
          <w:ilvl w:val="0"/>
          <w:numId w:val="47"/>
        </w:numPr>
        <w:spacing w:after="0"/>
      </w:pPr>
      <w:r w:rsidRPr="002D6F0E">
        <w:t xml:space="preserve">Bedre sykepengerettigheter for selvstendig næringsdrivende </w:t>
      </w:r>
    </w:p>
    <w:p w14:paraId="741A07EA" w14:textId="509EA472" w:rsidR="002D6F0E" w:rsidRPr="002D6F0E" w:rsidRDefault="005C10C2" w:rsidP="008C7EA7">
      <w:pPr>
        <w:numPr>
          <w:ilvl w:val="0"/>
          <w:numId w:val="47"/>
        </w:numPr>
        <w:spacing w:after="0"/>
      </w:pPr>
      <w:r>
        <w:t>Og at s</w:t>
      </w:r>
      <w:r w:rsidR="002D6F0E" w:rsidRPr="002D6F0E">
        <w:t>alærsatsen økes til et akseptabelt nivå og justeres automatisk årlig i henhold til G</w:t>
      </w:r>
    </w:p>
    <w:p w14:paraId="3C64DE41" w14:textId="77777777" w:rsidR="008C7EA7" w:rsidRDefault="008C7EA7" w:rsidP="008C7EA7">
      <w:pPr>
        <w:spacing w:after="0"/>
      </w:pPr>
    </w:p>
    <w:p w14:paraId="7CE68478" w14:textId="388BAF53" w:rsidR="001F1457" w:rsidRDefault="00F93971" w:rsidP="00AB7421">
      <w:pPr>
        <w:spacing w:after="0"/>
      </w:pPr>
      <w:r>
        <w:t xml:space="preserve">For å synliggjøre Akademikerne næringsdrivende og bidra til kompetanseheving </w:t>
      </w:r>
      <w:r w:rsidR="006222D7">
        <w:t xml:space="preserve">har utvalget arrangert </w:t>
      </w:r>
      <w:r w:rsidR="009F6BC5">
        <w:t>åtte</w:t>
      </w:r>
      <w:r w:rsidR="00814DAF">
        <w:t xml:space="preserve"> webinarer i perioden</w:t>
      </w:r>
      <w:r w:rsidR="0053459F">
        <w:t xml:space="preserve">. </w:t>
      </w:r>
      <w:r w:rsidR="001F1457">
        <w:t xml:space="preserve">Alle webinarene har vært </w:t>
      </w:r>
      <w:r w:rsidR="00D672B2">
        <w:t>godt besøkt</w:t>
      </w:r>
      <w:r w:rsidR="000D5907">
        <w:t xml:space="preserve"> </w:t>
      </w:r>
      <w:r w:rsidR="001E6060">
        <w:t>med over 2</w:t>
      </w:r>
      <w:r w:rsidR="00D37F05">
        <w:t xml:space="preserve"> </w:t>
      </w:r>
      <w:r w:rsidR="001E6060">
        <w:t>500 deltakere totalt.</w:t>
      </w:r>
    </w:p>
    <w:p w14:paraId="41CFCA1C" w14:textId="2C71659F" w:rsidR="00B4209F" w:rsidRPr="00B4209F" w:rsidRDefault="00E37790" w:rsidP="00B4209F">
      <w:pPr>
        <w:pStyle w:val="Overskrift2"/>
      </w:pPr>
      <w:bookmarkStart w:id="45" w:name="_Toc114065556"/>
      <w:r>
        <w:t>2.</w:t>
      </w:r>
      <w:r w:rsidR="00C96ED6">
        <w:t xml:space="preserve">3.2 </w:t>
      </w:r>
      <w:r w:rsidR="001F588A" w:rsidRPr="00A97E11">
        <w:t>Akademikerne privat</w:t>
      </w:r>
      <w:bookmarkEnd w:id="44"/>
      <w:bookmarkEnd w:id="45"/>
      <w:r w:rsidR="001F588A" w:rsidRPr="00A97E11">
        <w:t xml:space="preserve"> </w:t>
      </w:r>
    </w:p>
    <w:p w14:paraId="08204BB8" w14:textId="69D3D71F" w:rsidR="00FE0368" w:rsidRDefault="00651228" w:rsidP="00FE0368">
      <w:r>
        <w:t xml:space="preserve">Akademikerne </w:t>
      </w:r>
      <w:r w:rsidR="004F1523">
        <w:t>P</w:t>
      </w:r>
      <w:r>
        <w:t>rivat har som formål at foreningene skal styrke sin posisjon overfor private arbeidsgiverforeninger og arbeidsgivere. 10 av Akademikernes 13 medlemsforeninger er representert i utvalget. Tannlegeforeningen, KOL og Lektorlaget deltar ikke.</w:t>
      </w:r>
      <w:r w:rsidR="004F1523">
        <w:t xml:space="preserve"> </w:t>
      </w:r>
      <w:r w:rsidR="00FE0368">
        <w:t xml:space="preserve">Akademikerne Privat har </w:t>
      </w:r>
      <w:r w:rsidR="004F1523">
        <w:t>hatt 7 møter og 2 seminarer</w:t>
      </w:r>
      <w:r w:rsidR="00806D1E">
        <w:t>.</w:t>
      </w:r>
    </w:p>
    <w:p w14:paraId="22D255B4" w14:textId="660E6BD9" w:rsidR="00FE0368" w:rsidRDefault="00FE0368" w:rsidP="00FE0368">
      <w:r>
        <w:t xml:space="preserve">Utvalget har diskutert aktuelle og mulige fremtidige arbeidspolitiske saker. Utvalget har diskutert aktuelle saker som har vært oppe til diskusjon i Akademikerne og som er av betydning for utvalgets medlemmer. Blant tema som har vært oppe til behandling i utvalget nevnes arbeidstid, ny hjemmekontorforskrift, inngåelse av og innholdet i tariffavtaler (herunder revisjon av tariffavtaler, samt arbeid med etablering av tariffavtaler innen finans og konsuletentbransjen). Diskusjon om disse temaene er nyttig for rådgivning til medlemmer og tillitsvalgte i foreningene. </w:t>
      </w:r>
    </w:p>
    <w:p w14:paraId="677E09E3" w14:textId="77777777" w:rsidR="00FE0368" w:rsidRDefault="00FE0368" w:rsidP="00FE0368">
      <w:r>
        <w:t>Utvalgets medlemmer har også brukt tid på diskusjon og erfaringsoverføring når det gjelder form og innhold i tillitsvalgtopplæring. Det har også vært oppe tema knyttet til fremtidens arbeidsliv (herunder kompetanse, seniorer, og aldersgrenser), foreningenes tilbud til egne medlemmer (med særlig vekt på juridisk bistand og rådgivning), det organiserte arbeidslivet og organisasjonsgrad i privat sektor, erfaringer med gjeldende IA-avtale og behov for justeringer, bærekraft, personvern, og globalisering av arbeidsmarkedet</w:t>
      </w:r>
    </w:p>
    <w:p w14:paraId="694E3596" w14:textId="77777777" w:rsidR="00FE0368" w:rsidRDefault="00FE0368" w:rsidP="00FE0368">
      <w:r>
        <w:t> </w:t>
      </w:r>
    </w:p>
    <w:p w14:paraId="4F2AE3AD" w14:textId="5A302DC1" w:rsidR="008E569A" w:rsidRDefault="008E569A" w:rsidP="00E37790">
      <w:pPr>
        <w:pStyle w:val="Overskrift2"/>
        <w:ind w:left="360"/>
      </w:pPr>
    </w:p>
    <w:p w14:paraId="560B4FEB" w14:textId="77777777" w:rsidR="00593DA4" w:rsidRDefault="00593DA4">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7FB5E5E9" w14:textId="69517B6C" w:rsidR="00BA7346" w:rsidRDefault="00BA7346" w:rsidP="00BA7346">
      <w:pPr>
        <w:pStyle w:val="Overskrift1"/>
      </w:pPr>
      <w:bookmarkStart w:id="46" w:name="_Toc114065557"/>
      <w:r>
        <w:lastRenderedPageBreak/>
        <w:t>Vedlegg</w:t>
      </w:r>
      <w:bookmarkEnd w:id="46"/>
    </w:p>
    <w:p w14:paraId="3165777E" w14:textId="2E11E61E" w:rsidR="0087017B" w:rsidRDefault="00FA0458" w:rsidP="00041ED1">
      <w:pPr>
        <w:pStyle w:val="Overskrift2"/>
      </w:pPr>
      <w:bookmarkStart w:id="47" w:name="_Toc114065558"/>
      <w:r>
        <w:t xml:space="preserve">Vedlegg 1: </w:t>
      </w:r>
      <w:r w:rsidR="00593DA4">
        <w:t>P</w:t>
      </w:r>
      <w:r w:rsidR="0087017B">
        <w:t xml:space="preserve">olicydokumenter </w:t>
      </w:r>
      <w:r w:rsidR="00593DA4">
        <w:t xml:space="preserve">for Akademikerne </w:t>
      </w:r>
      <w:r w:rsidR="0087017B">
        <w:t>pr. oktober 202</w:t>
      </w:r>
      <w:r w:rsidR="004964F0">
        <w:t>2</w:t>
      </w:r>
      <w:bookmarkEnd w:id="47"/>
    </w:p>
    <w:p w14:paraId="2499C63A" w14:textId="77777777" w:rsidR="0087017B" w:rsidRDefault="0087017B" w:rsidP="00A3201C">
      <w:pPr>
        <w:pStyle w:val="Listeavsnitt"/>
        <w:numPr>
          <w:ilvl w:val="0"/>
          <w:numId w:val="19"/>
        </w:numPr>
      </w:pPr>
      <w:r>
        <w:t xml:space="preserve">Policydokument om helsenæring (vedtatt september 2018) </w:t>
      </w:r>
    </w:p>
    <w:p w14:paraId="3A567444" w14:textId="7C69B0F6" w:rsidR="0087017B" w:rsidRDefault="0087017B" w:rsidP="00A3201C">
      <w:pPr>
        <w:pStyle w:val="Listeavsnitt"/>
        <w:numPr>
          <w:ilvl w:val="0"/>
          <w:numId w:val="19"/>
        </w:numPr>
      </w:pPr>
      <w:r>
        <w:t>Policydokument om organisering, styring og ledelse i offentlig sektor (vedtatt</w:t>
      </w:r>
      <w:r w:rsidR="06D92141">
        <w:t xml:space="preserve"> oktober </w:t>
      </w:r>
      <w:r>
        <w:t>2013)</w:t>
      </w:r>
    </w:p>
    <w:p w14:paraId="21B71C56" w14:textId="27DC9729" w:rsidR="0087017B" w:rsidRDefault="0087017B" w:rsidP="00A3201C">
      <w:pPr>
        <w:pStyle w:val="Listeavsnitt"/>
        <w:numPr>
          <w:ilvl w:val="0"/>
          <w:numId w:val="19"/>
        </w:numPr>
      </w:pPr>
      <w:r>
        <w:t xml:space="preserve">Policydokument om helse (vedtatt </w:t>
      </w:r>
      <w:r w:rsidR="3C704929">
        <w:t>oktober</w:t>
      </w:r>
      <w:r w:rsidR="008C0ECC">
        <w:t xml:space="preserve"> </w:t>
      </w:r>
      <w:r>
        <w:t>2013)</w:t>
      </w:r>
    </w:p>
    <w:p w14:paraId="08C6DB99" w14:textId="77777777" w:rsidR="0087017B" w:rsidRDefault="0087017B" w:rsidP="00A3201C">
      <w:pPr>
        <w:pStyle w:val="Listeavsnitt"/>
        <w:numPr>
          <w:ilvl w:val="0"/>
          <w:numId w:val="19"/>
        </w:numPr>
      </w:pPr>
      <w:r>
        <w:t xml:space="preserve">Policydokument om et kunnskapsbasert og bærekraftig næringsliv (vedtatt desember 2017) </w:t>
      </w:r>
    </w:p>
    <w:p w14:paraId="4FE33394" w14:textId="5C9FE1E3" w:rsidR="0087017B" w:rsidRDefault="0087017B" w:rsidP="00A3201C">
      <w:pPr>
        <w:pStyle w:val="Listeavsnitt"/>
        <w:numPr>
          <w:ilvl w:val="0"/>
          <w:numId w:val="19"/>
        </w:numPr>
      </w:pPr>
      <w:r>
        <w:t xml:space="preserve">Policydokument om fremme likestilling - hindre diskriminering (vedtatt </w:t>
      </w:r>
      <w:r w:rsidR="00526486">
        <w:t xml:space="preserve">mars </w:t>
      </w:r>
      <w:r>
        <w:t>2010)</w:t>
      </w:r>
    </w:p>
    <w:p w14:paraId="5A3E9B0B" w14:textId="44C9031F" w:rsidR="0087017B" w:rsidRDefault="0087017B" w:rsidP="00A3201C">
      <w:pPr>
        <w:pStyle w:val="Listeavsnitt"/>
        <w:numPr>
          <w:ilvl w:val="0"/>
          <w:numId w:val="19"/>
        </w:numPr>
      </w:pPr>
      <w:r>
        <w:t xml:space="preserve">Policydokument om arbeidstid (vedtatt </w:t>
      </w:r>
      <w:r w:rsidR="00B2153E">
        <w:t xml:space="preserve">juni </w:t>
      </w:r>
      <w:r>
        <w:t>2012)</w:t>
      </w:r>
    </w:p>
    <w:p w14:paraId="2ECECC84" w14:textId="7E3AA248" w:rsidR="0087017B" w:rsidRDefault="0087017B" w:rsidP="00A3201C">
      <w:pPr>
        <w:pStyle w:val="Listeavsnitt"/>
        <w:numPr>
          <w:ilvl w:val="0"/>
          <w:numId w:val="19"/>
        </w:numPr>
      </w:pPr>
      <w:r>
        <w:t xml:space="preserve">Policydokument om skatt- og avgiftspolitikk (vedtatt </w:t>
      </w:r>
      <w:r w:rsidR="002347C1">
        <w:t xml:space="preserve">desember </w:t>
      </w:r>
      <w:r>
        <w:t>2016)</w:t>
      </w:r>
    </w:p>
    <w:p w14:paraId="4E889D6C" w14:textId="593ED20A" w:rsidR="0087017B" w:rsidRDefault="0087017B" w:rsidP="00A3201C">
      <w:pPr>
        <w:pStyle w:val="Listeavsnitt"/>
        <w:numPr>
          <w:ilvl w:val="0"/>
          <w:numId w:val="19"/>
        </w:numPr>
      </w:pPr>
      <w:r>
        <w:t xml:space="preserve">Policydokument om et helsefremmende og inkluderende arbeidsliv (vedtatt </w:t>
      </w:r>
      <w:r w:rsidR="00AE7AE0">
        <w:t xml:space="preserve">mai </w:t>
      </w:r>
      <w:r>
        <w:t xml:space="preserve">2013) </w:t>
      </w:r>
    </w:p>
    <w:p w14:paraId="6A0C1E49" w14:textId="77777777" w:rsidR="0087017B" w:rsidRDefault="0087017B" w:rsidP="00A3201C">
      <w:pPr>
        <w:pStyle w:val="Listeavsnitt"/>
        <w:numPr>
          <w:ilvl w:val="0"/>
          <w:numId w:val="19"/>
        </w:numPr>
      </w:pPr>
      <w:r>
        <w:t xml:space="preserve">Policydokument om etter- og videreutdanning (vedtatt juni 2018) </w:t>
      </w:r>
    </w:p>
    <w:p w14:paraId="6DF2BF7E" w14:textId="77777777" w:rsidR="0087017B" w:rsidRDefault="0087017B" w:rsidP="00A3201C">
      <w:pPr>
        <w:pStyle w:val="Listeavsnitt"/>
        <w:numPr>
          <w:ilvl w:val="0"/>
          <w:numId w:val="19"/>
        </w:numPr>
      </w:pPr>
      <w:r>
        <w:t xml:space="preserve">Policydokument om høyere utdanning og forskning (vedtatt juni 2018) </w:t>
      </w:r>
    </w:p>
    <w:p w14:paraId="14A930F9" w14:textId="77777777" w:rsidR="0087017B" w:rsidRDefault="0087017B" w:rsidP="00A3201C">
      <w:pPr>
        <w:pStyle w:val="Listeavsnitt"/>
        <w:numPr>
          <w:ilvl w:val="0"/>
          <w:numId w:val="19"/>
        </w:numPr>
      </w:pPr>
      <w:r>
        <w:t>Policydokument om barnehage, grunnskole og videregående (vedtatt juni 2018)</w:t>
      </w:r>
    </w:p>
    <w:p w14:paraId="39C87F06" w14:textId="6AEE0298" w:rsidR="0087017B" w:rsidRDefault="0087017B" w:rsidP="00A3201C">
      <w:pPr>
        <w:pStyle w:val="Listeavsnitt"/>
        <w:numPr>
          <w:ilvl w:val="0"/>
          <w:numId w:val="19"/>
        </w:numPr>
      </w:pPr>
      <w:r>
        <w:t>Policydokument om alderspensjon (</w:t>
      </w:r>
      <w:r w:rsidR="008C0ECC">
        <w:t xml:space="preserve">vedtatt </w:t>
      </w:r>
      <w:r>
        <w:t>desember 2015)</w:t>
      </w:r>
    </w:p>
    <w:p w14:paraId="5BBDD65B" w14:textId="0E7780EE" w:rsidR="0087017B" w:rsidRDefault="0087017B" w:rsidP="00A3201C">
      <w:pPr>
        <w:pStyle w:val="Listeavsnitt"/>
        <w:numPr>
          <w:ilvl w:val="0"/>
          <w:numId w:val="19"/>
        </w:numPr>
      </w:pPr>
      <w:r>
        <w:t>Policydokument om klima og miljø (</w:t>
      </w:r>
      <w:r w:rsidR="004D478B">
        <w:t>vedtatt</w:t>
      </w:r>
      <w:r w:rsidR="4F777595">
        <w:t xml:space="preserve"> desember </w:t>
      </w:r>
      <w:r>
        <w:t>2019)</w:t>
      </w:r>
    </w:p>
    <w:p w14:paraId="0691B2D4" w14:textId="77777777" w:rsidR="001A0390" w:rsidRDefault="001A0390">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39C618D9" w14:textId="69E162A1" w:rsidR="007F0AFB" w:rsidRDefault="1BFAEF7B" w:rsidP="00041ED1">
      <w:pPr>
        <w:pStyle w:val="Overskrift2"/>
      </w:pPr>
      <w:bookmarkStart w:id="48" w:name="_Toc114065559"/>
      <w:r>
        <w:lastRenderedPageBreak/>
        <w:t>Vedlegg 2:</w:t>
      </w:r>
      <w:r w:rsidR="307DC019">
        <w:t xml:space="preserve"> Akademikernes</w:t>
      </w:r>
      <w:r w:rsidR="7BCDBCB7">
        <w:t xml:space="preserve"> konferanser og seminarer</w:t>
      </w:r>
      <w:bookmarkEnd w:id="48"/>
    </w:p>
    <w:p w14:paraId="78870F21" w14:textId="11CB71E5" w:rsidR="00C43638" w:rsidRPr="00300429" w:rsidRDefault="00C43638" w:rsidP="0096235B">
      <w:pPr>
        <w:pStyle w:val="Overskrift4"/>
      </w:pPr>
      <w:r w:rsidRPr="00300429">
        <w:t>20</w:t>
      </w:r>
      <w:r w:rsidR="004964F0">
        <w:t>20</w:t>
      </w:r>
    </w:p>
    <w:p w14:paraId="5C8AB9A0" w14:textId="26A50CE3" w:rsidR="009A3CC2" w:rsidRDefault="009A3CC2" w:rsidP="00A3201C">
      <w:pPr>
        <w:pStyle w:val="Kulepunkter"/>
        <w:keepLines w:val="0"/>
        <w:numPr>
          <w:ilvl w:val="0"/>
          <w:numId w:val="17"/>
        </w:numPr>
        <w:suppressAutoHyphens w:val="0"/>
        <w:rPr>
          <w:rFonts w:ascii="Times New Roman" w:hAnsi="Times New Roman"/>
          <w:sz w:val="22"/>
          <w:szCs w:val="22"/>
        </w:rPr>
      </w:pPr>
      <w:r>
        <w:rPr>
          <w:rFonts w:ascii="Times New Roman" w:hAnsi="Times New Roman"/>
          <w:sz w:val="22"/>
          <w:szCs w:val="22"/>
        </w:rPr>
        <w:t>Akademikernes høstkonferanse 2020</w:t>
      </w:r>
    </w:p>
    <w:p w14:paraId="39A9D62F" w14:textId="2B43A12B" w:rsidR="00C43638" w:rsidRPr="00300429" w:rsidRDefault="00C43638" w:rsidP="00A3201C">
      <w:pPr>
        <w:pStyle w:val="Kulepunkter"/>
        <w:keepLines w:val="0"/>
        <w:numPr>
          <w:ilvl w:val="0"/>
          <w:numId w:val="17"/>
        </w:numPr>
        <w:suppressAutoHyphens w:val="0"/>
        <w:rPr>
          <w:rFonts w:ascii="Times New Roman" w:hAnsi="Times New Roman"/>
          <w:sz w:val="22"/>
          <w:szCs w:val="22"/>
        </w:rPr>
      </w:pPr>
      <w:r w:rsidRPr="00300429">
        <w:rPr>
          <w:rFonts w:ascii="Times New Roman" w:hAnsi="Times New Roman"/>
          <w:sz w:val="22"/>
          <w:szCs w:val="22"/>
        </w:rPr>
        <w:t xml:space="preserve">Oppstartseminar </w:t>
      </w:r>
      <w:r w:rsidR="00F70B7A">
        <w:rPr>
          <w:rFonts w:ascii="Times New Roman" w:hAnsi="Times New Roman"/>
          <w:sz w:val="22"/>
          <w:szCs w:val="22"/>
        </w:rPr>
        <w:t xml:space="preserve">for </w:t>
      </w:r>
      <w:r w:rsidRPr="00300429">
        <w:rPr>
          <w:rFonts w:ascii="Times New Roman" w:hAnsi="Times New Roman"/>
          <w:sz w:val="22"/>
          <w:szCs w:val="22"/>
        </w:rPr>
        <w:t>styret</w:t>
      </w:r>
    </w:p>
    <w:p w14:paraId="38F7986A" w14:textId="25A8B093" w:rsidR="00C43638" w:rsidRPr="00300429" w:rsidRDefault="3E5CDF11" w:rsidP="00A3201C">
      <w:pPr>
        <w:pStyle w:val="Kulepunkter"/>
        <w:numPr>
          <w:ilvl w:val="0"/>
          <w:numId w:val="17"/>
        </w:numPr>
        <w:rPr>
          <w:rFonts w:ascii="Times New Roman" w:hAnsi="Times New Roman"/>
          <w:sz w:val="22"/>
          <w:szCs w:val="22"/>
        </w:rPr>
      </w:pPr>
      <w:r w:rsidRPr="03F89E75">
        <w:rPr>
          <w:rFonts w:ascii="Times New Roman" w:hAnsi="Times New Roman"/>
          <w:sz w:val="22"/>
          <w:szCs w:val="22"/>
        </w:rPr>
        <w:t>Generalsekretærsamling</w:t>
      </w:r>
    </w:p>
    <w:p w14:paraId="290B38EA" w14:textId="4FFF9804" w:rsidR="00C43638" w:rsidRDefault="01A5A1E1" w:rsidP="0096235B">
      <w:pPr>
        <w:pStyle w:val="Overskrift4"/>
      </w:pPr>
      <w:r>
        <w:t>20</w:t>
      </w:r>
      <w:r w:rsidR="622E42D6">
        <w:t>21</w:t>
      </w:r>
    </w:p>
    <w:p w14:paraId="474559C1" w14:textId="0EA359D3" w:rsidR="00B15D26" w:rsidRDefault="000B54AB" w:rsidP="00781E6C">
      <w:pPr>
        <w:pStyle w:val="Listeavsnitt"/>
        <w:numPr>
          <w:ilvl w:val="0"/>
          <w:numId w:val="30"/>
        </w:numPr>
      </w:pPr>
      <w:r>
        <w:t>Seminar om</w:t>
      </w:r>
      <w:r w:rsidR="5742BE47">
        <w:t xml:space="preserve"> NO</w:t>
      </w:r>
      <w:r w:rsidR="79D2B4D5">
        <w:t xml:space="preserve">U 2021: 2 </w:t>
      </w:r>
      <w:r w:rsidR="44E50DB3">
        <w:t>Sysselsettingsutvalget (digitalt)</w:t>
      </w:r>
    </w:p>
    <w:p w14:paraId="1B77A53A" w14:textId="52430C2A" w:rsidR="00781E6C" w:rsidRPr="00781E6C" w:rsidRDefault="3DDD0C72" w:rsidP="00781E6C">
      <w:pPr>
        <w:pStyle w:val="Listeavsnitt"/>
        <w:numPr>
          <w:ilvl w:val="0"/>
          <w:numId w:val="30"/>
        </w:numPr>
      </w:pPr>
      <w:r>
        <w:t>Seminar om hjemmekontor/fjernarbeid (digitalt)</w:t>
      </w:r>
    </w:p>
    <w:p w14:paraId="5807E6B8" w14:textId="4953334D" w:rsidR="3D34D8AC" w:rsidRDefault="3D34D8AC" w:rsidP="41304956">
      <w:pPr>
        <w:pStyle w:val="Listeavsnitt"/>
        <w:numPr>
          <w:ilvl w:val="0"/>
          <w:numId w:val="30"/>
        </w:numPr>
      </w:pPr>
      <w:r>
        <w:t>Tariffsamling kommune (</w:t>
      </w:r>
      <w:r w:rsidR="00C22953">
        <w:t>digitalt</w:t>
      </w:r>
      <w:r>
        <w:t>)</w:t>
      </w:r>
    </w:p>
    <w:p w14:paraId="66FFECE8" w14:textId="6FB5DD3C" w:rsidR="3D34D8AC" w:rsidRDefault="3D34D8AC" w:rsidP="41304956">
      <w:pPr>
        <w:pStyle w:val="Listeavsnitt"/>
        <w:numPr>
          <w:ilvl w:val="0"/>
          <w:numId w:val="30"/>
        </w:numPr>
      </w:pPr>
      <w:r>
        <w:t>Tariffseminar stat (digitalt)</w:t>
      </w:r>
    </w:p>
    <w:p w14:paraId="1A820761" w14:textId="42FD1CF4" w:rsidR="3D34D8AC" w:rsidRDefault="3D34D8AC" w:rsidP="41304956">
      <w:pPr>
        <w:pStyle w:val="Listeavsnitt"/>
        <w:numPr>
          <w:ilvl w:val="0"/>
          <w:numId w:val="30"/>
        </w:numPr>
      </w:pPr>
      <w:r>
        <w:t>Webinar omstilling (digitalt)</w:t>
      </w:r>
    </w:p>
    <w:p w14:paraId="5CA8DAD2" w14:textId="3B6121C6" w:rsidR="3D34D8AC" w:rsidRDefault="3D34D8AC" w:rsidP="41304956">
      <w:pPr>
        <w:pStyle w:val="Listeavsnitt"/>
        <w:numPr>
          <w:ilvl w:val="0"/>
          <w:numId w:val="30"/>
        </w:numPr>
      </w:pPr>
      <w:r>
        <w:t>Evalueringskonferanse kommune (digitalt)</w:t>
      </w:r>
    </w:p>
    <w:p w14:paraId="3B334EEC" w14:textId="004BA00E" w:rsidR="3D34D8AC" w:rsidRDefault="3D34D8AC" w:rsidP="41304956">
      <w:pPr>
        <w:pStyle w:val="Listeavsnitt"/>
        <w:numPr>
          <w:ilvl w:val="0"/>
          <w:numId w:val="30"/>
        </w:numPr>
      </w:pPr>
      <w:r>
        <w:t>Regionale tariffkurs stat og kommune</w:t>
      </w:r>
    </w:p>
    <w:p w14:paraId="7D1F3CA4" w14:textId="5DB013B0" w:rsidR="091054B0" w:rsidRDefault="091054B0" w:rsidP="41304956">
      <w:pPr>
        <w:pStyle w:val="Listeavsnitt"/>
        <w:numPr>
          <w:ilvl w:val="0"/>
          <w:numId w:val="30"/>
        </w:numPr>
      </w:pPr>
      <w:r>
        <w:t>To</w:t>
      </w:r>
      <w:r w:rsidR="3D34D8AC">
        <w:t xml:space="preserve"> omstillingskurs</w:t>
      </w:r>
      <w:r w:rsidR="5BA7D5B1">
        <w:t xml:space="preserve"> stat</w:t>
      </w:r>
    </w:p>
    <w:p w14:paraId="7835D2BC" w14:textId="542AD58C" w:rsidR="3D34D8AC" w:rsidRDefault="3D34D8AC" w:rsidP="41304956">
      <w:pPr>
        <w:pStyle w:val="Listeavsnitt"/>
        <w:numPr>
          <w:ilvl w:val="0"/>
          <w:numId w:val="30"/>
        </w:numPr>
      </w:pPr>
      <w:r>
        <w:t>Strategiseminar</w:t>
      </w:r>
      <w:r w:rsidR="000B54AB">
        <w:t xml:space="preserve"> for styret</w:t>
      </w:r>
      <w:r w:rsidR="008D120D">
        <w:t xml:space="preserve"> (digitalt)</w:t>
      </w:r>
    </w:p>
    <w:p w14:paraId="1E4F77B4" w14:textId="0FD03B45" w:rsidR="00182C54" w:rsidRDefault="633B9CD2" w:rsidP="00781E6C">
      <w:pPr>
        <w:pStyle w:val="Listeavsnitt"/>
        <w:numPr>
          <w:ilvl w:val="0"/>
          <w:numId w:val="30"/>
        </w:numPr>
      </w:pPr>
      <w:r>
        <w:t xml:space="preserve">IA-seminar </w:t>
      </w:r>
      <w:r w:rsidR="4C02A846">
        <w:t xml:space="preserve">juni </w:t>
      </w:r>
      <w:r>
        <w:t>(digitalt)</w:t>
      </w:r>
    </w:p>
    <w:p w14:paraId="706957BB" w14:textId="1B552AE5" w:rsidR="509E46F9" w:rsidRDefault="509E46F9" w:rsidP="41304956">
      <w:pPr>
        <w:pStyle w:val="Listeavsnitt"/>
        <w:numPr>
          <w:ilvl w:val="0"/>
          <w:numId w:val="30"/>
        </w:numPr>
      </w:pPr>
      <w:r>
        <w:t>Deltakelse Arendalsuka</w:t>
      </w:r>
    </w:p>
    <w:p w14:paraId="2C551A8A" w14:textId="73D2360C" w:rsidR="007753EA" w:rsidRDefault="00513771" w:rsidP="25152AD0">
      <w:pPr>
        <w:pStyle w:val="Listeavsnitt"/>
        <w:numPr>
          <w:ilvl w:val="0"/>
          <w:numId w:val="30"/>
        </w:numPr>
      </w:pPr>
      <w:r>
        <w:t>Akademikernes høstkonferanse 2021</w:t>
      </w:r>
      <w:r w:rsidR="00C92F5A">
        <w:t>: Koronagenerasjonen – blir alt bra?</w:t>
      </w:r>
    </w:p>
    <w:p w14:paraId="18760155" w14:textId="45384147" w:rsidR="00182C54" w:rsidRPr="00781E6C" w:rsidRDefault="78F82618" w:rsidP="00781E6C">
      <w:pPr>
        <w:pStyle w:val="Listeavsnitt"/>
        <w:numPr>
          <w:ilvl w:val="0"/>
          <w:numId w:val="30"/>
        </w:numPr>
      </w:pPr>
      <w:r>
        <w:t>IA-seminar</w:t>
      </w:r>
      <w:r w:rsidR="382C7CEC">
        <w:t xml:space="preserve"> november</w:t>
      </w:r>
    </w:p>
    <w:p w14:paraId="1BEA3A0A" w14:textId="6CE477EE" w:rsidR="19B7EEB1" w:rsidRDefault="19B7EEB1" w:rsidP="41304956">
      <w:pPr>
        <w:pStyle w:val="Listeavsnitt"/>
        <w:numPr>
          <w:ilvl w:val="0"/>
          <w:numId w:val="30"/>
        </w:numPr>
      </w:pPr>
      <w:r>
        <w:t>Høstkonferanse for Akademikerne stat, kommune og helse</w:t>
      </w:r>
    </w:p>
    <w:p w14:paraId="17C11B32" w14:textId="7E13332C" w:rsidR="005A7FCB" w:rsidRDefault="005A7FCB" w:rsidP="005A7FCB">
      <w:pPr>
        <w:pStyle w:val="Listeavsnitt"/>
        <w:numPr>
          <w:ilvl w:val="0"/>
          <w:numId w:val="30"/>
        </w:numPr>
      </w:pPr>
      <w:r>
        <w:t xml:space="preserve">Webinarer </w:t>
      </w:r>
      <w:r w:rsidR="004C26C0">
        <w:t xml:space="preserve">Akademikerne </w:t>
      </w:r>
      <w:r w:rsidR="00A45BCD">
        <w:t>Næringsdrivende:</w:t>
      </w:r>
    </w:p>
    <w:p w14:paraId="21946A4C" w14:textId="614E668D" w:rsidR="005A7FCB" w:rsidRDefault="005A7FCB" w:rsidP="00F21219">
      <w:pPr>
        <w:pStyle w:val="Listeavsnitt"/>
        <w:numPr>
          <w:ilvl w:val="1"/>
          <w:numId w:val="30"/>
        </w:numPr>
      </w:pPr>
      <w:r>
        <w:t xml:space="preserve">Fra idé til plan – suksesskriterier ved oppstart av virksomhet </w:t>
      </w:r>
    </w:p>
    <w:p w14:paraId="55BEB063" w14:textId="61F45D2C" w:rsidR="005A7FCB" w:rsidRDefault="005A7FCB" w:rsidP="00F21219">
      <w:pPr>
        <w:pStyle w:val="Listeavsnitt"/>
        <w:numPr>
          <w:ilvl w:val="1"/>
          <w:numId w:val="30"/>
        </w:numPr>
      </w:pPr>
      <w:r>
        <w:t>Pensjon for næringsdrivende – ikke bli en pensjonstaper</w:t>
      </w:r>
    </w:p>
    <w:p w14:paraId="0F81AA72" w14:textId="7E4D35CF" w:rsidR="005A7FCB" w:rsidRDefault="005A7FCB" w:rsidP="00F21219">
      <w:pPr>
        <w:pStyle w:val="Listeavsnitt"/>
        <w:numPr>
          <w:ilvl w:val="1"/>
          <w:numId w:val="30"/>
        </w:numPr>
      </w:pPr>
      <w:r>
        <w:t>Valg av selskapsform</w:t>
      </w:r>
    </w:p>
    <w:p w14:paraId="7C74A124" w14:textId="2C644B61" w:rsidR="005A7FCB" w:rsidRDefault="005A7FCB" w:rsidP="00F21219">
      <w:pPr>
        <w:pStyle w:val="Listeavsnitt"/>
        <w:numPr>
          <w:ilvl w:val="1"/>
          <w:numId w:val="30"/>
        </w:numPr>
      </w:pPr>
      <w:r>
        <w:t>Skattemessige forhold for næringsdrivende</w:t>
      </w:r>
    </w:p>
    <w:p w14:paraId="7D41C724" w14:textId="7A503D0A" w:rsidR="005A7FCB" w:rsidRDefault="005A7FCB" w:rsidP="004C26C0">
      <w:pPr>
        <w:pStyle w:val="Listeavsnitt"/>
        <w:numPr>
          <w:ilvl w:val="1"/>
          <w:numId w:val="30"/>
        </w:numPr>
      </w:pPr>
      <w:r>
        <w:t>Optimalisering av pensjon for næringsdrivende</w:t>
      </w:r>
    </w:p>
    <w:p w14:paraId="7AE6935C" w14:textId="6F217C8F" w:rsidR="00C43638" w:rsidRPr="00300429" w:rsidRDefault="01A5A1E1" w:rsidP="0096235B">
      <w:pPr>
        <w:pStyle w:val="Overskrift4"/>
      </w:pPr>
      <w:r>
        <w:t>202</w:t>
      </w:r>
      <w:r w:rsidR="1262F14C">
        <w:t>2</w:t>
      </w:r>
    </w:p>
    <w:p w14:paraId="7436B501" w14:textId="6F34F264" w:rsidR="7FC59B72" w:rsidRDefault="7FC59B72" w:rsidP="41304956">
      <w:pPr>
        <w:pStyle w:val="Listeavsnitt"/>
        <w:numPr>
          <w:ilvl w:val="0"/>
          <w:numId w:val="18"/>
        </w:numPr>
        <w:tabs>
          <w:tab w:val="clear" w:pos="2155"/>
        </w:tabs>
        <w:spacing w:after="0" w:line="240" w:lineRule="auto"/>
      </w:pPr>
      <w:r w:rsidRPr="41304956">
        <w:rPr>
          <w:rFonts w:ascii="Times New Roman" w:hAnsi="Times New Roman" w:cs="Times New Roman"/>
        </w:rPr>
        <w:t>Topplederkonferansen</w:t>
      </w:r>
    </w:p>
    <w:p w14:paraId="5797DA52" w14:textId="3F10CC30" w:rsidR="001C7FE3" w:rsidRDefault="4BD61EED" w:rsidP="00A3201C">
      <w:pPr>
        <w:pStyle w:val="Listeavsnitt"/>
        <w:numPr>
          <w:ilvl w:val="0"/>
          <w:numId w:val="18"/>
        </w:numPr>
        <w:tabs>
          <w:tab w:val="clear" w:pos="2155"/>
        </w:tabs>
        <w:suppressAutoHyphens/>
        <w:spacing w:after="0" w:line="240" w:lineRule="auto"/>
        <w:rPr>
          <w:rFonts w:ascii="Times New Roman" w:hAnsi="Times New Roman" w:cs="Times New Roman"/>
        </w:rPr>
      </w:pPr>
      <w:r w:rsidRPr="41304956">
        <w:rPr>
          <w:rFonts w:ascii="Times New Roman" w:hAnsi="Times New Roman" w:cs="Times New Roman"/>
        </w:rPr>
        <w:t>Inntektspolitisk konferanse</w:t>
      </w:r>
    </w:p>
    <w:p w14:paraId="33DD991F" w14:textId="4B8710F6" w:rsidR="02325FC0" w:rsidRDefault="02325FC0" w:rsidP="41304956">
      <w:pPr>
        <w:pStyle w:val="Listeavsnitt"/>
        <w:numPr>
          <w:ilvl w:val="0"/>
          <w:numId w:val="18"/>
        </w:numPr>
        <w:tabs>
          <w:tab w:val="clear" w:pos="2155"/>
        </w:tabs>
        <w:spacing w:after="0" w:line="240" w:lineRule="auto"/>
      </w:pPr>
      <w:r w:rsidRPr="41304956">
        <w:rPr>
          <w:rFonts w:ascii="Times New Roman" w:hAnsi="Times New Roman" w:cs="Times New Roman"/>
        </w:rPr>
        <w:t>Tariffseminar stat</w:t>
      </w:r>
    </w:p>
    <w:p w14:paraId="3D2BB9FF" w14:textId="4EA25454" w:rsidR="02325FC0" w:rsidRDefault="02325FC0" w:rsidP="41304956">
      <w:pPr>
        <w:pStyle w:val="Listeavsnitt"/>
        <w:numPr>
          <w:ilvl w:val="0"/>
          <w:numId w:val="18"/>
        </w:numPr>
        <w:tabs>
          <w:tab w:val="clear" w:pos="2155"/>
        </w:tabs>
        <w:spacing w:after="0" w:line="240" w:lineRule="auto"/>
      </w:pPr>
      <w:r w:rsidRPr="41304956">
        <w:rPr>
          <w:rFonts w:ascii="Times New Roman" w:hAnsi="Times New Roman" w:cs="Times New Roman"/>
        </w:rPr>
        <w:t>Evalueringskonferanse stat</w:t>
      </w:r>
    </w:p>
    <w:p w14:paraId="68759F28" w14:textId="25E7988B" w:rsidR="02325FC0" w:rsidRDefault="02325FC0" w:rsidP="41304956">
      <w:pPr>
        <w:pStyle w:val="Listeavsnitt"/>
        <w:numPr>
          <w:ilvl w:val="0"/>
          <w:numId w:val="18"/>
        </w:numPr>
        <w:tabs>
          <w:tab w:val="clear" w:pos="2155"/>
        </w:tabs>
        <w:spacing w:after="0" w:line="240" w:lineRule="auto"/>
      </w:pPr>
      <w:r w:rsidRPr="41304956">
        <w:rPr>
          <w:rFonts w:ascii="Times New Roman" w:hAnsi="Times New Roman" w:cs="Times New Roman"/>
        </w:rPr>
        <w:t>Tillitsvalgtkurs for UH sektor</w:t>
      </w:r>
    </w:p>
    <w:p w14:paraId="1E203791" w14:textId="6C0E4704" w:rsidR="02325FC0" w:rsidRDefault="02325FC0" w:rsidP="41304956">
      <w:pPr>
        <w:pStyle w:val="Listeavsnitt"/>
        <w:numPr>
          <w:ilvl w:val="0"/>
          <w:numId w:val="18"/>
        </w:numPr>
        <w:tabs>
          <w:tab w:val="clear" w:pos="2155"/>
        </w:tabs>
        <w:spacing w:after="0" w:line="240" w:lineRule="auto"/>
      </w:pPr>
      <w:r w:rsidRPr="41304956">
        <w:rPr>
          <w:rFonts w:ascii="Times New Roman" w:hAnsi="Times New Roman" w:cs="Times New Roman"/>
        </w:rPr>
        <w:t>Regionale tariffkurs stat og kommune</w:t>
      </w:r>
    </w:p>
    <w:p w14:paraId="1008DA08" w14:textId="1F1CA3A2" w:rsidR="02325FC0" w:rsidRDefault="02325FC0" w:rsidP="41304956">
      <w:pPr>
        <w:pStyle w:val="Listeavsnitt"/>
        <w:numPr>
          <w:ilvl w:val="0"/>
          <w:numId w:val="18"/>
        </w:numPr>
        <w:tabs>
          <w:tab w:val="clear" w:pos="2155"/>
        </w:tabs>
        <w:spacing w:after="0" w:line="240" w:lineRule="auto"/>
      </w:pPr>
      <w:r w:rsidRPr="41304956">
        <w:rPr>
          <w:rFonts w:ascii="Times New Roman" w:hAnsi="Times New Roman" w:cs="Times New Roman"/>
        </w:rPr>
        <w:t>Tre omstillingskurs stat</w:t>
      </w:r>
    </w:p>
    <w:p w14:paraId="36452AA4" w14:textId="1F2EEF6E" w:rsidR="18EBB0C3" w:rsidRDefault="18EBB0C3" w:rsidP="41304956">
      <w:pPr>
        <w:pStyle w:val="Listeavsnitt"/>
        <w:numPr>
          <w:ilvl w:val="0"/>
          <w:numId w:val="18"/>
        </w:numPr>
        <w:tabs>
          <w:tab w:val="clear" w:pos="2155"/>
        </w:tabs>
        <w:spacing w:after="0" w:line="240" w:lineRule="auto"/>
      </w:pPr>
      <w:r w:rsidRPr="41304956">
        <w:rPr>
          <w:rFonts w:ascii="Times New Roman" w:hAnsi="Times New Roman" w:cs="Times New Roman"/>
        </w:rPr>
        <w:t>GS-samling</w:t>
      </w:r>
    </w:p>
    <w:p w14:paraId="315DB0CD" w14:textId="4F50055B" w:rsidR="00CE4F3A" w:rsidRDefault="00CE4F3A" w:rsidP="00A3201C">
      <w:pPr>
        <w:pStyle w:val="Listeavsnitt"/>
        <w:numPr>
          <w:ilvl w:val="0"/>
          <w:numId w:val="18"/>
        </w:numPr>
        <w:tabs>
          <w:tab w:val="clear" w:pos="2155"/>
        </w:tabs>
        <w:suppressAutoHyphens/>
        <w:spacing w:after="0" w:line="240" w:lineRule="auto"/>
        <w:rPr>
          <w:rFonts w:ascii="Times New Roman" w:hAnsi="Times New Roman" w:cs="Times New Roman"/>
        </w:rPr>
      </w:pPr>
      <w:r>
        <w:rPr>
          <w:rFonts w:ascii="Times New Roman" w:hAnsi="Times New Roman" w:cs="Times New Roman"/>
        </w:rPr>
        <w:t xml:space="preserve">IA-seminar </w:t>
      </w:r>
    </w:p>
    <w:p w14:paraId="5ADEB339" w14:textId="41B5B295" w:rsidR="00A26BBC" w:rsidRDefault="33437A38" w:rsidP="00A3201C">
      <w:pPr>
        <w:pStyle w:val="Listeavsnitt"/>
        <w:numPr>
          <w:ilvl w:val="0"/>
          <w:numId w:val="18"/>
        </w:numPr>
        <w:tabs>
          <w:tab w:val="clear" w:pos="2155"/>
        </w:tabs>
        <w:suppressAutoHyphens/>
        <w:spacing w:after="0" w:line="240" w:lineRule="auto"/>
        <w:rPr>
          <w:rFonts w:ascii="Times New Roman" w:hAnsi="Times New Roman" w:cs="Times New Roman"/>
        </w:rPr>
      </w:pPr>
      <w:r w:rsidRPr="41304956">
        <w:rPr>
          <w:rFonts w:ascii="Times New Roman" w:hAnsi="Times New Roman" w:cs="Times New Roman"/>
        </w:rPr>
        <w:t xml:space="preserve">Seminar om </w:t>
      </w:r>
      <w:r w:rsidR="56682777" w:rsidRPr="41304956">
        <w:rPr>
          <w:rFonts w:ascii="Times New Roman" w:hAnsi="Times New Roman" w:cs="Times New Roman"/>
        </w:rPr>
        <w:t xml:space="preserve">NOU </w:t>
      </w:r>
      <w:r w:rsidR="089B0CDA" w:rsidRPr="41304956">
        <w:rPr>
          <w:rFonts w:ascii="Times New Roman" w:hAnsi="Times New Roman" w:cs="Times New Roman"/>
        </w:rPr>
        <w:t xml:space="preserve">2022: 7 Et forbedret pensjonssystem </w:t>
      </w:r>
    </w:p>
    <w:p w14:paraId="31409584" w14:textId="59AA7D94" w:rsidR="3A99423B" w:rsidRDefault="3A99423B" w:rsidP="41304956">
      <w:pPr>
        <w:pStyle w:val="Listeavsnitt"/>
        <w:numPr>
          <w:ilvl w:val="0"/>
          <w:numId w:val="18"/>
        </w:numPr>
        <w:tabs>
          <w:tab w:val="clear" w:pos="2155"/>
        </w:tabs>
        <w:spacing w:after="0" w:line="240" w:lineRule="auto"/>
      </w:pPr>
      <w:r w:rsidRPr="41304956">
        <w:rPr>
          <w:rFonts w:ascii="Times New Roman" w:hAnsi="Times New Roman" w:cs="Times New Roman"/>
        </w:rPr>
        <w:t xml:space="preserve">Styreseminar Bergen </w:t>
      </w:r>
    </w:p>
    <w:p w14:paraId="7193ED1E" w14:textId="03D31527" w:rsidR="539D695A" w:rsidRDefault="539D695A" w:rsidP="41304956">
      <w:pPr>
        <w:pStyle w:val="Listeavsnitt"/>
        <w:numPr>
          <w:ilvl w:val="0"/>
          <w:numId w:val="18"/>
        </w:numPr>
        <w:tabs>
          <w:tab w:val="clear" w:pos="2155"/>
        </w:tabs>
        <w:spacing w:after="0" w:line="240" w:lineRule="auto"/>
      </w:pPr>
      <w:r w:rsidRPr="41304956">
        <w:rPr>
          <w:rFonts w:ascii="Times New Roman" w:hAnsi="Times New Roman" w:cs="Times New Roman"/>
        </w:rPr>
        <w:lastRenderedPageBreak/>
        <w:t>Deltakelse Arendalsuka</w:t>
      </w:r>
    </w:p>
    <w:p w14:paraId="7E512FA1" w14:textId="0DA137AF" w:rsidR="56230E55" w:rsidRDefault="56230E55" w:rsidP="41304956">
      <w:pPr>
        <w:pStyle w:val="Listeavsnitt"/>
        <w:numPr>
          <w:ilvl w:val="0"/>
          <w:numId w:val="18"/>
        </w:numPr>
        <w:tabs>
          <w:tab w:val="clear" w:pos="2155"/>
        </w:tabs>
        <w:spacing w:after="0" w:line="240" w:lineRule="auto"/>
      </w:pPr>
      <w:r w:rsidRPr="41304956">
        <w:rPr>
          <w:rFonts w:ascii="Times New Roman" w:hAnsi="Times New Roman" w:cs="Times New Roman"/>
        </w:rPr>
        <w:t>Samarbeidskonferanser</w:t>
      </w:r>
    </w:p>
    <w:p w14:paraId="20BDC61D" w14:textId="674204B1" w:rsidR="44444F04" w:rsidRDefault="44444F04" w:rsidP="41304956">
      <w:pPr>
        <w:pStyle w:val="Listeavsnitt"/>
        <w:numPr>
          <w:ilvl w:val="0"/>
          <w:numId w:val="18"/>
        </w:numPr>
        <w:tabs>
          <w:tab w:val="clear" w:pos="2155"/>
        </w:tabs>
        <w:spacing w:after="0" w:line="240" w:lineRule="auto"/>
      </w:pPr>
      <w:r w:rsidRPr="41304956">
        <w:rPr>
          <w:rFonts w:ascii="Times New Roman" w:hAnsi="Times New Roman" w:cs="Times New Roman"/>
        </w:rPr>
        <w:t>Nordisk Akademikerforum</w:t>
      </w:r>
    </w:p>
    <w:p w14:paraId="26878C50" w14:textId="7B03B085" w:rsidR="00F006B1" w:rsidRDefault="00F006B1" w:rsidP="00F21219">
      <w:pPr>
        <w:pStyle w:val="Listeavsnitt"/>
        <w:numPr>
          <w:ilvl w:val="0"/>
          <w:numId w:val="18"/>
        </w:numPr>
        <w:tabs>
          <w:tab w:val="clear" w:pos="2155"/>
        </w:tabs>
        <w:spacing w:after="0" w:line="240" w:lineRule="auto"/>
        <w:rPr>
          <w:rFonts w:ascii="Times New Roman" w:hAnsi="Times New Roman" w:cs="Times New Roman"/>
        </w:rPr>
      </w:pPr>
      <w:r>
        <w:rPr>
          <w:rFonts w:ascii="Times New Roman" w:hAnsi="Times New Roman" w:cs="Times New Roman"/>
        </w:rPr>
        <w:t>Høstkonferanser for Akademikerne stat, kommune og helse</w:t>
      </w:r>
    </w:p>
    <w:p w14:paraId="52DC4A8A" w14:textId="4B482FAF" w:rsidR="001462FD" w:rsidRPr="00F21219" w:rsidRDefault="004C26C0" w:rsidP="00F21219">
      <w:pPr>
        <w:pStyle w:val="Listeavsnitt"/>
        <w:numPr>
          <w:ilvl w:val="0"/>
          <w:numId w:val="18"/>
        </w:numPr>
        <w:tabs>
          <w:tab w:val="clear" w:pos="2155"/>
        </w:tabs>
        <w:spacing w:after="0" w:line="240" w:lineRule="auto"/>
        <w:rPr>
          <w:rFonts w:ascii="Times New Roman" w:hAnsi="Times New Roman" w:cs="Times New Roman"/>
        </w:rPr>
      </w:pPr>
      <w:r w:rsidRPr="00A63670">
        <w:rPr>
          <w:rFonts w:ascii="Times New Roman" w:hAnsi="Times New Roman" w:cs="Times New Roman"/>
        </w:rPr>
        <w:t xml:space="preserve">Webinarer </w:t>
      </w:r>
      <w:r w:rsidR="00CC569C" w:rsidRPr="00A63670">
        <w:rPr>
          <w:rFonts w:ascii="Times New Roman" w:hAnsi="Times New Roman" w:cs="Times New Roman"/>
        </w:rPr>
        <w:t>Akademikerne Nærin</w:t>
      </w:r>
      <w:r w:rsidR="00E56718" w:rsidRPr="00A63670">
        <w:rPr>
          <w:rFonts w:ascii="Times New Roman" w:hAnsi="Times New Roman" w:cs="Times New Roman"/>
        </w:rPr>
        <w:t>gsdrivende</w:t>
      </w:r>
      <w:r w:rsidR="00A45BCD" w:rsidRPr="00A63670">
        <w:rPr>
          <w:rFonts w:ascii="Times New Roman" w:hAnsi="Times New Roman" w:cs="Times New Roman"/>
        </w:rPr>
        <w:t>:</w:t>
      </w:r>
    </w:p>
    <w:p w14:paraId="0FAAE180" w14:textId="77777777" w:rsidR="00A63670" w:rsidRPr="00F21219" w:rsidRDefault="00A63670" w:rsidP="00F21219">
      <w:pPr>
        <w:pStyle w:val="Listeavsnitt"/>
        <w:numPr>
          <w:ilvl w:val="1"/>
          <w:numId w:val="18"/>
        </w:numPr>
        <w:tabs>
          <w:tab w:val="clear" w:pos="2155"/>
        </w:tabs>
        <w:spacing w:after="0" w:line="240" w:lineRule="auto"/>
        <w:rPr>
          <w:rFonts w:ascii="Times New Roman" w:hAnsi="Times New Roman" w:cs="Times New Roman"/>
        </w:rPr>
      </w:pPr>
      <w:r w:rsidRPr="00F21219">
        <w:rPr>
          <w:rFonts w:ascii="Times New Roman" w:hAnsi="Times New Roman" w:cs="Times New Roman"/>
        </w:rPr>
        <w:t>Personvern og GDPR for næringsdrivende og små selskaper</w:t>
      </w:r>
    </w:p>
    <w:p w14:paraId="2999B588" w14:textId="57DC7427" w:rsidR="00A63670" w:rsidRPr="00F21219" w:rsidRDefault="00A63670" w:rsidP="00F21219">
      <w:pPr>
        <w:pStyle w:val="Listeavsnitt"/>
        <w:numPr>
          <w:ilvl w:val="1"/>
          <w:numId w:val="18"/>
        </w:numPr>
        <w:tabs>
          <w:tab w:val="clear" w:pos="2155"/>
        </w:tabs>
        <w:spacing w:after="0" w:line="240" w:lineRule="auto"/>
        <w:rPr>
          <w:rFonts w:ascii="Times New Roman" w:hAnsi="Times New Roman" w:cs="Times New Roman"/>
        </w:rPr>
      </w:pPr>
      <w:r w:rsidRPr="00F21219">
        <w:rPr>
          <w:rFonts w:ascii="Times New Roman" w:hAnsi="Times New Roman" w:cs="Times New Roman"/>
        </w:rPr>
        <w:t>Sosiale rettigheter for næringsdrivende</w:t>
      </w:r>
    </w:p>
    <w:p w14:paraId="08D5E792" w14:textId="1034D018" w:rsidR="00A63670" w:rsidRPr="00F21219" w:rsidRDefault="00A63670" w:rsidP="00F21219">
      <w:pPr>
        <w:pStyle w:val="Listeavsnitt"/>
        <w:numPr>
          <w:ilvl w:val="1"/>
          <w:numId w:val="18"/>
        </w:numPr>
        <w:tabs>
          <w:tab w:val="clear" w:pos="2155"/>
        </w:tabs>
        <w:spacing w:after="0" w:line="240" w:lineRule="auto"/>
        <w:rPr>
          <w:rFonts w:ascii="Times New Roman" w:hAnsi="Times New Roman" w:cs="Times New Roman"/>
        </w:rPr>
      </w:pPr>
      <w:r w:rsidRPr="00F21219">
        <w:rPr>
          <w:rFonts w:ascii="Times New Roman" w:hAnsi="Times New Roman" w:cs="Times New Roman"/>
        </w:rPr>
        <w:t>Show me the SoMe! Hvordan bruke sosiale medier som næringsdrivende</w:t>
      </w:r>
    </w:p>
    <w:p w14:paraId="3BCDD4A1" w14:textId="77777777" w:rsidR="00C43638" w:rsidRPr="00300429" w:rsidRDefault="00C43638" w:rsidP="001E54D6">
      <w:pPr>
        <w:pStyle w:val="Listeavsnitt"/>
        <w:tabs>
          <w:tab w:val="clear" w:pos="2155"/>
        </w:tabs>
        <w:suppressAutoHyphens/>
        <w:spacing w:after="0" w:line="240" w:lineRule="auto"/>
        <w:rPr>
          <w:rFonts w:ascii="Times New Roman" w:hAnsi="Times New Roman" w:cs="Times New Roman"/>
        </w:rPr>
      </w:pPr>
    </w:p>
    <w:p w14:paraId="3C231925" w14:textId="72551E82" w:rsidR="00781E6C" w:rsidRDefault="00781E6C" w:rsidP="00E33361">
      <w:pPr>
        <w:spacing w:after="0"/>
        <w:rPr>
          <w:rFonts w:ascii="Times New Roman" w:eastAsia="Calibri" w:hAnsi="Times New Roman"/>
        </w:rPr>
      </w:pPr>
    </w:p>
    <w:p w14:paraId="35284702" w14:textId="77777777" w:rsidR="00F75510" w:rsidRDefault="00F75510">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0DCE15D3" w14:textId="7CA731A3" w:rsidR="00816FF0" w:rsidRPr="003A36D9" w:rsidRDefault="00593DA4" w:rsidP="00E95EBD">
      <w:pPr>
        <w:pStyle w:val="Overskrift2"/>
      </w:pPr>
      <w:bookmarkStart w:id="49" w:name="_Toc114065560"/>
      <w:r>
        <w:lastRenderedPageBreak/>
        <w:t>Vedlegg 3:</w:t>
      </w:r>
      <w:r w:rsidR="0011289A">
        <w:t xml:space="preserve"> </w:t>
      </w:r>
      <w:r w:rsidR="00816FF0">
        <w:t>Akademikernes sekretariat 20</w:t>
      </w:r>
      <w:r w:rsidR="000076D4">
        <w:t>20</w:t>
      </w:r>
      <w:r w:rsidR="00816FF0">
        <w:t>-20</w:t>
      </w:r>
      <w:r w:rsidR="000076D4">
        <w:t>22</w:t>
      </w:r>
      <w:bookmarkEnd w:id="49"/>
    </w:p>
    <w:p w14:paraId="3627ED82" w14:textId="77777777" w:rsidR="00816FF0" w:rsidRDefault="00816FF0" w:rsidP="00816FF0">
      <w:r>
        <w:t xml:space="preserve">Akademikerne sekretariat holder til i lokaler på Fritjof Nansens plass 6 i Oslo. Ansatte i sekretariatet i perioden: </w:t>
      </w:r>
    </w:p>
    <w:p w14:paraId="15AFC8FD" w14:textId="04AD6E6C" w:rsidR="00816FF0" w:rsidRPr="006E0547" w:rsidRDefault="00816FF0" w:rsidP="00816FF0">
      <w:pPr>
        <w:spacing w:after="0"/>
        <w:rPr>
          <w:rFonts w:ascii="Times New Roman" w:eastAsia="Times New Roman" w:hAnsi="Times New Roman" w:cs="Times New Roman"/>
          <w:lang w:eastAsia="ar-SA"/>
        </w:rPr>
      </w:pPr>
      <w:r w:rsidRPr="12DC08F0">
        <w:rPr>
          <w:rFonts w:ascii="Times New Roman" w:eastAsia="Times New Roman" w:hAnsi="Times New Roman" w:cs="Times New Roman"/>
          <w:lang w:eastAsia="ar-SA"/>
        </w:rPr>
        <w:t xml:space="preserve">Generalsekretær </w:t>
      </w:r>
      <w:r w:rsidR="008D120D">
        <w:rPr>
          <w:rFonts w:ascii="Times New Roman" w:eastAsia="Times New Roman" w:hAnsi="Times New Roman" w:cs="Times New Roman"/>
          <w:lang w:eastAsia="ar-SA"/>
        </w:rPr>
        <w:tab/>
      </w:r>
      <w:r w:rsidR="008D120D">
        <w:rPr>
          <w:rFonts w:ascii="Times New Roman" w:eastAsia="Times New Roman" w:hAnsi="Times New Roman" w:cs="Times New Roman"/>
          <w:lang w:eastAsia="ar-SA"/>
        </w:rPr>
        <w:tab/>
      </w:r>
      <w:r w:rsidR="008D120D">
        <w:rPr>
          <w:rFonts w:ascii="Times New Roman" w:eastAsia="Times New Roman" w:hAnsi="Times New Roman" w:cs="Times New Roman"/>
          <w:lang w:eastAsia="ar-SA"/>
        </w:rPr>
        <w:tab/>
      </w:r>
      <w:r w:rsidR="008D120D">
        <w:rPr>
          <w:rFonts w:ascii="Times New Roman" w:eastAsia="Times New Roman" w:hAnsi="Times New Roman" w:cs="Times New Roman"/>
          <w:lang w:eastAsia="ar-SA"/>
        </w:rPr>
        <w:tab/>
      </w:r>
      <w:r w:rsidRPr="12DC08F0">
        <w:rPr>
          <w:rFonts w:ascii="Times New Roman" w:eastAsia="Times New Roman" w:hAnsi="Times New Roman" w:cs="Times New Roman"/>
          <w:lang w:eastAsia="ar-SA"/>
        </w:rPr>
        <w:t>Bengt Holmen</w:t>
      </w:r>
    </w:p>
    <w:p w14:paraId="0544FAF8" w14:textId="7DDAFCEB"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Organisasjonssjef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Christine Meling</w:t>
      </w:r>
    </w:p>
    <w:p w14:paraId="425CAC93"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Utredningssjef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 xml:space="preserve">Nina Sverdrup Svendsen </w:t>
      </w:r>
    </w:p>
    <w:p w14:paraId="78554AE1" w14:textId="59C90E3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Forhandlingssjef </w:t>
      </w:r>
      <w:r>
        <w:tab/>
      </w:r>
      <w:r>
        <w:tab/>
      </w:r>
      <w:r>
        <w:tab/>
      </w:r>
      <w:r>
        <w:tab/>
      </w:r>
      <w:r w:rsidRPr="006E0547">
        <w:rPr>
          <w:rFonts w:ascii="Times New Roman" w:eastAsia="Times New Roman" w:hAnsi="Times New Roman" w:cs="Times New Roman"/>
          <w:lang w:eastAsia="ar-SA"/>
        </w:rPr>
        <w:t xml:space="preserve">Odd Håker </w:t>
      </w:r>
      <w:r w:rsidR="7FC23ABD" w:rsidRPr="345BC1FD">
        <w:rPr>
          <w:rFonts w:ascii="Times New Roman" w:eastAsia="Times New Roman" w:hAnsi="Times New Roman" w:cs="Times New Roman"/>
          <w:lang w:eastAsia="ar-SA"/>
        </w:rPr>
        <w:t>(</w:t>
      </w:r>
      <w:r w:rsidR="7FC23ABD" w:rsidRPr="500DE08A">
        <w:rPr>
          <w:rFonts w:ascii="Times New Roman" w:eastAsia="Times New Roman" w:hAnsi="Times New Roman" w:cs="Times New Roman"/>
          <w:lang w:eastAsia="ar-SA"/>
        </w:rPr>
        <w:t>t</w:t>
      </w:r>
      <w:r w:rsidR="5E314DDA" w:rsidRPr="500DE08A">
        <w:rPr>
          <w:rFonts w:ascii="Times New Roman" w:eastAsia="Times New Roman" w:hAnsi="Times New Roman" w:cs="Times New Roman"/>
          <w:lang w:eastAsia="ar-SA"/>
        </w:rPr>
        <w:t>.o.m</w:t>
      </w:r>
      <w:r w:rsidR="5E314DDA" w:rsidRPr="214D494A">
        <w:rPr>
          <w:rFonts w:ascii="Times New Roman" w:eastAsia="Times New Roman" w:hAnsi="Times New Roman" w:cs="Times New Roman"/>
          <w:lang w:eastAsia="ar-SA"/>
        </w:rPr>
        <w:t>.</w:t>
      </w:r>
      <w:r w:rsidR="7FC23ABD" w:rsidRPr="345BC1FD">
        <w:rPr>
          <w:rFonts w:ascii="Times New Roman" w:eastAsia="Times New Roman" w:hAnsi="Times New Roman" w:cs="Times New Roman"/>
          <w:lang w:eastAsia="ar-SA"/>
        </w:rPr>
        <w:t xml:space="preserve"> 31.12.2020)</w:t>
      </w:r>
    </w:p>
    <w:p w14:paraId="7B26A4E0" w14:textId="314DC173"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Strategisk rådgiver </w:t>
      </w:r>
      <w:r>
        <w:tab/>
      </w:r>
      <w:r>
        <w:tab/>
      </w:r>
      <w:r>
        <w:tab/>
      </w:r>
      <w:r>
        <w:tab/>
      </w:r>
      <w:r w:rsidRPr="006E0547">
        <w:rPr>
          <w:rFonts w:ascii="Times New Roman" w:eastAsia="Times New Roman" w:hAnsi="Times New Roman" w:cs="Times New Roman"/>
          <w:lang w:eastAsia="ar-SA"/>
        </w:rPr>
        <w:t>Svein Sjølie</w:t>
      </w:r>
      <w:r w:rsidR="477158E3" w:rsidRPr="282611F5">
        <w:rPr>
          <w:rFonts w:ascii="Times New Roman" w:eastAsia="Times New Roman" w:hAnsi="Times New Roman" w:cs="Times New Roman"/>
          <w:lang w:eastAsia="ar-SA"/>
        </w:rPr>
        <w:t xml:space="preserve"> (</w:t>
      </w:r>
      <w:r w:rsidR="4CB9A249" w:rsidRPr="52FFF2E5">
        <w:rPr>
          <w:rFonts w:ascii="Times New Roman" w:eastAsia="Times New Roman" w:hAnsi="Times New Roman" w:cs="Times New Roman"/>
          <w:lang w:eastAsia="ar-SA"/>
        </w:rPr>
        <w:t>t.o.m</w:t>
      </w:r>
      <w:r w:rsidR="4CB9A249" w:rsidRPr="243F5BA5">
        <w:rPr>
          <w:rFonts w:ascii="Times New Roman" w:eastAsia="Times New Roman" w:hAnsi="Times New Roman" w:cs="Times New Roman"/>
          <w:lang w:eastAsia="ar-SA"/>
        </w:rPr>
        <w:t>.</w:t>
      </w:r>
      <w:r w:rsidR="008D120D">
        <w:rPr>
          <w:rFonts w:ascii="Times New Roman" w:eastAsia="Times New Roman" w:hAnsi="Times New Roman" w:cs="Times New Roman"/>
          <w:lang w:eastAsia="ar-SA"/>
        </w:rPr>
        <w:t xml:space="preserve"> 31.12</w:t>
      </w:r>
      <w:r w:rsidR="477158E3" w:rsidRPr="243F5BA5">
        <w:rPr>
          <w:rFonts w:ascii="Times New Roman" w:eastAsia="Times New Roman" w:hAnsi="Times New Roman" w:cs="Times New Roman"/>
          <w:lang w:eastAsia="ar-SA"/>
        </w:rPr>
        <w:t>.</w:t>
      </w:r>
      <w:r w:rsidR="477158E3" w:rsidRPr="282611F5">
        <w:rPr>
          <w:rFonts w:ascii="Times New Roman" w:eastAsia="Times New Roman" w:hAnsi="Times New Roman" w:cs="Times New Roman"/>
          <w:lang w:eastAsia="ar-SA"/>
        </w:rPr>
        <w:t>2020)</w:t>
      </w:r>
    </w:p>
    <w:p w14:paraId="1490316B" w14:textId="2B5A1ACD" w:rsidR="00816FF0" w:rsidRPr="006E0547" w:rsidRDefault="008D120D" w:rsidP="00816FF0">
      <w:pPr>
        <w:tabs>
          <w:tab w:val="clear" w:pos="2155"/>
        </w:tabs>
        <w:suppressAutoHyphen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Forhandlingssjef</w:t>
      </w:r>
      <w:r w:rsidR="00816FF0" w:rsidRPr="006E0547">
        <w:rPr>
          <w:rFonts w:ascii="Times New Roman" w:eastAsia="Times New Roman" w:hAnsi="Times New Roman" w:cs="Times New Roman"/>
          <w:lang w:eastAsia="ar-SA"/>
        </w:rPr>
        <w:t xml:space="preserve"> </w:t>
      </w:r>
      <w:r w:rsidR="00816FF0">
        <w:tab/>
      </w:r>
      <w:r w:rsidR="00816FF0">
        <w:tab/>
      </w:r>
      <w:r w:rsidR="00816FF0">
        <w:tab/>
      </w:r>
      <w:r w:rsidR="00816FF0">
        <w:tab/>
      </w:r>
      <w:r w:rsidR="00816FF0" w:rsidRPr="006E0547">
        <w:rPr>
          <w:rFonts w:ascii="Times New Roman" w:eastAsia="Times New Roman" w:hAnsi="Times New Roman" w:cs="Times New Roman"/>
          <w:lang w:eastAsia="ar-SA"/>
        </w:rPr>
        <w:t xml:space="preserve">Anette Bjørlin Basma </w:t>
      </w:r>
    </w:p>
    <w:p w14:paraId="7AC49C13" w14:textId="1192F46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12DC08F0">
        <w:rPr>
          <w:rFonts w:ascii="Times New Roman" w:eastAsia="Times New Roman" w:hAnsi="Times New Roman" w:cs="Times New Roman"/>
          <w:lang w:eastAsia="ar-SA"/>
        </w:rPr>
        <w:t xml:space="preserve">Fagsjef samfunnsøkonomi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Pr="12DC08F0">
        <w:rPr>
          <w:rFonts w:ascii="Times New Roman" w:eastAsia="Times New Roman" w:hAnsi="Times New Roman" w:cs="Times New Roman"/>
          <w:lang w:eastAsia="ar-SA"/>
        </w:rPr>
        <w:t>Hanne Jordell</w:t>
      </w:r>
      <w:r w:rsidR="760130EA" w:rsidRPr="282611F5">
        <w:rPr>
          <w:rFonts w:ascii="Times New Roman" w:eastAsia="Times New Roman" w:hAnsi="Times New Roman" w:cs="Times New Roman"/>
          <w:lang w:eastAsia="ar-SA"/>
        </w:rPr>
        <w:t xml:space="preserve"> (</w:t>
      </w:r>
      <w:r w:rsidR="07E4D847" w:rsidRPr="6AE387B3">
        <w:rPr>
          <w:rFonts w:ascii="Times New Roman" w:eastAsia="Times New Roman" w:hAnsi="Times New Roman" w:cs="Times New Roman"/>
          <w:lang w:eastAsia="ar-SA"/>
        </w:rPr>
        <w:t>t.</w:t>
      </w:r>
      <w:r w:rsidR="07E4D847" w:rsidRPr="3C22F073">
        <w:rPr>
          <w:rFonts w:ascii="Times New Roman" w:eastAsia="Times New Roman" w:hAnsi="Times New Roman" w:cs="Times New Roman"/>
          <w:lang w:eastAsia="ar-SA"/>
        </w:rPr>
        <w:t>o.m</w:t>
      </w:r>
      <w:r w:rsidR="07E4D847" w:rsidRPr="4A838407">
        <w:rPr>
          <w:rFonts w:ascii="Times New Roman" w:eastAsia="Times New Roman" w:hAnsi="Times New Roman" w:cs="Times New Roman"/>
          <w:lang w:eastAsia="ar-SA"/>
        </w:rPr>
        <w:t>.</w:t>
      </w:r>
      <w:r w:rsidR="760130EA" w:rsidRPr="282611F5">
        <w:rPr>
          <w:rFonts w:ascii="Times New Roman" w:eastAsia="Times New Roman" w:hAnsi="Times New Roman" w:cs="Times New Roman"/>
          <w:lang w:eastAsia="ar-SA"/>
        </w:rPr>
        <w:t xml:space="preserve"> 31.12.2021)</w:t>
      </w:r>
    </w:p>
    <w:p w14:paraId="63A48CAC"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Rådgiver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 xml:space="preserve">Hilde Jåsund </w:t>
      </w:r>
    </w:p>
    <w:p w14:paraId="3AB5816B"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Prosjektkonsulent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Tone Cecilie Johannessen</w:t>
      </w:r>
    </w:p>
    <w:p w14:paraId="6032C507"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Seniorrådgiver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 xml:space="preserve">Grethe Lunde </w:t>
      </w:r>
    </w:p>
    <w:p w14:paraId="16BD919C" w14:textId="77777777"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Kommunikasjonssjef </w:t>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r>
      <w:r w:rsidRPr="006E0547">
        <w:rPr>
          <w:rFonts w:ascii="Times New Roman" w:eastAsia="Times New Roman" w:hAnsi="Times New Roman" w:cs="Times New Roman"/>
          <w:lang w:eastAsia="ar-SA"/>
        </w:rPr>
        <w:tab/>
        <w:t xml:space="preserve">Christine Rian Johannessen </w:t>
      </w:r>
    </w:p>
    <w:p w14:paraId="0187CF03" w14:textId="52AD1483" w:rsidR="00816FF0" w:rsidRPr="006E0547" w:rsidRDefault="00816FF0" w:rsidP="12DC08F0">
      <w:pPr>
        <w:tabs>
          <w:tab w:val="clear" w:pos="2155"/>
        </w:tabs>
        <w:suppressAutoHyphens/>
        <w:spacing w:after="0" w:line="240" w:lineRule="auto"/>
        <w:rPr>
          <w:rFonts w:eastAsiaTheme="minorEastAsia"/>
          <w:lang w:eastAsia="ar-SA"/>
        </w:rPr>
      </w:pPr>
      <w:r w:rsidRPr="12DC08F0">
        <w:rPr>
          <w:rFonts w:eastAsiaTheme="minorEastAsia"/>
          <w:lang w:eastAsia="ar-SA"/>
        </w:rPr>
        <w:t xml:space="preserve">Samfunnspolitisk rådgiver </w:t>
      </w:r>
      <w:r w:rsidR="0013675C">
        <w:rPr>
          <w:rFonts w:eastAsiaTheme="minorEastAsia"/>
          <w:lang w:eastAsia="ar-SA"/>
        </w:rPr>
        <w:tab/>
      </w:r>
      <w:r w:rsidR="0013675C">
        <w:rPr>
          <w:rFonts w:eastAsiaTheme="minorEastAsia"/>
          <w:lang w:eastAsia="ar-SA"/>
        </w:rPr>
        <w:tab/>
      </w:r>
      <w:r w:rsidR="0013675C">
        <w:rPr>
          <w:rFonts w:eastAsiaTheme="minorEastAsia"/>
          <w:lang w:eastAsia="ar-SA"/>
        </w:rPr>
        <w:tab/>
      </w:r>
      <w:r w:rsidRPr="12DC08F0">
        <w:rPr>
          <w:rFonts w:eastAsiaTheme="minorEastAsia"/>
          <w:lang w:eastAsia="ar-SA"/>
        </w:rPr>
        <w:t xml:space="preserve">Helge Kvandal </w:t>
      </w:r>
    </w:p>
    <w:p w14:paraId="4D40C77C" w14:textId="1E86178E" w:rsidR="00816FF0" w:rsidRPr="002745A9" w:rsidRDefault="00816FF0" w:rsidP="12DC08F0">
      <w:pPr>
        <w:tabs>
          <w:tab w:val="clear" w:pos="2155"/>
        </w:tabs>
        <w:suppressAutoHyphens/>
        <w:spacing w:after="0" w:line="240" w:lineRule="auto"/>
        <w:rPr>
          <w:rFonts w:eastAsiaTheme="minorEastAsia"/>
          <w:lang w:eastAsia="ar-SA"/>
        </w:rPr>
      </w:pPr>
      <w:r w:rsidRPr="12DC08F0">
        <w:rPr>
          <w:rFonts w:eastAsiaTheme="minorEastAsia"/>
          <w:lang w:eastAsia="ar-SA"/>
        </w:rPr>
        <w:t xml:space="preserve">Kommunikasjonsrådgiver </w:t>
      </w:r>
      <w:r w:rsidR="0013675C">
        <w:tab/>
      </w:r>
      <w:r w:rsidR="0013675C">
        <w:tab/>
      </w:r>
      <w:r w:rsidR="0013675C">
        <w:tab/>
      </w:r>
      <w:r w:rsidRPr="36A8BB2B">
        <w:rPr>
          <w:rFonts w:eastAsiaTheme="minorEastAsia"/>
          <w:lang w:eastAsia="ar-SA"/>
        </w:rPr>
        <w:t>Vi</w:t>
      </w:r>
      <w:r w:rsidR="05037A06" w:rsidRPr="36A8BB2B">
        <w:rPr>
          <w:rFonts w:eastAsiaTheme="minorEastAsia"/>
          <w:lang w:eastAsia="ar-SA"/>
        </w:rPr>
        <w:t>c</w:t>
      </w:r>
      <w:r w:rsidRPr="36A8BB2B">
        <w:rPr>
          <w:rFonts w:eastAsiaTheme="minorEastAsia"/>
          <w:lang w:eastAsia="ar-SA"/>
        </w:rPr>
        <w:t>toria</w:t>
      </w:r>
      <w:r w:rsidRPr="12DC08F0">
        <w:rPr>
          <w:rFonts w:eastAsiaTheme="minorEastAsia"/>
          <w:lang w:eastAsia="ar-SA"/>
        </w:rPr>
        <w:t xml:space="preserve"> Wilden </w:t>
      </w:r>
    </w:p>
    <w:p w14:paraId="0BA425E3" w14:textId="77777777" w:rsidR="00816FF0" w:rsidRDefault="00816FF0" w:rsidP="6B205F46">
      <w:pPr>
        <w:tabs>
          <w:tab w:val="clear" w:pos="2155"/>
        </w:tabs>
        <w:suppressAutoHyphens/>
        <w:spacing w:after="0" w:line="240" w:lineRule="auto"/>
      </w:pPr>
      <w:r w:rsidRPr="4C823911">
        <w:rPr>
          <w:rFonts w:ascii="Times New Roman" w:eastAsia="Times New Roman" w:hAnsi="Times New Roman" w:cs="Times New Roman"/>
          <w:lang w:eastAsia="ar-SA"/>
        </w:rPr>
        <w:t xml:space="preserve">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290F6772" w:rsidRPr="7E380AD5">
        <w:rPr>
          <w:rFonts w:ascii="Times New Roman" w:eastAsia="Times New Roman" w:hAnsi="Times New Roman" w:cs="Times New Roman"/>
          <w:lang w:eastAsia="ar-SA"/>
        </w:rPr>
        <w:t>Øystein Holm</w:t>
      </w:r>
      <w:r w:rsidR="290F6772" w:rsidRPr="45AF7B6C">
        <w:rPr>
          <w:rFonts w:ascii="Times New Roman" w:eastAsia="Times New Roman" w:hAnsi="Times New Roman" w:cs="Times New Roman"/>
          <w:lang w:eastAsia="ar-SA"/>
        </w:rPr>
        <w:t>-</w:t>
      </w:r>
      <w:r w:rsidR="12DC08F0" w:rsidRPr="4C823911">
        <w:rPr>
          <w:rFonts w:ascii="Times New Roman" w:eastAsia="Times New Roman" w:hAnsi="Times New Roman" w:cs="Times New Roman"/>
          <w:lang w:eastAsia="ar-SA"/>
        </w:rPr>
        <w:t>Haagensen</w:t>
      </w:r>
      <w:r w:rsidRPr="4C823911">
        <w:rPr>
          <w:rFonts w:ascii="Times New Roman" w:eastAsia="Times New Roman" w:hAnsi="Times New Roman" w:cs="Times New Roman"/>
          <w:lang w:eastAsia="ar-SA"/>
        </w:rPr>
        <w:t xml:space="preserve"> </w:t>
      </w:r>
      <w:r>
        <w:tab/>
      </w:r>
      <w:r>
        <w:tab/>
      </w:r>
    </w:p>
    <w:p w14:paraId="21B15026" w14:textId="2503536C"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4C823911">
        <w:rPr>
          <w:rFonts w:ascii="Times New Roman" w:eastAsia="Times New Roman" w:hAnsi="Times New Roman" w:cs="Times New Roman"/>
          <w:lang w:eastAsia="ar-SA"/>
        </w:rPr>
        <w:t>Adm. Sekretær</w:t>
      </w:r>
      <w:r w:rsidR="00BE40BB" w:rsidRPr="4C823911">
        <w:rPr>
          <w:rFonts w:ascii="Times New Roman" w:eastAsia="Times New Roman" w:hAnsi="Times New Roman" w:cs="Times New Roman"/>
          <w:lang w:eastAsia="ar-SA"/>
        </w:rPr>
        <w:t xml:space="preserve">/rådgiver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Pr="4C823911">
        <w:rPr>
          <w:rFonts w:ascii="Times New Roman" w:eastAsia="Times New Roman" w:hAnsi="Times New Roman" w:cs="Times New Roman"/>
          <w:lang w:eastAsia="ar-SA"/>
        </w:rPr>
        <w:t>Ingeborg Guleng</w:t>
      </w:r>
      <w:r w:rsidRPr="12DC08F0">
        <w:rPr>
          <w:rFonts w:ascii="Times New Roman" w:eastAsia="Times New Roman" w:hAnsi="Times New Roman" w:cs="Times New Roman"/>
          <w:lang w:eastAsia="ar-SA"/>
        </w:rPr>
        <w:t xml:space="preserve"> Laugerud</w:t>
      </w:r>
    </w:p>
    <w:p w14:paraId="2A5C908E" w14:textId="37456B4A"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Seniorrådgiver </w:t>
      </w:r>
      <w:r>
        <w:tab/>
      </w:r>
      <w:r>
        <w:tab/>
      </w:r>
      <w:r>
        <w:tab/>
      </w:r>
      <w:r>
        <w:tab/>
      </w:r>
      <w:r>
        <w:tab/>
      </w:r>
      <w:r w:rsidRPr="006E0547">
        <w:rPr>
          <w:rFonts w:ascii="Times New Roman" w:eastAsia="Times New Roman" w:hAnsi="Times New Roman" w:cs="Times New Roman"/>
          <w:lang w:eastAsia="ar-SA"/>
        </w:rPr>
        <w:t xml:space="preserve">Astrid Merethe Svele </w:t>
      </w:r>
    </w:p>
    <w:p w14:paraId="3C226DC1" w14:textId="7A6264BB" w:rsidR="00816FF0" w:rsidRPr="006E0547"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06E0547">
        <w:rPr>
          <w:rFonts w:ascii="Times New Roman" w:eastAsia="Times New Roman" w:hAnsi="Times New Roman" w:cs="Times New Roman"/>
          <w:lang w:eastAsia="ar-SA"/>
        </w:rPr>
        <w:t xml:space="preserve">Seniorrådgiver </w:t>
      </w:r>
      <w:r>
        <w:tab/>
      </w:r>
      <w:r>
        <w:tab/>
      </w:r>
      <w:r>
        <w:tab/>
      </w:r>
      <w:r>
        <w:tab/>
      </w:r>
      <w:r>
        <w:tab/>
      </w:r>
      <w:r w:rsidRPr="006E0547">
        <w:rPr>
          <w:rFonts w:ascii="Times New Roman" w:eastAsia="Times New Roman" w:hAnsi="Times New Roman" w:cs="Times New Roman"/>
          <w:lang w:eastAsia="ar-SA"/>
        </w:rPr>
        <w:t xml:space="preserve">Joakim Østbye </w:t>
      </w:r>
    </w:p>
    <w:p w14:paraId="0FD95A9C" w14:textId="46739495" w:rsidR="00816FF0" w:rsidRDefault="04E0A462" w:rsidP="00816FF0">
      <w:pPr>
        <w:tabs>
          <w:tab w:val="clear" w:pos="2155"/>
        </w:tabs>
        <w:suppressAutoHyphens/>
        <w:spacing w:after="0" w:line="240" w:lineRule="auto"/>
        <w:rPr>
          <w:rFonts w:ascii="Times New Roman" w:eastAsia="Times New Roman" w:hAnsi="Times New Roman" w:cs="Times New Roman"/>
          <w:lang w:eastAsia="ar-SA"/>
        </w:rPr>
      </w:pPr>
      <w:r w:rsidRPr="7FC9C2A1">
        <w:rPr>
          <w:rFonts w:ascii="Times New Roman" w:eastAsia="Times New Roman" w:hAnsi="Times New Roman" w:cs="Times New Roman"/>
          <w:lang w:eastAsia="ar-SA"/>
        </w:rPr>
        <w:t xml:space="preserve">Seniorrådgiver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Pr="7FC9C2A1">
        <w:rPr>
          <w:rFonts w:ascii="Times New Roman" w:eastAsia="Times New Roman" w:hAnsi="Times New Roman" w:cs="Times New Roman"/>
          <w:lang w:eastAsia="ar-SA"/>
        </w:rPr>
        <w:t xml:space="preserve">Atle </w:t>
      </w:r>
      <w:r w:rsidRPr="745B4168">
        <w:rPr>
          <w:rFonts w:ascii="Times New Roman" w:eastAsia="Times New Roman" w:hAnsi="Times New Roman" w:cs="Times New Roman"/>
          <w:lang w:eastAsia="ar-SA"/>
        </w:rPr>
        <w:t>Gullestad</w:t>
      </w:r>
      <w:r w:rsidR="7018D182" w:rsidRPr="3F1502CE">
        <w:rPr>
          <w:rFonts w:ascii="Times New Roman" w:eastAsia="Times New Roman" w:hAnsi="Times New Roman" w:cs="Times New Roman"/>
          <w:lang w:eastAsia="ar-SA"/>
        </w:rPr>
        <w:t xml:space="preserve"> </w:t>
      </w:r>
      <w:r w:rsidR="7018D182" w:rsidRPr="4D759662">
        <w:rPr>
          <w:rFonts w:ascii="Times New Roman" w:eastAsia="Times New Roman" w:hAnsi="Times New Roman" w:cs="Times New Roman"/>
          <w:lang w:eastAsia="ar-SA"/>
        </w:rPr>
        <w:t>(f.o.</w:t>
      </w:r>
      <w:r w:rsidR="7018D182" w:rsidRPr="70C7AC69">
        <w:rPr>
          <w:rFonts w:ascii="Times New Roman" w:eastAsia="Times New Roman" w:hAnsi="Times New Roman" w:cs="Times New Roman"/>
          <w:lang w:eastAsia="ar-SA"/>
        </w:rPr>
        <w:t>m.</w:t>
      </w:r>
      <w:r w:rsidR="147581CF" w:rsidRPr="556DCF41">
        <w:rPr>
          <w:rFonts w:ascii="Times New Roman" w:eastAsia="Times New Roman" w:hAnsi="Times New Roman" w:cs="Times New Roman"/>
          <w:lang w:eastAsia="ar-SA"/>
        </w:rPr>
        <w:t xml:space="preserve"> 06.04.21)</w:t>
      </w:r>
    </w:p>
    <w:p w14:paraId="550F52E3" w14:textId="54C68AAE" w:rsidR="04E0A462" w:rsidRDefault="04E0A462" w:rsidP="745B4168">
      <w:pPr>
        <w:tabs>
          <w:tab w:val="clear" w:pos="2155"/>
        </w:tabs>
        <w:spacing w:after="0" w:line="240" w:lineRule="auto"/>
        <w:rPr>
          <w:rFonts w:ascii="Times New Roman" w:eastAsia="Times New Roman" w:hAnsi="Times New Roman" w:cs="Times New Roman"/>
          <w:lang w:eastAsia="ar-SA"/>
        </w:rPr>
      </w:pPr>
      <w:r w:rsidRPr="53FB3DBC">
        <w:rPr>
          <w:rFonts w:ascii="Times New Roman" w:eastAsia="Times New Roman" w:hAnsi="Times New Roman" w:cs="Times New Roman"/>
          <w:lang w:eastAsia="ar-SA"/>
        </w:rPr>
        <w:t xml:space="preserve">Seniorrådgiver </w:t>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13675C">
        <w:rPr>
          <w:rFonts w:ascii="Times New Roman" w:eastAsia="Times New Roman" w:hAnsi="Times New Roman" w:cs="Times New Roman"/>
          <w:lang w:eastAsia="ar-SA"/>
        </w:rPr>
        <w:tab/>
      </w:r>
      <w:r w:rsidR="00BA7346">
        <w:rPr>
          <w:rFonts w:ascii="Times New Roman" w:eastAsia="Times New Roman" w:hAnsi="Times New Roman" w:cs="Times New Roman"/>
          <w:lang w:eastAsia="ar-SA"/>
        </w:rPr>
        <w:tab/>
      </w:r>
      <w:r w:rsidRPr="53FB3DBC">
        <w:rPr>
          <w:rFonts w:ascii="Times New Roman" w:eastAsia="Times New Roman" w:hAnsi="Times New Roman" w:cs="Times New Roman"/>
          <w:lang w:eastAsia="ar-SA"/>
        </w:rPr>
        <w:t xml:space="preserve">Annette </w:t>
      </w:r>
      <w:r w:rsidRPr="1A9F69CB">
        <w:rPr>
          <w:rFonts w:ascii="Times New Roman" w:eastAsia="Times New Roman" w:hAnsi="Times New Roman" w:cs="Times New Roman"/>
          <w:lang w:eastAsia="ar-SA"/>
        </w:rPr>
        <w:t>Narverud</w:t>
      </w:r>
      <w:r w:rsidR="05B549BD" w:rsidRPr="1419C271">
        <w:rPr>
          <w:rFonts w:ascii="Times New Roman" w:eastAsia="Times New Roman" w:hAnsi="Times New Roman" w:cs="Times New Roman"/>
          <w:lang w:eastAsia="ar-SA"/>
        </w:rPr>
        <w:t xml:space="preserve"> </w:t>
      </w:r>
      <w:r w:rsidR="05B549BD" w:rsidRPr="5FCECEAD">
        <w:rPr>
          <w:rFonts w:ascii="Times New Roman" w:eastAsia="Times New Roman" w:hAnsi="Times New Roman" w:cs="Times New Roman"/>
          <w:lang w:eastAsia="ar-SA"/>
        </w:rPr>
        <w:t>(</w:t>
      </w:r>
      <w:r w:rsidR="05B549BD" w:rsidRPr="1419C271">
        <w:rPr>
          <w:rFonts w:ascii="Times New Roman" w:eastAsia="Times New Roman" w:hAnsi="Times New Roman" w:cs="Times New Roman"/>
          <w:lang w:eastAsia="ar-SA"/>
        </w:rPr>
        <w:t>f.o.</w:t>
      </w:r>
      <w:r w:rsidR="05B549BD" w:rsidRPr="376BD878">
        <w:rPr>
          <w:rFonts w:ascii="Times New Roman" w:eastAsia="Times New Roman" w:hAnsi="Times New Roman" w:cs="Times New Roman"/>
          <w:lang w:eastAsia="ar-SA"/>
        </w:rPr>
        <w:t>m.</w:t>
      </w:r>
      <w:r w:rsidR="30A9F4DF" w:rsidRPr="1C4F378A">
        <w:rPr>
          <w:rFonts w:ascii="Times New Roman" w:eastAsia="Times New Roman" w:hAnsi="Times New Roman" w:cs="Times New Roman"/>
          <w:lang w:eastAsia="ar-SA"/>
        </w:rPr>
        <w:t xml:space="preserve"> </w:t>
      </w:r>
      <w:r w:rsidR="594A4BD1" w:rsidRPr="556DCF41">
        <w:rPr>
          <w:rFonts w:ascii="Times New Roman" w:eastAsia="Times New Roman" w:hAnsi="Times New Roman" w:cs="Times New Roman"/>
          <w:lang w:eastAsia="ar-SA"/>
        </w:rPr>
        <w:t>03.05.21)</w:t>
      </w:r>
    </w:p>
    <w:p w14:paraId="76B20E71" w14:textId="5C52B2CB" w:rsidR="1D6943A3" w:rsidRDefault="1D6943A3" w:rsidP="556DCF41">
      <w:pPr>
        <w:tabs>
          <w:tab w:val="clear" w:pos="2155"/>
        </w:tabs>
        <w:spacing w:after="0" w:line="240" w:lineRule="auto"/>
        <w:rPr>
          <w:rFonts w:ascii="Times New Roman" w:eastAsia="Times New Roman" w:hAnsi="Times New Roman" w:cs="Times New Roman"/>
          <w:lang w:eastAsia="ar-SA"/>
        </w:rPr>
      </w:pPr>
      <w:r w:rsidRPr="1C4F378A">
        <w:rPr>
          <w:rFonts w:ascii="Times New Roman" w:eastAsia="Times New Roman" w:hAnsi="Times New Roman" w:cs="Times New Roman"/>
          <w:lang w:eastAsia="ar-SA"/>
        </w:rPr>
        <w:t xml:space="preserve">Kommunikasjonsrådgiver (vikariat) </w:t>
      </w:r>
      <w:r w:rsidR="00BA7346">
        <w:rPr>
          <w:rFonts w:ascii="Times New Roman" w:eastAsia="Times New Roman" w:hAnsi="Times New Roman" w:cs="Times New Roman"/>
          <w:lang w:eastAsia="ar-SA"/>
        </w:rPr>
        <w:tab/>
      </w:r>
      <w:r w:rsidR="00BA7346">
        <w:rPr>
          <w:rFonts w:ascii="Times New Roman" w:eastAsia="Times New Roman" w:hAnsi="Times New Roman" w:cs="Times New Roman"/>
          <w:lang w:eastAsia="ar-SA"/>
        </w:rPr>
        <w:tab/>
      </w:r>
      <w:r w:rsidRPr="1C4F378A">
        <w:rPr>
          <w:rFonts w:ascii="Times New Roman" w:eastAsia="Times New Roman" w:hAnsi="Times New Roman" w:cs="Times New Roman"/>
          <w:lang w:eastAsia="ar-SA"/>
        </w:rPr>
        <w:t>Karoline K. Isaksen (f.o.m 10.01.22)</w:t>
      </w:r>
    </w:p>
    <w:p w14:paraId="2075CFD1" w14:textId="48B766DD" w:rsidR="00816FF0" w:rsidRDefault="00816FF0" w:rsidP="00816FF0">
      <w:pPr>
        <w:tabs>
          <w:tab w:val="clear" w:pos="2155"/>
        </w:tabs>
        <w:suppressAutoHyphens/>
        <w:spacing w:after="0" w:line="240" w:lineRule="auto"/>
        <w:rPr>
          <w:rFonts w:ascii="Times New Roman" w:eastAsia="Times New Roman" w:hAnsi="Times New Roman" w:cs="Times New Roman"/>
          <w:lang w:eastAsia="ar-SA"/>
        </w:rPr>
      </w:pPr>
      <w:r w:rsidRPr="0C28780F">
        <w:rPr>
          <w:rFonts w:ascii="Times New Roman" w:eastAsia="Times New Roman" w:hAnsi="Times New Roman" w:cs="Times New Roman"/>
          <w:lang w:eastAsia="ar-SA"/>
        </w:rPr>
        <w:t xml:space="preserve">Omstillingstillitsvalgt </w:t>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Pr="0C28780F">
        <w:rPr>
          <w:rFonts w:ascii="Times New Roman" w:eastAsia="Times New Roman" w:hAnsi="Times New Roman" w:cs="Times New Roman"/>
          <w:lang w:eastAsia="ar-SA"/>
        </w:rPr>
        <w:t>Morten Skaarer</w:t>
      </w:r>
    </w:p>
    <w:p w14:paraId="62B240CB" w14:textId="77777777" w:rsidR="00816FF0" w:rsidRDefault="00816FF0" w:rsidP="00816FF0">
      <w:pPr>
        <w:tabs>
          <w:tab w:val="clear" w:pos="2155"/>
        </w:tabs>
        <w:suppressAutoHyphens/>
        <w:spacing w:after="0" w:line="240" w:lineRule="auto"/>
        <w:rPr>
          <w:rFonts w:ascii="Times New Roman" w:eastAsia="Times New Roman" w:hAnsi="Times New Roman" w:cs="Times New Roman"/>
          <w:lang w:eastAsia="ar-SA"/>
        </w:rPr>
      </w:pPr>
    </w:p>
    <w:p w14:paraId="3E0E3480" w14:textId="43CB06F9" w:rsidR="00816FF0" w:rsidRDefault="00816FF0" w:rsidP="002745A9">
      <w:pPr>
        <w:tabs>
          <w:tab w:val="clear" w:pos="2155"/>
        </w:tabs>
        <w:suppressAutoHyphens/>
        <w:spacing w:after="0" w:line="240" w:lineRule="auto"/>
      </w:pPr>
      <w:r w:rsidRPr="2B45A916">
        <w:rPr>
          <w:rFonts w:ascii="Times New Roman" w:eastAsia="Times New Roman" w:hAnsi="Times New Roman" w:cs="Times New Roman"/>
          <w:lang w:eastAsia="ar-SA"/>
        </w:rPr>
        <w:t xml:space="preserve">Regnskapsfører </w:t>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002745A9">
        <w:rPr>
          <w:rFonts w:ascii="Times New Roman" w:eastAsia="Times New Roman" w:hAnsi="Times New Roman" w:cs="Times New Roman"/>
          <w:lang w:eastAsia="ar-SA"/>
        </w:rPr>
        <w:tab/>
      </w:r>
      <w:r w:rsidRPr="2B45A916">
        <w:rPr>
          <w:rFonts w:ascii="Times New Roman" w:eastAsia="Times New Roman" w:hAnsi="Times New Roman" w:cs="Times New Roman"/>
          <w:lang w:eastAsia="ar-SA"/>
        </w:rPr>
        <w:t>Gunvor Kvarving (Hurd)</w:t>
      </w:r>
    </w:p>
    <w:p w14:paraId="1DD3379A" w14:textId="77777777" w:rsidR="006B4524" w:rsidRDefault="006B4524" w:rsidP="00165D6F">
      <w:pPr>
        <w:pStyle w:val="Overskrift2"/>
      </w:pPr>
      <w:bookmarkStart w:id="50" w:name="_Hlk49807609"/>
    </w:p>
    <w:p w14:paraId="7A57D43F" w14:textId="77777777" w:rsidR="000D6551" w:rsidRDefault="000D6551">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0CBD661A" w14:textId="0EFCF44E" w:rsidR="00CC098A" w:rsidRDefault="005943C4" w:rsidP="00165D6F">
      <w:pPr>
        <w:pStyle w:val="Overskrift2"/>
      </w:pPr>
      <w:bookmarkStart w:id="51" w:name="_Toc114065561"/>
      <w:r>
        <w:lastRenderedPageBreak/>
        <w:t xml:space="preserve">Vedlegg 4: </w:t>
      </w:r>
      <w:r w:rsidR="00CC098A">
        <w:t>Deltakelse i sentrale utvalg, styrer og råd</w:t>
      </w:r>
      <w:r w:rsidR="00C653DD">
        <w:t xml:space="preserve"> </w:t>
      </w:r>
      <w:r w:rsidR="00385308">
        <w:t>for Akademikerne</w:t>
      </w:r>
      <w:bookmarkEnd w:id="51"/>
      <w:r w:rsidR="00722CC2">
        <w:t xml:space="preserve"> </w:t>
      </w:r>
    </w:p>
    <w:bookmarkEnd w:id="50"/>
    <w:p w14:paraId="2C16EF0D" w14:textId="2BBF4E00" w:rsidR="00320972" w:rsidRDefault="00320972" w:rsidP="00320972">
      <w:r>
        <w:t>Leder:</w:t>
      </w:r>
    </w:p>
    <w:p w14:paraId="06DD7E3A" w14:textId="1360AA4F" w:rsidR="00320972" w:rsidRDefault="00320972" w:rsidP="00A3201C">
      <w:pPr>
        <w:pStyle w:val="Listeavsnitt"/>
        <w:numPr>
          <w:ilvl w:val="0"/>
          <w:numId w:val="19"/>
        </w:numPr>
      </w:pPr>
      <w:r>
        <w:t xml:space="preserve">Regjeringens kontaktutvalg </w:t>
      </w:r>
    </w:p>
    <w:p w14:paraId="7A401989" w14:textId="60195ABA" w:rsidR="00320972" w:rsidRDefault="00320972" w:rsidP="00A3201C">
      <w:pPr>
        <w:pStyle w:val="Listeavsnitt"/>
        <w:numPr>
          <w:ilvl w:val="0"/>
          <w:numId w:val="19"/>
        </w:numPr>
      </w:pPr>
      <w:r>
        <w:t xml:space="preserve">Arbeidsliv- og pensjonspolitisk råd </w:t>
      </w:r>
      <w:r w:rsidR="00CA3183">
        <w:t xml:space="preserve"> (ALPR)</w:t>
      </w:r>
    </w:p>
    <w:p w14:paraId="08208BE4" w14:textId="66EE06D0" w:rsidR="00320972" w:rsidRDefault="00320972" w:rsidP="00A3201C">
      <w:pPr>
        <w:pStyle w:val="Listeavsnitt"/>
        <w:numPr>
          <w:ilvl w:val="0"/>
          <w:numId w:val="19"/>
        </w:numPr>
      </w:pPr>
      <w:r>
        <w:t>Kompetansepolitisk råd</w:t>
      </w:r>
    </w:p>
    <w:p w14:paraId="3B4E74D9" w14:textId="3AC2F63A" w:rsidR="00BB7841" w:rsidRDefault="00BB7841" w:rsidP="00A3201C">
      <w:pPr>
        <w:pStyle w:val="Listeavsnitt"/>
        <w:numPr>
          <w:ilvl w:val="0"/>
          <w:numId w:val="19"/>
        </w:numPr>
      </w:pPr>
      <w:r>
        <w:t>Rå</w:t>
      </w:r>
      <w:r w:rsidR="001C3432">
        <w:t>d</w:t>
      </w:r>
      <w:r>
        <w:t xml:space="preserve"> for rettferdig omstilling</w:t>
      </w:r>
    </w:p>
    <w:p w14:paraId="63A36BB0" w14:textId="09289C95" w:rsidR="00320972" w:rsidRDefault="00320972" w:rsidP="00A3201C">
      <w:pPr>
        <w:pStyle w:val="Listeavsnitt"/>
        <w:numPr>
          <w:ilvl w:val="0"/>
          <w:numId w:val="19"/>
        </w:numPr>
      </w:pPr>
      <w:r>
        <w:t>Arbeidslivets klimaråd</w:t>
      </w:r>
    </w:p>
    <w:p w14:paraId="12DFE7C5" w14:textId="795180A0" w:rsidR="00C64EE5" w:rsidRDefault="00320972">
      <w:pPr>
        <w:pStyle w:val="Listeavsnitt"/>
        <w:numPr>
          <w:ilvl w:val="0"/>
          <w:numId w:val="19"/>
        </w:numPr>
      </w:pPr>
      <w:r>
        <w:t xml:space="preserve">Sysselsettingsutvalget </w:t>
      </w:r>
    </w:p>
    <w:p w14:paraId="71C9250D" w14:textId="02BD2845" w:rsidR="00320972" w:rsidRDefault="00385308" w:rsidP="00320972">
      <w:r>
        <w:t xml:space="preserve">Andre: </w:t>
      </w:r>
    </w:p>
    <w:p w14:paraId="6C57737A" w14:textId="5D3656E1" w:rsidR="00DD34C1" w:rsidRDefault="00DD34C1" w:rsidP="00A3201C">
      <w:pPr>
        <w:pStyle w:val="Listeavsnitt"/>
        <w:numPr>
          <w:ilvl w:val="0"/>
          <w:numId w:val="20"/>
        </w:numPr>
      </w:pPr>
      <w:r>
        <w:t xml:space="preserve">Pensjonsutvalgets råd </w:t>
      </w:r>
      <w:r w:rsidR="003C1A96">
        <w:t>–</w:t>
      </w:r>
      <w:r>
        <w:t xml:space="preserve"> A</w:t>
      </w:r>
      <w:r w:rsidR="003C1A96">
        <w:t>nders Kvam (Tekna)</w:t>
      </w:r>
    </w:p>
    <w:p w14:paraId="13AF8264" w14:textId="01932B16" w:rsidR="00320972" w:rsidRDefault="00320972" w:rsidP="00A3201C">
      <w:pPr>
        <w:pStyle w:val="Listeavsnitt"/>
        <w:numPr>
          <w:ilvl w:val="0"/>
          <w:numId w:val="20"/>
        </w:numPr>
      </w:pPr>
      <w:r>
        <w:t>Utvalg om fremtidens arbeidsliv</w:t>
      </w:r>
      <w:r w:rsidR="00204BEE">
        <w:t xml:space="preserve"> </w:t>
      </w:r>
      <w:r>
        <w:t xml:space="preserve">- Nina Sverdrup Svendsen </w:t>
      </w:r>
    </w:p>
    <w:p w14:paraId="1998EBDE" w14:textId="57819A89" w:rsidR="00320972" w:rsidRDefault="00320972" w:rsidP="00A3201C">
      <w:pPr>
        <w:pStyle w:val="Listeavsnitt"/>
        <w:numPr>
          <w:ilvl w:val="0"/>
          <w:numId w:val="20"/>
        </w:numPr>
      </w:pPr>
      <w:r>
        <w:t>Kompetansebehovsutvalget</w:t>
      </w:r>
      <w:r w:rsidR="00A516B0">
        <w:t xml:space="preserve"> </w:t>
      </w:r>
      <w:r w:rsidR="005943C4">
        <w:t xml:space="preserve">- </w:t>
      </w:r>
      <w:r>
        <w:t>Christine Meling</w:t>
      </w:r>
    </w:p>
    <w:p w14:paraId="1B33DC76" w14:textId="5B2342F6" w:rsidR="00A71BEC" w:rsidRDefault="00157A5B" w:rsidP="00A3201C">
      <w:pPr>
        <w:pStyle w:val="Listeavsnitt"/>
        <w:numPr>
          <w:ilvl w:val="0"/>
          <w:numId w:val="20"/>
        </w:numPr>
      </w:pPr>
      <w:r>
        <w:t>T</w:t>
      </w:r>
      <w:r w:rsidR="00A71BEC">
        <w:t>ekniske beregningsutvalg for inntektsoppgjørene (TBU) -</w:t>
      </w:r>
      <w:r w:rsidR="001166A0">
        <w:t xml:space="preserve"> </w:t>
      </w:r>
      <w:r w:rsidR="00722CC2">
        <w:t>Grethe Lunde</w:t>
      </w:r>
    </w:p>
    <w:p w14:paraId="2EC53AF5" w14:textId="6963CD76" w:rsidR="008B1A7C" w:rsidRDefault="008B1A7C" w:rsidP="00A3201C">
      <w:pPr>
        <w:pStyle w:val="Listeavsnitt"/>
        <w:numPr>
          <w:ilvl w:val="0"/>
          <w:numId w:val="20"/>
        </w:numPr>
      </w:pPr>
      <w:r>
        <w:t>Teknisk beregnings</w:t>
      </w:r>
      <w:r w:rsidR="00972DEC">
        <w:t>- og statistikk</w:t>
      </w:r>
      <w:r>
        <w:t>utvalg</w:t>
      </w:r>
      <w:r w:rsidR="00972DEC">
        <w:t xml:space="preserve"> for kommunesektoren</w:t>
      </w:r>
      <w:r w:rsidR="00722CC2">
        <w:t xml:space="preserve"> - Grethe Lunde</w:t>
      </w:r>
    </w:p>
    <w:p w14:paraId="36A35896" w14:textId="645D867B" w:rsidR="006159DA" w:rsidRDefault="006159DA" w:rsidP="00A3201C">
      <w:pPr>
        <w:pStyle w:val="Listeavsnitt"/>
        <w:numPr>
          <w:ilvl w:val="0"/>
          <w:numId w:val="20"/>
        </w:numPr>
      </w:pPr>
      <w:r>
        <w:t>Stati</w:t>
      </w:r>
      <w:r w:rsidR="006A155E">
        <w:t>stikk</w:t>
      </w:r>
      <w:r w:rsidR="00D6237B">
        <w:t xml:space="preserve">- og beregningsutvalget i staten – </w:t>
      </w:r>
      <w:r w:rsidR="00B364D2">
        <w:t xml:space="preserve">Grethe </w:t>
      </w:r>
      <w:r w:rsidR="00A84AA7">
        <w:t xml:space="preserve">Lunde </w:t>
      </w:r>
      <w:r w:rsidR="00B364D2">
        <w:t>og Anette</w:t>
      </w:r>
      <w:r w:rsidR="00A84AA7">
        <w:t xml:space="preserve"> B. Basma</w:t>
      </w:r>
      <w:r w:rsidR="2B64D375">
        <w:t>/Atle Gullestad</w:t>
      </w:r>
    </w:p>
    <w:p w14:paraId="066765DD" w14:textId="2E516EF3" w:rsidR="00385308" w:rsidRDefault="00A71BEC" w:rsidP="00A3201C">
      <w:pPr>
        <w:pStyle w:val="Listeavsnitt"/>
        <w:numPr>
          <w:ilvl w:val="0"/>
          <w:numId w:val="20"/>
        </w:numPr>
      </w:pPr>
      <w:r>
        <w:t>Beregningsutvalg</w:t>
      </w:r>
      <w:r w:rsidR="00AB15E1">
        <w:t xml:space="preserve"> i </w:t>
      </w:r>
      <w:r>
        <w:t xml:space="preserve">Oslo kommune </w:t>
      </w:r>
      <w:r w:rsidR="4527D256">
        <w:t xml:space="preserve">- Grethe Lunde, Annette Narverud, Anette Bjørlin Basma </w:t>
      </w:r>
    </w:p>
    <w:p w14:paraId="2FA0CE97" w14:textId="26625062" w:rsidR="00003D8A" w:rsidRDefault="00E94B66" w:rsidP="00A3201C">
      <w:pPr>
        <w:pStyle w:val="Listeavsnitt"/>
        <w:numPr>
          <w:ilvl w:val="0"/>
          <w:numId w:val="20"/>
        </w:numPr>
      </w:pPr>
      <w:r>
        <w:t>Feriepengelovutvalget</w:t>
      </w:r>
      <w:r w:rsidR="006C3C85">
        <w:t xml:space="preserve"> – Astrid M. Svele</w:t>
      </w:r>
    </w:p>
    <w:p w14:paraId="3CE77122" w14:textId="2D769A70" w:rsidR="00EE0722" w:rsidRDefault="00EE0722" w:rsidP="00A3201C">
      <w:pPr>
        <w:pStyle w:val="Listeavsnitt"/>
        <w:numPr>
          <w:ilvl w:val="0"/>
          <w:numId w:val="20"/>
        </w:numPr>
      </w:pPr>
      <w:r>
        <w:t>Pensjonspoli</w:t>
      </w:r>
      <w:r w:rsidR="0099508A">
        <w:t xml:space="preserve">tisk arbeidsgruppe under ALPR – Anders Kvam </w:t>
      </w:r>
    </w:p>
    <w:p w14:paraId="6E943626" w14:textId="184C62FD" w:rsidR="009C3669" w:rsidRDefault="00ED3866" w:rsidP="00A3201C">
      <w:pPr>
        <w:pStyle w:val="Listeavsnitt"/>
        <w:numPr>
          <w:ilvl w:val="0"/>
          <w:numId w:val="20"/>
        </w:numPr>
      </w:pPr>
      <w:r>
        <w:t xml:space="preserve">Rådgivende </w:t>
      </w:r>
      <w:r w:rsidR="00DF1FA4">
        <w:t>utvalg</w:t>
      </w:r>
      <w:r w:rsidR="00F943E7">
        <w:t xml:space="preserve"> for «Avtale om statlige OU-midler» - </w:t>
      </w:r>
      <w:r w:rsidR="00722CC2">
        <w:t>Anette</w:t>
      </w:r>
      <w:r w:rsidR="4F1C02E1">
        <w:t xml:space="preserve"> B</w:t>
      </w:r>
      <w:r w:rsidR="00FF0BC4">
        <w:t>.</w:t>
      </w:r>
      <w:r w:rsidR="4F1C02E1">
        <w:t xml:space="preserve"> Basma</w:t>
      </w:r>
    </w:p>
    <w:p w14:paraId="5732F8F3" w14:textId="299E29E0" w:rsidR="00F943E7" w:rsidRDefault="00A446E6" w:rsidP="00A3201C">
      <w:pPr>
        <w:pStyle w:val="Listeavsnitt"/>
        <w:numPr>
          <w:ilvl w:val="0"/>
          <w:numId w:val="20"/>
        </w:numPr>
      </w:pPr>
      <w:r>
        <w:t xml:space="preserve">Rådgivende utvalg for «SG1020 – OU-midler» - </w:t>
      </w:r>
      <w:r w:rsidR="00722CC2">
        <w:t>Anette</w:t>
      </w:r>
      <w:r>
        <w:t xml:space="preserve"> </w:t>
      </w:r>
      <w:r w:rsidR="6FDBCB79">
        <w:t>B</w:t>
      </w:r>
      <w:r w:rsidR="00FF0BC4">
        <w:t>.</w:t>
      </w:r>
      <w:r w:rsidR="6FDBCB79">
        <w:t xml:space="preserve"> Basma</w:t>
      </w:r>
    </w:p>
    <w:p w14:paraId="2088437B" w14:textId="1B3E520E" w:rsidR="00764A5C" w:rsidRDefault="00764A5C" w:rsidP="00A3201C">
      <w:pPr>
        <w:pStyle w:val="Listeavsnitt"/>
        <w:numPr>
          <w:ilvl w:val="0"/>
          <w:numId w:val="20"/>
        </w:numPr>
      </w:pPr>
      <w:r>
        <w:t xml:space="preserve">Styret for </w:t>
      </w:r>
      <w:r w:rsidR="00004278">
        <w:t>«Avtale om OU-ordningen</w:t>
      </w:r>
      <w:r w:rsidR="00254714">
        <w:t xml:space="preserve"> for helseforetaken</w:t>
      </w:r>
      <w:r w:rsidR="331623F6">
        <w:t>e</w:t>
      </w:r>
      <w:r w:rsidR="00254714">
        <w:t xml:space="preserve"> i Spekter»</w:t>
      </w:r>
      <w:r w:rsidR="00DA6B99">
        <w:t xml:space="preserve"> - </w:t>
      </w:r>
      <w:r w:rsidR="00722CC2">
        <w:t>Anette</w:t>
      </w:r>
      <w:r w:rsidR="0A4738DF">
        <w:t xml:space="preserve"> B</w:t>
      </w:r>
      <w:r w:rsidR="00FF0BC4">
        <w:t>.</w:t>
      </w:r>
      <w:r w:rsidR="0A4738DF">
        <w:t xml:space="preserve"> Basma</w:t>
      </w:r>
    </w:p>
    <w:p w14:paraId="0D61CBB8" w14:textId="5BFF789E" w:rsidR="00DA6B99" w:rsidRDefault="002D1044" w:rsidP="00A3201C">
      <w:pPr>
        <w:pStyle w:val="Listeavsnitt"/>
        <w:numPr>
          <w:ilvl w:val="0"/>
          <w:numId w:val="20"/>
        </w:numPr>
      </w:pPr>
      <w:r>
        <w:t>Styret for OU-ordningen i Oslo Kommune</w:t>
      </w:r>
      <w:r w:rsidR="0010469F">
        <w:t xml:space="preserve"> - </w:t>
      </w:r>
      <w:r w:rsidR="00A44BAD">
        <w:t>Henrik Stor</w:t>
      </w:r>
      <w:r w:rsidR="00AE107D">
        <w:t>ås, Tannlegeforeningen</w:t>
      </w:r>
      <w:r w:rsidR="31E0A2B4">
        <w:t>/Marit Kamøy, Legeforeni</w:t>
      </w:r>
      <w:r w:rsidR="504AF763">
        <w:t>ngen</w:t>
      </w:r>
    </w:p>
    <w:p w14:paraId="3D6116E2" w14:textId="4EB563FD" w:rsidR="00D76291" w:rsidRPr="00D76291" w:rsidRDefault="00DA4421" w:rsidP="00A3201C">
      <w:pPr>
        <w:pStyle w:val="Listeavsnitt"/>
        <w:numPr>
          <w:ilvl w:val="0"/>
          <w:numId w:val="20"/>
        </w:numPr>
      </w:pPr>
      <w:r>
        <w:t>Kontaktutvalget for Oslo kommune – Erik Graff</w:t>
      </w:r>
    </w:p>
    <w:p w14:paraId="2A3CD493" w14:textId="23F5BB5D" w:rsidR="59F04DB4" w:rsidRDefault="59F04DB4" w:rsidP="00A3201C">
      <w:pPr>
        <w:pStyle w:val="Listeavsnitt"/>
        <w:numPr>
          <w:ilvl w:val="0"/>
          <w:numId w:val="20"/>
        </w:numPr>
      </w:pPr>
      <w:r>
        <w:t>Styret for Pensjonskontoret KS-området - Anders Kvam. O</w:t>
      </w:r>
      <w:r w:rsidR="18CC3113">
        <w:t>le Jakob Knutsen vara.</w:t>
      </w:r>
    </w:p>
    <w:p w14:paraId="236E9DEB" w14:textId="0244156C" w:rsidR="00320972" w:rsidRDefault="00385308" w:rsidP="00A3201C">
      <w:pPr>
        <w:pStyle w:val="Listeavsnitt"/>
        <w:numPr>
          <w:ilvl w:val="0"/>
          <w:numId w:val="20"/>
        </w:numPr>
      </w:pPr>
      <w:r>
        <w:t>S</w:t>
      </w:r>
      <w:r w:rsidR="00320972">
        <w:t xml:space="preserve">enter for seniorpolitikk </w:t>
      </w:r>
      <w:r w:rsidR="00030876">
        <w:t>–</w:t>
      </w:r>
      <w:r w:rsidR="007C52DE">
        <w:t xml:space="preserve"> </w:t>
      </w:r>
      <w:r w:rsidR="00320972">
        <w:t>styremedlem – Håvard Holm</w:t>
      </w:r>
    </w:p>
    <w:p w14:paraId="230C9CE4" w14:textId="67CFC8C5" w:rsidR="00320972" w:rsidRDefault="00320972" w:rsidP="00A3201C">
      <w:pPr>
        <w:pStyle w:val="Listeavsnitt"/>
        <w:numPr>
          <w:ilvl w:val="0"/>
          <w:numId w:val="20"/>
        </w:numPr>
        <w:spacing w:after="0"/>
      </w:pPr>
      <w:r>
        <w:t>Den norske ILO-komite</w:t>
      </w:r>
      <w:r w:rsidR="00675152">
        <w:t>en</w:t>
      </w:r>
      <w:r w:rsidR="00204BEE">
        <w:t xml:space="preserve"> </w:t>
      </w:r>
      <w:r w:rsidR="00E862C8">
        <w:t xml:space="preserve">- </w:t>
      </w:r>
      <w:r w:rsidR="00095839">
        <w:t xml:space="preserve">Astrid </w:t>
      </w:r>
      <w:r w:rsidR="79939B45">
        <w:t xml:space="preserve">M. </w:t>
      </w:r>
      <w:r w:rsidR="00095839">
        <w:t>Svele</w:t>
      </w:r>
    </w:p>
    <w:p w14:paraId="68400464" w14:textId="296DCCD3" w:rsidR="6EB6C68F" w:rsidRDefault="6EB6C68F" w:rsidP="00A3201C">
      <w:pPr>
        <w:pStyle w:val="Listeavsnitt"/>
        <w:numPr>
          <w:ilvl w:val="0"/>
          <w:numId w:val="20"/>
        </w:numPr>
        <w:rPr>
          <w:rFonts w:eastAsiaTheme="minorEastAsia"/>
        </w:rPr>
      </w:pPr>
      <w:r>
        <w:t xml:space="preserve">Referansegruppe for allmenngjøringsordningen - Astrid M. Svele </w:t>
      </w:r>
    </w:p>
    <w:p w14:paraId="52956F89" w14:textId="20E04754" w:rsidR="6EB6C68F" w:rsidRDefault="6EB6C68F" w:rsidP="00A3201C">
      <w:pPr>
        <w:pStyle w:val="Listeavsnitt"/>
        <w:numPr>
          <w:ilvl w:val="0"/>
          <w:numId w:val="20"/>
        </w:numPr>
        <w:rPr>
          <w:rFonts w:eastAsiaTheme="minorEastAsia"/>
        </w:rPr>
      </w:pPr>
      <w:r>
        <w:t xml:space="preserve">Arbeidstilsynets regelverksforum – Anette </w:t>
      </w:r>
      <w:r w:rsidR="587F9CCC">
        <w:t>B</w:t>
      </w:r>
      <w:r w:rsidR="002F4406">
        <w:t>.</w:t>
      </w:r>
      <w:r>
        <w:t xml:space="preserve"> Basma t.o.m. 13.10.2019. Astrid M. Svele f.o.m.</w:t>
      </w:r>
      <w:r w:rsidR="00192F56">
        <w:t xml:space="preserve"> </w:t>
      </w:r>
      <w:r>
        <w:t>14</w:t>
      </w:r>
      <w:r w:rsidR="0032692D">
        <w:t>.10</w:t>
      </w:r>
      <w:r w:rsidR="00B71F84">
        <w:t>.</w:t>
      </w:r>
      <w:r>
        <w:t>201</w:t>
      </w:r>
      <w:r w:rsidR="607123D1">
        <w:t>9</w:t>
      </w:r>
    </w:p>
    <w:p w14:paraId="73E83F94" w14:textId="3331841D" w:rsidR="00B23945" w:rsidRDefault="12921E98" w:rsidP="00A3201C">
      <w:pPr>
        <w:pStyle w:val="Listeavsnitt"/>
        <w:numPr>
          <w:ilvl w:val="0"/>
          <w:numId w:val="20"/>
        </w:numPr>
      </w:pPr>
      <w:r>
        <w:t>Tvisteløsningsnemnda</w:t>
      </w:r>
      <w:r w:rsidR="413A6BF1">
        <w:t xml:space="preserve"> til arbeidsm</w:t>
      </w:r>
      <w:r w:rsidR="3ECFA7AE">
        <w:t>il</w:t>
      </w:r>
      <w:r w:rsidR="413A6BF1">
        <w:t>jøloven</w:t>
      </w:r>
      <w:r w:rsidR="70956CA8">
        <w:t>, vara</w:t>
      </w:r>
      <w:r w:rsidR="413A6BF1">
        <w:t xml:space="preserve"> - Ragnhild Bø Raugland</w:t>
      </w:r>
      <w:r w:rsidR="16D3F5A8">
        <w:t xml:space="preserve"> </w:t>
      </w:r>
      <w:r w:rsidR="413A6BF1">
        <w:t>(</w:t>
      </w:r>
      <w:r w:rsidR="204D40FE">
        <w:t>Juristforbundet)</w:t>
      </w:r>
    </w:p>
    <w:p w14:paraId="17C71EA0" w14:textId="42D1564A" w:rsidR="00B61539" w:rsidRDefault="00B61539" w:rsidP="00A3201C">
      <w:pPr>
        <w:pStyle w:val="Listeavsnitt"/>
        <w:numPr>
          <w:ilvl w:val="0"/>
          <w:numId w:val="20"/>
        </w:numPr>
      </w:pPr>
      <w:r>
        <w:t>Kompetanseforum Oslo – Christine Meling</w:t>
      </w:r>
    </w:p>
    <w:p w14:paraId="20F149A4" w14:textId="0DA609C1" w:rsidR="00B61539" w:rsidRDefault="00A27796" w:rsidP="00A3201C">
      <w:pPr>
        <w:pStyle w:val="Listeavsnitt"/>
        <w:numPr>
          <w:ilvl w:val="0"/>
          <w:numId w:val="20"/>
        </w:numPr>
      </w:pPr>
      <w:r>
        <w:t>Næringspolitiskforum Oslo – Joakim Østby</w:t>
      </w:r>
      <w:r w:rsidR="00867336">
        <w:t>e</w:t>
      </w:r>
    </w:p>
    <w:p w14:paraId="3B1FF28C" w14:textId="6B388676" w:rsidR="00DB2273" w:rsidRDefault="00705CF2" w:rsidP="00A3201C">
      <w:pPr>
        <w:pStyle w:val="Listeavsnitt"/>
        <w:numPr>
          <w:ilvl w:val="0"/>
          <w:numId w:val="20"/>
        </w:numPr>
      </w:pPr>
      <w:r>
        <w:lastRenderedPageBreak/>
        <w:t>P</w:t>
      </w:r>
      <w:r w:rsidR="00DB2273">
        <w:t>rogramområdestyre for bransjeprogram kommunal helse og omsorg</w:t>
      </w:r>
      <w:r w:rsidR="00C601C7">
        <w:t xml:space="preserve"> – Joakim Østbye</w:t>
      </w:r>
    </w:p>
    <w:p w14:paraId="56A56746" w14:textId="129A220E" w:rsidR="006B444C" w:rsidRDefault="006B444C" w:rsidP="00A3201C">
      <w:pPr>
        <w:pStyle w:val="Listeavsnitt"/>
        <w:numPr>
          <w:ilvl w:val="0"/>
          <w:numId w:val="20"/>
        </w:numPr>
      </w:pPr>
      <w:r>
        <w:t>Samarbeidsorgan for bransjeprogrammene</w:t>
      </w:r>
      <w:r w:rsidR="0040264B">
        <w:t xml:space="preserve"> – Joakim Østbye</w:t>
      </w:r>
    </w:p>
    <w:p w14:paraId="49C45E90" w14:textId="7F8F4F0F" w:rsidR="0072554D" w:rsidRDefault="00F55FF2" w:rsidP="00A3201C">
      <w:pPr>
        <w:pStyle w:val="Listeavsnitt"/>
        <w:numPr>
          <w:ilvl w:val="0"/>
          <w:numId w:val="20"/>
        </w:numPr>
      </w:pPr>
      <w:r w:rsidRPr="00F55FF2">
        <w:t>Digitaliseringsstyret for høyere utdanning og forskning</w:t>
      </w:r>
      <w:r w:rsidR="008F6C4C">
        <w:t xml:space="preserve"> – Joakim Østbye</w:t>
      </w:r>
    </w:p>
    <w:p w14:paraId="58805F30" w14:textId="1E2D08C5" w:rsidR="008F6C4C" w:rsidRDefault="006F64FB" w:rsidP="00A3201C">
      <w:pPr>
        <w:pStyle w:val="Listeavsnitt"/>
        <w:numPr>
          <w:ilvl w:val="0"/>
          <w:numId w:val="20"/>
        </w:numPr>
      </w:pPr>
      <w:r>
        <w:t>R</w:t>
      </w:r>
      <w:r w:rsidR="00093479">
        <w:t>åd for kvalitetsprogrammer (</w:t>
      </w:r>
      <w:r w:rsidR="00093479" w:rsidRPr="007545B5">
        <w:t>Direktoratet for høyere utdanning og kompetanse</w:t>
      </w:r>
      <w:r w:rsidR="00093479">
        <w:t>)</w:t>
      </w:r>
      <w:r>
        <w:t xml:space="preserve"> – Joakim Østbye</w:t>
      </w:r>
    </w:p>
    <w:p w14:paraId="11A84AC7" w14:textId="21977992" w:rsidR="73157D67" w:rsidRDefault="00B36A72" w:rsidP="73157D67">
      <w:pPr>
        <w:pStyle w:val="Listeavsnitt"/>
        <w:numPr>
          <w:ilvl w:val="0"/>
          <w:numId w:val="20"/>
        </w:numPr>
      </w:pPr>
      <w:r>
        <w:t>K</w:t>
      </w:r>
      <w:r w:rsidRPr="00B36A72">
        <w:t>oordineringsgruppen for flere læreplasser</w:t>
      </w:r>
      <w:r>
        <w:t xml:space="preserve">- </w:t>
      </w:r>
      <w:r w:rsidR="008B57A9">
        <w:t xml:space="preserve">Ingeborg </w:t>
      </w:r>
      <w:r w:rsidR="00EF3AF4">
        <w:t xml:space="preserve">Guleng </w:t>
      </w:r>
      <w:r w:rsidR="008B57A9">
        <w:t>Laugerud</w:t>
      </w:r>
    </w:p>
    <w:p w14:paraId="55817AF8" w14:textId="4D7436C3" w:rsidR="009359E1" w:rsidRDefault="009359E1" w:rsidP="00A3201C">
      <w:pPr>
        <w:pStyle w:val="Listeavsnitt"/>
        <w:numPr>
          <w:ilvl w:val="0"/>
          <w:numId w:val="20"/>
        </w:numPr>
      </w:pPr>
      <w:r>
        <w:t>Nasjonal koordineringsgruppe Inkluderende arbeidsliv – Nina Sverdrup Svendsen</w:t>
      </w:r>
    </w:p>
    <w:p w14:paraId="7C2D635C" w14:textId="1651D7EF" w:rsidR="00C12C2B" w:rsidRDefault="00C12C2B" w:rsidP="00A3201C">
      <w:pPr>
        <w:pStyle w:val="Listeavsnitt"/>
        <w:numPr>
          <w:ilvl w:val="0"/>
          <w:numId w:val="20"/>
        </w:numPr>
      </w:pPr>
      <w:r>
        <w:t>Faggruppen IA –</w:t>
      </w:r>
      <w:r w:rsidR="00F250DA">
        <w:t xml:space="preserve"> Hanne Jordell</w:t>
      </w:r>
      <w:r w:rsidR="00500D53">
        <w:t xml:space="preserve"> t.o.m. 31.12.2021, Øystein Holm-Haagensen f.o.m. 1.1.2022</w:t>
      </w:r>
    </w:p>
    <w:p w14:paraId="485D5FC5" w14:textId="700DD850" w:rsidR="00EC7ED8" w:rsidRDefault="00C22110" w:rsidP="00A3201C">
      <w:pPr>
        <w:pStyle w:val="Listeavsnitt"/>
        <w:numPr>
          <w:ilvl w:val="0"/>
          <w:numId w:val="20"/>
        </w:numPr>
      </w:pPr>
      <w:r>
        <w:t>Bransjepr</w:t>
      </w:r>
      <w:r w:rsidR="009F1DFA">
        <w:t>o</w:t>
      </w:r>
      <w:r>
        <w:t>gram IA</w:t>
      </w:r>
      <w:r w:rsidR="00960D46">
        <w:t xml:space="preserve"> </w:t>
      </w:r>
      <w:r w:rsidR="009614C9">
        <w:t xml:space="preserve">Sykehus </w:t>
      </w:r>
      <w:r w:rsidR="00B23945">
        <w:t>-</w:t>
      </w:r>
      <w:r w:rsidR="009614C9">
        <w:t xml:space="preserve"> </w:t>
      </w:r>
      <w:r w:rsidR="0088059C">
        <w:t xml:space="preserve">Kristin Krogvold og </w:t>
      </w:r>
      <w:r w:rsidR="001D4DB0">
        <w:t>Ellen E</w:t>
      </w:r>
      <w:r w:rsidR="003F6634">
        <w:t>.</w:t>
      </w:r>
      <w:r w:rsidR="001D4DB0">
        <w:t xml:space="preserve"> Eng</w:t>
      </w:r>
      <w:r w:rsidR="00B53A52">
        <w:t>h</w:t>
      </w:r>
      <w:r w:rsidR="003F6634">
        <w:t>,</w:t>
      </w:r>
      <w:r w:rsidR="001D4DB0">
        <w:t xml:space="preserve"> Akademikerne H</w:t>
      </w:r>
    </w:p>
    <w:p w14:paraId="4C6FCF69" w14:textId="1ACDCEF0" w:rsidR="492FBA5F" w:rsidRDefault="492FBA5F" w:rsidP="00A3201C">
      <w:pPr>
        <w:pStyle w:val="Listeavsnitt"/>
        <w:numPr>
          <w:ilvl w:val="0"/>
          <w:numId w:val="20"/>
        </w:numPr>
      </w:pPr>
      <w:r>
        <w:t>Bransjeprogram IA Leverandørindustrien til olje og gass – Anne Ø</w:t>
      </w:r>
      <w:r w:rsidR="00241364">
        <w:t>y</w:t>
      </w:r>
      <w:r>
        <w:t>en (Tekna)</w:t>
      </w:r>
      <w:r w:rsidR="006A624B">
        <w:t xml:space="preserve"> t.o.m. </w:t>
      </w:r>
      <w:r w:rsidR="00D15155">
        <w:t>9.</w:t>
      </w:r>
      <w:r w:rsidR="00D70092">
        <w:t xml:space="preserve"> </w:t>
      </w:r>
      <w:r w:rsidR="00D15155">
        <w:t>2021</w:t>
      </w:r>
      <w:r w:rsidR="00AA3F68">
        <w:t xml:space="preserve">, Peggy Aasheim (Tekna) f.o.m. </w:t>
      </w:r>
      <w:r w:rsidR="005967EF">
        <w:t>10. 2021.</w:t>
      </w:r>
    </w:p>
    <w:p w14:paraId="7E65A9A2" w14:textId="3DA0AA4D" w:rsidR="00DA3704" w:rsidRDefault="00DA3704" w:rsidP="00A3201C">
      <w:pPr>
        <w:pStyle w:val="Listeavsnitt"/>
        <w:numPr>
          <w:ilvl w:val="0"/>
          <w:numId w:val="20"/>
        </w:numPr>
      </w:pPr>
      <w:r>
        <w:t xml:space="preserve">Arbeidstilsynets råd – Nina Sverdrup </w:t>
      </w:r>
      <w:r w:rsidR="00C12C2B">
        <w:t>S</w:t>
      </w:r>
      <w:r>
        <w:t>vendsen</w:t>
      </w:r>
    </w:p>
    <w:p w14:paraId="72C3F474" w14:textId="0D14C373" w:rsidR="00DA3704" w:rsidRDefault="00C12C2B" w:rsidP="00A3201C">
      <w:pPr>
        <w:pStyle w:val="Listeavsnitt"/>
        <w:numPr>
          <w:ilvl w:val="0"/>
          <w:numId w:val="20"/>
        </w:numPr>
      </w:pPr>
      <w:r>
        <w:t>STAMIs fagråd – Nina Sverdrup Svendsen</w:t>
      </w:r>
    </w:p>
    <w:p w14:paraId="3EC960E7" w14:textId="1DF05C59" w:rsidR="00177F1E" w:rsidRDefault="2687175C" w:rsidP="00A3201C">
      <w:pPr>
        <w:pStyle w:val="Listeavsnitt"/>
        <w:numPr>
          <w:ilvl w:val="0"/>
          <w:numId w:val="20"/>
        </w:numPr>
      </w:pPr>
      <w:r>
        <w:t>IA Referansegruppe arbeidsmiljøsatsingen - Øystein Holm-Haagensen</w:t>
      </w:r>
    </w:p>
    <w:p w14:paraId="1640B88B" w14:textId="7B65D8D6" w:rsidR="00362101" w:rsidRPr="00177F1E" w:rsidRDefault="00362101" w:rsidP="00A3201C">
      <w:pPr>
        <w:pStyle w:val="Listeavsnitt"/>
        <w:numPr>
          <w:ilvl w:val="0"/>
          <w:numId w:val="20"/>
        </w:numPr>
      </w:pPr>
      <w:r>
        <w:t>Arbeidsgruppe likestilling i arbeidslivet</w:t>
      </w:r>
      <w:r w:rsidR="004A6069">
        <w:t xml:space="preserve"> – Nina Sverdrup Svendsen</w:t>
      </w:r>
    </w:p>
    <w:p w14:paraId="3A0A3E07" w14:textId="396551B8" w:rsidR="2687175C" w:rsidRDefault="2687175C" w:rsidP="00A3201C">
      <w:pPr>
        <w:pStyle w:val="Listeavsnitt"/>
        <w:numPr>
          <w:ilvl w:val="0"/>
          <w:numId w:val="20"/>
        </w:numPr>
      </w:pPr>
      <w:r>
        <w:t xml:space="preserve">Inkluderingsdugnaden styringsgruppe </w:t>
      </w:r>
      <w:r w:rsidRPr="02915CB2">
        <w:rPr>
          <w:i/>
        </w:rPr>
        <w:t>Vi inkluderer</w:t>
      </w:r>
      <w:r>
        <w:t xml:space="preserve"> - Øystein Holm-Haagensen</w:t>
      </w:r>
    </w:p>
    <w:p w14:paraId="60480574" w14:textId="44ABAABF" w:rsidR="1E54056D" w:rsidRDefault="1E54056D" w:rsidP="2015B84A">
      <w:pPr>
        <w:pStyle w:val="Listeavsnitt"/>
        <w:numPr>
          <w:ilvl w:val="0"/>
          <w:numId w:val="20"/>
        </w:numPr>
      </w:pPr>
      <w:r w:rsidRPr="2015B84A">
        <w:rPr>
          <w:rFonts w:eastAsiaTheme="minorEastAsia"/>
        </w:rPr>
        <w:t xml:space="preserve">Partssammensatt IA-arbeidsgruppe i staten – Marianne Kringlebotn </w:t>
      </w:r>
    </w:p>
    <w:p w14:paraId="7C66174E" w14:textId="0888F08C" w:rsidR="1E54056D" w:rsidRDefault="1E54056D" w:rsidP="2015B84A">
      <w:pPr>
        <w:pStyle w:val="Listeavsnitt"/>
        <w:numPr>
          <w:ilvl w:val="0"/>
          <w:numId w:val="20"/>
        </w:numPr>
      </w:pPr>
      <w:r w:rsidRPr="2015B84A">
        <w:rPr>
          <w:rFonts w:eastAsiaTheme="minorEastAsia"/>
        </w:rPr>
        <w:t xml:space="preserve">“Best sammen” - IA-arbeidet i KS-sektoren – Frode Svartvatn </w:t>
      </w:r>
    </w:p>
    <w:p w14:paraId="36B0DBF0" w14:textId="77777777" w:rsidR="00F34AC1" w:rsidRPr="00C243DD" w:rsidRDefault="00F34AC1" w:rsidP="00FC5B7C">
      <w:pPr>
        <w:pStyle w:val="Overskrift3"/>
      </w:pPr>
      <w:bookmarkStart w:id="52" w:name="_Toc114065562"/>
      <w:r w:rsidRPr="00C243DD">
        <w:t>Oppnevninger/annet</w:t>
      </w:r>
      <w:bookmarkEnd w:id="52"/>
    </w:p>
    <w:p w14:paraId="39F2528A" w14:textId="77503593" w:rsidR="00F34AC1" w:rsidRPr="0017635A" w:rsidRDefault="00F34AC1" w:rsidP="00F34AC1">
      <w:pPr>
        <w:rPr>
          <w:rFonts w:eastAsiaTheme="minorEastAsia"/>
        </w:rPr>
      </w:pPr>
      <w:r>
        <w:t xml:space="preserve">Akademikerne har med bidrag fra foreningene foreslått </w:t>
      </w:r>
      <w:r w:rsidR="001E7581">
        <w:t xml:space="preserve">for </w:t>
      </w:r>
      <w:r w:rsidR="00EA7BA8">
        <w:t xml:space="preserve">innstilling </w:t>
      </w:r>
      <w:r w:rsidR="001E7581">
        <w:t xml:space="preserve">av </w:t>
      </w:r>
      <w:r>
        <w:t>meddommere til Sentral arbeidsrett og arbeidslivskyndige meddommere til ordinære domstoler for perioden 2021-2023.</w:t>
      </w:r>
    </w:p>
    <w:p w14:paraId="2AEB85C6" w14:textId="75C8E2C7" w:rsidR="001E54D6" w:rsidRDefault="001E54D6">
      <w:pPr>
        <w:tabs>
          <w:tab w:val="clear" w:pos="2155"/>
        </w:tabs>
        <w:spacing w:after="160" w:line="259" w:lineRule="auto"/>
        <w:rPr>
          <w:rFonts w:asciiTheme="majorHAnsi" w:eastAsiaTheme="majorEastAsia" w:hAnsiTheme="majorHAnsi" w:cstheme="majorBidi"/>
          <w:b/>
          <w:color w:val="262682" w:themeColor="accent1"/>
          <w:sz w:val="26"/>
          <w:szCs w:val="26"/>
        </w:rPr>
      </w:pPr>
      <w:r>
        <w:br w:type="page"/>
      </w:r>
    </w:p>
    <w:p w14:paraId="1E1D9301" w14:textId="1C78562D" w:rsidR="00E230C0" w:rsidRPr="007454E3" w:rsidRDefault="00E230C0" w:rsidP="00E230C0">
      <w:pPr>
        <w:pStyle w:val="Overskrift2"/>
      </w:pPr>
      <w:bookmarkStart w:id="53" w:name="_Toc114065563"/>
      <w:r w:rsidRPr="007454E3">
        <w:lastRenderedPageBreak/>
        <w:t>Vedlegg</w:t>
      </w:r>
      <w:r w:rsidR="005943C4">
        <w:t xml:space="preserve"> 5</w:t>
      </w:r>
      <w:r w:rsidRPr="007454E3">
        <w:t xml:space="preserve">: </w:t>
      </w:r>
      <w:r w:rsidR="005A31EB">
        <w:t>Sentrale h</w:t>
      </w:r>
      <w:r w:rsidRPr="007454E3">
        <w:t>øringssvar og innspill</w:t>
      </w:r>
      <w:bookmarkEnd w:id="53"/>
      <w:r w:rsidRPr="007454E3">
        <w:t xml:space="preserve"> </w:t>
      </w:r>
    </w:p>
    <w:p w14:paraId="133151ED" w14:textId="77777777" w:rsidR="00152A52" w:rsidRPr="00152A52" w:rsidRDefault="00152A52" w:rsidP="00FD6184">
      <w:pPr>
        <w:pStyle w:val="Listeavsnitt"/>
        <w:numPr>
          <w:ilvl w:val="0"/>
          <w:numId w:val="20"/>
        </w:numPr>
      </w:pPr>
      <w:r w:rsidRPr="00152A52">
        <w:rPr>
          <w:i/>
        </w:rPr>
        <w:t>NOU 2020:12 – Næringslivets betydning for levende og bærekraftige lokalsamfunn (Distriktnæringsutvalget),</w:t>
      </w:r>
      <w:r w:rsidRPr="00152A52">
        <w:t xml:space="preserve"> Kommunal- og moderniseringsdepartementet</w:t>
      </w:r>
    </w:p>
    <w:p w14:paraId="66209AAE" w14:textId="77777777" w:rsidR="00152A52" w:rsidRPr="00152A52" w:rsidRDefault="00152A52" w:rsidP="00FD6184">
      <w:pPr>
        <w:pStyle w:val="Listeavsnitt"/>
        <w:numPr>
          <w:ilvl w:val="0"/>
          <w:numId w:val="20"/>
        </w:numPr>
      </w:pPr>
      <w:r w:rsidRPr="00152A52">
        <w:rPr>
          <w:i/>
        </w:rPr>
        <w:t>NOU 2020: 13 Private aktører i velferdsstaten,</w:t>
      </w:r>
      <w:r w:rsidRPr="00152A52">
        <w:t xml:space="preserve"> Fiskeri- og næringsdepartementet</w:t>
      </w:r>
    </w:p>
    <w:p w14:paraId="0BDAFE26" w14:textId="77777777" w:rsidR="00152A52" w:rsidRPr="00152A52" w:rsidRDefault="00152A52" w:rsidP="00FD6184">
      <w:pPr>
        <w:pStyle w:val="Listeavsnitt"/>
        <w:numPr>
          <w:ilvl w:val="0"/>
          <w:numId w:val="20"/>
        </w:numPr>
      </w:pPr>
      <w:r w:rsidRPr="00152A52">
        <w:rPr>
          <w:i/>
        </w:rPr>
        <w:t xml:space="preserve">NOU 2019: 7 Arbeid og inntektssikring og NOU 2021: 2 Kompetanse, aktivitet og inntektssikring, </w:t>
      </w:r>
      <w:r w:rsidRPr="00152A52">
        <w:t>Arbeids- og sosialdepartementet</w:t>
      </w:r>
    </w:p>
    <w:p w14:paraId="6B54B1B9" w14:textId="77777777" w:rsidR="00152A52" w:rsidRPr="00152A52" w:rsidRDefault="00152A52" w:rsidP="00FD6184">
      <w:pPr>
        <w:pStyle w:val="Listeavsnitt"/>
        <w:numPr>
          <w:ilvl w:val="0"/>
          <w:numId w:val="20"/>
        </w:numPr>
      </w:pPr>
      <w:r w:rsidRPr="00152A52">
        <w:rPr>
          <w:i/>
        </w:rPr>
        <w:t>NOU 2021: 6 Myndighetenes håndtering av koronapandemien,</w:t>
      </w:r>
      <w:r w:rsidRPr="00152A52">
        <w:t xml:space="preserve"> Justis- og beredskapsdepartementet</w:t>
      </w:r>
    </w:p>
    <w:p w14:paraId="2B32EFB5" w14:textId="77777777" w:rsidR="00152A52" w:rsidRPr="00152A52" w:rsidRDefault="00152A52" w:rsidP="00FD6184">
      <w:pPr>
        <w:pStyle w:val="Listeavsnitt"/>
        <w:numPr>
          <w:ilvl w:val="0"/>
          <w:numId w:val="20"/>
        </w:numPr>
      </w:pPr>
      <w:r w:rsidRPr="00152A52">
        <w:rPr>
          <w:i/>
        </w:rPr>
        <w:t>NOU 2021: 4 - Norge mot 2025,</w:t>
      </w:r>
      <w:r w:rsidRPr="00152A52">
        <w:t xml:space="preserve"> Finansdepartementet</w:t>
      </w:r>
    </w:p>
    <w:p w14:paraId="5C22C300" w14:textId="77777777" w:rsidR="00152A52" w:rsidRPr="00152A52" w:rsidRDefault="00152A52" w:rsidP="00FD6184">
      <w:pPr>
        <w:pStyle w:val="Listeavsnitt"/>
        <w:numPr>
          <w:ilvl w:val="0"/>
          <w:numId w:val="20"/>
        </w:numPr>
      </w:pPr>
      <w:r w:rsidRPr="00152A52">
        <w:rPr>
          <w:i/>
        </w:rPr>
        <w:t>NOU 2021:9 Den norske modellen og fremtidens arbeidsliv – Utredning om tilknytningsformer og virksomhetsorganisering,</w:t>
      </w:r>
      <w:r w:rsidRPr="00152A52">
        <w:t xml:space="preserve"> Arbeids- og sosialdepartementet</w:t>
      </w:r>
    </w:p>
    <w:p w14:paraId="3C9FC572" w14:textId="77777777" w:rsidR="00152A52" w:rsidRPr="00152A52" w:rsidRDefault="00152A52" w:rsidP="00FD6184">
      <w:pPr>
        <w:pStyle w:val="Listeavsnitt"/>
        <w:numPr>
          <w:ilvl w:val="0"/>
          <w:numId w:val="20"/>
        </w:numPr>
      </w:pPr>
      <w:r w:rsidRPr="00152A52">
        <w:rPr>
          <w:i/>
        </w:rPr>
        <w:t xml:space="preserve">NOU 2022: 2 Akademisk ytringsfrihet, </w:t>
      </w:r>
      <w:r w:rsidRPr="00152A52">
        <w:t>Kunnskapsdepartementet</w:t>
      </w:r>
    </w:p>
    <w:p w14:paraId="58667636" w14:textId="77777777" w:rsidR="00152A52" w:rsidRPr="00152A52" w:rsidRDefault="00152A52" w:rsidP="00FD6184">
      <w:pPr>
        <w:pStyle w:val="Listeavsnitt"/>
        <w:numPr>
          <w:ilvl w:val="0"/>
          <w:numId w:val="20"/>
        </w:numPr>
      </w:pPr>
      <w:r w:rsidRPr="00152A52">
        <w:rPr>
          <w:i/>
        </w:rPr>
        <w:t>Forslag til endringer i tilskuddsordning for foretak med stort omsetningsfall,</w:t>
      </w:r>
      <w:r w:rsidRPr="00152A52">
        <w:t xml:space="preserve"> Nærings- og fiskeridepartementet</w:t>
      </w:r>
    </w:p>
    <w:p w14:paraId="6DD1E09D" w14:textId="77777777" w:rsidR="00152A52" w:rsidRPr="00152A52" w:rsidRDefault="00152A52" w:rsidP="00FD6184">
      <w:pPr>
        <w:pStyle w:val="Listeavsnitt"/>
        <w:numPr>
          <w:ilvl w:val="0"/>
          <w:numId w:val="20"/>
        </w:numPr>
      </w:pPr>
      <w:r w:rsidRPr="00152A52">
        <w:rPr>
          <w:i/>
        </w:rPr>
        <w:t>Forslag til endringer i statsborgerloven og statsborgerforskriften (endring i kravene til oppholdstid mm.),</w:t>
      </w:r>
      <w:r w:rsidRPr="00152A52">
        <w:t xml:space="preserve"> Kunnskapsdepartementet</w:t>
      </w:r>
    </w:p>
    <w:p w14:paraId="27A2CF90" w14:textId="77777777" w:rsidR="00152A52" w:rsidRPr="00152A52" w:rsidRDefault="00152A52" w:rsidP="00FD6184">
      <w:pPr>
        <w:pStyle w:val="Listeavsnitt"/>
        <w:numPr>
          <w:ilvl w:val="0"/>
          <w:numId w:val="20"/>
        </w:numPr>
      </w:pPr>
      <w:r w:rsidRPr="00152A52">
        <w:rPr>
          <w:i/>
        </w:rPr>
        <w:t>Forslag om å øke den øvre aldersgrensen i staten fra 70 til 72 år,</w:t>
      </w:r>
      <w:r w:rsidRPr="00152A52">
        <w:t xml:space="preserve"> Arbeids- og sosialdepartementet</w:t>
      </w:r>
    </w:p>
    <w:p w14:paraId="2C0189C7" w14:textId="77777777" w:rsidR="00152A52" w:rsidRPr="00152A52" w:rsidRDefault="00152A52" w:rsidP="00FD6184">
      <w:pPr>
        <w:pStyle w:val="Listeavsnitt"/>
        <w:numPr>
          <w:ilvl w:val="0"/>
          <w:numId w:val="20"/>
        </w:numPr>
      </w:pPr>
      <w:r w:rsidRPr="00152A52">
        <w:rPr>
          <w:i/>
        </w:rPr>
        <w:t>Utredning om pensjon fra første krone og første dag,</w:t>
      </w:r>
      <w:r w:rsidRPr="00152A52">
        <w:t xml:space="preserve"> Finansdepartementet</w:t>
      </w:r>
    </w:p>
    <w:p w14:paraId="520F4F30" w14:textId="77777777" w:rsidR="00152A52" w:rsidRPr="00152A52" w:rsidRDefault="00152A52" w:rsidP="00FD6184">
      <w:pPr>
        <w:pStyle w:val="Listeavsnitt"/>
        <w:numPr>
          <w:ilvl w:val="0"/>
          <w:numId w:val="20"/>
        </w:numPr>
      </w:pPr>
      <w:r w:rsidRPr="00152A52">
        <w:rPr>
          <w:i/>
        </w:rPr>
        <w:t>Forslag til nytt arbeidsmarkedstiltak – sommerjobb for unge med bistandsbehov,</w:t>
      </w:r>
      <w:r w:rsidRPr="00152A52">
        <w:t xml:space="preserve"> Arbeids- og sosialdepartementet</w:t>
      </w:r>
    </w:p>
    <w:p w14:paraId="305DD19C" w14:textId="77777777" w:rsidR="00152A52" w:rsidRPr="00152A52" w:rsidRDefault="00152A52" w:rsidP="00FD6184">
      <w:pPr>
        <w:pStyle w:val="Listeavsnitt"/>
        <w:numPr>
          <w:ilvl w:val="0"/>
          <w:numId w:val="20"/>
        </w:numPr>
      </w:pPr>
      <w:r w:rsidRPr="00152A52">
        <w:rPr>
          <w:i/>
        </w:rPr>
        <w:t xml:space="preserve">Samordning av dagpenger mot private tjenestepensjonsordninger, </w:t>
      </w:r>
      <w:r w:rsidRPr="00152A52">
        <w:t>Arbeids- og sosialdepartementet</w:t>
      </w:r>
    </w:p>
    <w:p w14:paraId="1A3F1A1A" w14:textId="77777777" w:rsidR="00152A52" w:rsidRPr="00152A52" w:rsidRDefault="00152A52" w:rsidP="00FD6184">
      <w:pPr>
        <w:pStyle w:val="Listeavsnitt"/>
        <w:numPr>
          <w:ilvl w:val="0"/>
          <w:numId w:val="20"/>
        </w:numPr>
      </w:pPr>
      <w:r w:rsidRPr="00152A52">
        <w:rPr>
          <w:i/>
        </w:rPr>
        <w:t xml:space="preserve">Forslag om å gjøre allmenngjøringsloven og ferieloven gjeldende på Svalbard, </w:t>
      </w:r>
      <w:r w:rsidRPr="00152A52">
        <w:t>Arbeids- og sosialdepartementet</w:t>
      </w:r>
    </w:p>
    <w:p w14:paraId="01D9156A" w14:textId="77777777" w:rsidR="00152A52" w:rsidRPr="00152A52" w:rsidRDefault="00152A52" w:rsidP="00FD6184">
      <w:pPr>
        <w:pStyle w:val="Listeavsnitt"/>
        <w:numPr>
          <w:ilvl w:val="0"/>
          <w:numId w:val="20"/>
        </w:numPr>
      </w:pPr>
      <w:r w:rsidRPr="00152A52">
        <w:rPr>
          <w:i/>
        </w:rPr>
        <w:t>Forskrift om endring i forskrift om midlertidige regler for utdanningsstøtte som følge av utbruddet av covid-19 og forskrift om endring i forskrift om tilbakebetaling av utdanningslån 2021,</w:t>
      </w:r>
      <w:r w:rsidRPr="00152A52">
        <w:t xml:space="preserve"> Kunnskapsdepartementet</w:t>
      </w:r>
    </w:p>
    <w:p w14:paraId="00173F4E" w14:textId="77777777" w:rsidR="00152A52" w:rsidRPr="00152A52" w:rsidRDefault="00152A52" w:rsidP="00FD6184">
      <w:pPr>
        <w:pStyle w:val="Listeavsnitt"/>
        <w:numPr>
          <w:ilvl w:val="0"/>
          <w:numId w:val="20"/>
        </w:numPr>
      </w:pPr>
      <w:r w:rsidRPr="00152A52">
        <w:rPr>
          <w:i/>
        </w:rPr>
        <w:t>Det handler om Norge,</w:t>
      </w:r>
      <w:r w:rsidRPr="00152A52">
        <w:t xml:space="preserve"> kommunal- og moderniseringsdepartementet</w:t>
      </w:r>
    </w:p>
    <w:p w14:paraId="16E444DE" w14:textId="77777777" w:rsidR="00152A52" w:rsidRPr="00152A52" w:rsidRDefault="00152A52" w:rsidP="00FD6184">
      <w:pPr>
        <w:pStyle w:val="Listeavsnitt"/>
        <w:numPr>
          <w:ilvl w:val="0"/>
          <w:numId w:val="20"/>
        </w:numPr>
      </w:pPr>
      <w:r w:rsidRPr="00152A52">
        <w:rPr>
          <w:i/>
        </w:rPr>
        <w:t>Regulering av grunnbeløp og alderspensjon i folketrygden 2021</w:t>
      </w:r>
      <w:r w:rsidRPr="00152A52">
        <w:t>, Arbeids- og sosialdepartementet</w:t>
      </w:r>
    </w:p>
    <w:p w14:paraId="4E32C598" w14:textId="77777777" w:rsidR="00152A52" w:rsidRPr="00152A52" w:rsidRDefault="00152A52" w:rsidP="00FD6184">
      <w:pPr>
        <w:pStyle w:val="Listeavsnitt"/>
        <w:numPr>
          <w:ilvl w:val="0"/>
          <w:numId w:val="20"/>
        </w:numPr>
      </w:pPr>
      <w:r w:rsidRPr="00152A52">
        <w:rPr>
          <w:i/>
        </w:rPr>
        <w:t xml:space="preserve">Utkast til veileder om taushetsplikt, opplysningsplikt og opplysningsrett i forvaltningen, </w:t>
      </w:r>
      <w:r w:rsidRPr="00152A52">
        <w:t>Justis- og beredskapsdepartementet</w:t>
      </w:r>
    </w:p>
    <w:p w14:paraId="0CD335FF" w14:textId="77777777" w:rsidR="00152A52" w:rsidRPr="00152A52" w:rsidRDefault="00152A52" w:rsidP="00FD6184">
      <w:pPr>
        <w:pStyle w:val="Listeavsnitt"/>
        <w:numPr>
          <w:ilvl w:val="0"/>
          <w:numId w:val="20"/>
        </w:numPr>
      </w:pPr>
      <w:r w:rsidRPr="00152A52">
        <w:rPr>
          <w:i/>
        </w:rPr>
        <w:t>Meld. St. 19 (2020–2021) Styring av statlige universiteter og høyskoler</w:t>
      </w:r>
      <w:r w:rsidRPr="00152A52">
        <w:t>, Utdannings- og forskningskomiteen</w:t>
      </w:r>
    </w:p>
    <w:p w14:paraId="1DCB244C" w14:textId="77777777" w:rsidR="00152A52" w:rsidRPr="00152A52" w:rsidRDefault="00152A52" w:rsidP="00FD6184">
      <w:pPr>
        <w:pStyle w:val="Listeavsnitt"/>
        <w:numPr>
          <w:ilvl w:val="0"/>
          <w:numId w:val="20"/>
        </w:numPr>
      </w:pPr>
      <w:r w:rsidRPr="00152A52">
        <w:rPr>
          <w:i/>
        </w:rPr>
        <w:t>Prop. 111 L (2020−2021) Endringer i universitets- og høyskoleloven, utdanningsstøtteloven, fagskoleloven og yrkeskvalifikasjonsloven mv,</w:t>
      </w:r>
      <w:r w:rsidRPr="00152A52">
        <w:t xml:space="preserve"> Utdannings- og forskningskomiteen </w:t>
      </w:r>
    </w:p>
    <w:p w14:paraId="153C34FB" w14:textId="77777777" w:rsidR="00152A52" w:rsidRPr="00152A52" w:rsidRDefault="00152A52" w:rsidP="00FD6184">
      <w:pPr>
        <w:pStyle w:val="Listeavsnitt"/>
        <w:numPr>
          <w:ilvl w:val="0"/>
          <w:numId w:val="20"/>
        </w:numPr>
      </w:pPr>
      <w:r w:rsidRPr="00152A52">
        <w:rPr>
          <w:i/>
        </w:rPr>
        <w:lastRenderedPageBreak/>
        <w:t>Meld. St. 21 (2020–2021) Fullføringsreformen – med åpne dører til verden og fremtiden,</w:t>
      </w:r>
      <w:r w:rsidRPr="00152A52">
        <w:t xml:space="preserve"> Utdannings- og forskningskomiteen </w:t>
      </w:r>
    </w:p>
    <w:p w14:paraId="41C92B98" w14:textId="77777777" w:rsidR="00152A52" w:rsidRPr="00152A52" w:rsidRDefault="00152A52" w:rsidP="00FD6184">
      <w:pPr>
        <w:pStyle w:val="Listeavsnitt"/>
        <w:numPr>
          <w:ilvl w:val="0"/>
          <w:numId w:val="20"/>
        </w:numPr>
      </w:pPr>
      <w:r w:rsidRPr="00152A52">
        <w:rPr>
          <w:i/>
        </w:rPr>
        <w:t>Forslag til nytt arbeidsmarkedstiltak – sommerjobb for unge med bistandsbehov,</w:t>
      </w:r>
      <w:r w:rsidRPr="00152A52">
        <w:t xml:space="preserve"> Arbeids- og sosialdepartementet</w:t>
      </w:r>
    </w:p>
    <w:p w14:paraId="5D9A38B7" w14:textId="77777777" w:rsidR="00152A52" w:rsidRPr="00152A52" w:rsidRDefault="00152A52" w:rsidP="00FD6184">
      <w:pPr>
        <w:pStyle w:val="Listeavsnitt"/>
        <w:numPr>
          <w:ilvl w:val="0"/>
          <w:numId w:val="20"/>
        </w:numPr>
      </w:pPr>
      <w:r w:rsidRPr="00152A52">
        <w:rPr>
          <w:i/>
        </w:rPr>
        <w:t>Forskrift om plikt til å fratre ved aldersgrense,</w:t>
      </w:r>
      <w:r w:rsidRPr="00152A52">
        <w:t xml:space="preserve"> Arbeids- og sosialdepartementet</w:t>
      </w:r>
    </w:p>
    <w:p w14:paraId="007E9DCD" w14:textId="77777777" w:rsidR="00152A52" w:rsidRPr="00152A52" w:rsidRDefault="00152A52" w:rsidP="00FD6184">
      <w:pPr>
        <w:pStyle w:val="Listeavsnitt"/>
        <w:numPr>
          <w:ilvl w:val="0"/>
          <w:numId w:val="20"/>
        </w:numPr>
      </w:pPr>
      <w:r w:rsidRPr="00152A52">
        <w:rPr>
          <w:i/>
        </w:rPr>
        <w:t xml:space="preserve">Endringer i helsepersonelloven: autorisasjon av naprapater, osteopater, logopeder og paramedisinere, </w:t>
      </w:r>
      <w:r w:rsidRPr="00152A52">
        <w:t>Helse- og omsorgsdepartementet</w:t>
      </w:r>
    </w:p>
    <w:p w14:paraId="1478625F" w14:textId="77777777" w:rsidR="00152A52" w:rsidRPr="00152A52" w:rsidRDefault="00152A52" w:rsidP="00FD6184">
      <w:pPr>
        <w:pStyle w:val="Listeavsnitt"/>
        <w:numPr>
          <w:ilvl w:val="0"/>
          <w:numId w:val="20"/>
        </w:numPr>
      </w:pPr>
      <w:r w:rsidRPr="00152A52">
        <w:rPr>
          <w:i/>
        </w:rPr>
        <w:t xml:space="preserve">Forlengelse av midlertidig forskrift om gjennomføring av utdanninger regulert av rammeplan mv. i forbindelse med utbruddet av covid-19, </w:t>
      </w:r>
      <w:r w:rsidRPr="00152A52">
        <w:t>Kunnskapsdepartementet</w:t>
      </w:r>
    </w:p>
    <w:p w14:paraId="69628005" w14:textId="77777777" w:rsidR="00152A52" w:rsidRPr="00152A52" w:rsidRDefault="00152A52" w:rsidP="00FD6184">
      <w:pPr>
        <w:pStyle w:val="Listeavsnitt"/>
        <w:numPr>
          <w:ilvl w:val="0"/>
          <w:numId w:val="20"/>
        </w:numPr>
      </w:pPr>
      <w:r w:rsidRPr="00152A52">
        <w:rPr>
          <w:i/>
        </w:rPr>
        <w:t>Endringer i reglene om påseplikt etter allmenngjøringsloven (oppdragstakers dokumentasjonsplikt),</w:t>
      </w:r>
      <w:r w:rsidRPr="00152A52">
        <w:t xml:space="preserve"> Arbeids- og sosialdepartementets</w:t>
      </w:r>
    </w:p>
    <w:p w14:paraId="02D63D4A" w14:textId="77777777" w:rsidR="00152A52" w:rsidRPr="00152A52" w:rsidRDefault="00152A52" w:rsidP="00FD6184">
      <w:pPr>
        <w:pStyle w:val="Listeavsnitt"/>
        <w:numPr>
          <w:ilvl w:val="0"/>
          <w:numId w:val="20"/>
        </w:numPr>
      </w:pPr>
      <w:r w:rsidRPr="00152A52">
        <w:rPr>
          <w:i/>
        </w:rPr>
        <w:t>Forslag om å forskriftsfeste ansettelsesform for direktøren i Datatilsynet,</w:t>
      </w:r>
      <w:r w:rsidRPr="00152A52">
        <w:t xml:space="preserve"> Kommunal- og moderniseringsdepartementet</w:t>
      </w:r>
    </w:p>
    <w:p w14:paraId="6FF9E63E" w14:textId="77777777" w:rsidR="00152A52" w:rsidRPr="00152A52" w:rsidRDefault="00152A52" w:rsidP="00FD6184">
      <w:pPr>
        <w:pStyle w:val="Listeavsnitt"/>
        <w:numPr>
          <w:ilvl w:val="0"/>
          <w:numId w:val="20"/>
        </w:numPr>
      </w:pPr>
      <w:r w:rsidRPr="00152A52">
        <w:rPr>
          <w:i/>
        </w:rPr>
        <w:t>Forslag til nytt unntak frå maksimal varigheit for arbeidsavklaringspengar – moglegheit til forlenging av stønadsperioden ved langvarig ventetid på behandling,</w:t>
      </w:r>
      <w:r w:rsidRPr="00152A52">
        <w:t xml:space="preserve"> Arbeids- og sosialdepartementet</w:t>
      </w:r>
    </w:p>
    <w:p w14:paraId="6102D8BA" w14:textId="77777777" w:rsidR="00152A52" w:rsidRPr="00152A52" w:rsidRDefault="00152A52" w:rsidP="00FD6184">
      <w:pPr>
        <w:pStyle w:val="Listeavsnitt"/>
        <w:numPr>
          <w:ilvl w:val="0"/>
          <w:numId w:val="20"/>
        </w:numPr>
      </w:pPr>
      <w:r w:rsidRPr="00152A52">
        <w:rPr>
          <w:i/>
        </w:rPr>
        <w:t>Utkast til strategi for forskerrekruttering,</w:t>
      </w:r>
      <w:r w:rsidRPr="00152A52">
        <w:t xml:space="preserve"> Kunnskapsdepartementet</w:t>
      </w:r>
    </w:p>
    <w:p w14:paraId="4541403F" w14:textId="03A7A073" w:rsidR="00152A52" w:rsidRPr="00152A52" w:rsidRDefault="00096144" w:rsidP="00FD6184">
      <w:pPr>
        <w:pStyle w:val="Listeavsnitt"/>
        <w:numPr>
          <w:ilvl w:val="0"/>
          <w:numId w:val="20"/>
        </w:numPr>
      </w:pPr>
      <w:r w:rsidRPr="00096144">
        <w:rPr>
          <w:i/>
          <w:iCs/>
        </w:rPr>
        <w:t>F</w:t>
      </w:r>
      <w:r w:rsidR="00152A52" w:rsidRPr="00152A52">
        <w:rPr>
          <w:i/>
          <w:iCs/>
        </w:rPr>
        <w:t>orslag</w:t>
      </w:r>
      <w:r w:rsidR="00152A52" w:rsidRPr="00152A52">
        <w:rPr>
          <w:i/>
        </w:rPr>
        <w:t xml:space="preserve"> til endringer i egenbetalingsforskriften,</w:t>
      </w:r>
      <w:r w:rsidR="00152A52" w:rsidRPr="00152A52">
        <w:t xml:space="preserve"> Kunnskapsdepartementet</w:t>
      </w:r>
    </w:p>
    <w:p w14:paraId="734A8135" w14:textId="77777777" w:rsidR="00152A52" w:rsidRPr="00152A52" w:rsidRDefault="00152A52" w:rsidP="00FD6184">
      <w:pPr>
        <w:pStyle w:val="Listeavsnitt"/>
        <w:numPr>
          <w:ilvl w:val="0"/>
          <w:numId w:val="20"/>
        </w:numPr>
      </w:pPr>
      <w:r w:rsidRPr="00152A52">
        <w:rPr>
          <w:i/>
        </w:rPr>
        <w:t>Forslag til endringer i forskrift om arbeid som utføres i arbeidstakers hjem,</w:t>
      </w:r>
      <w:r w:rsidRPr="00152A52">
        <w:t xml:space="preserve"> Arbeids- og sosialdepartementet</w:t>
      </w:r>
    </w:p>
    <w:p w14:paraId="0C4BC3AC" w14:textId="77777777" w:rsidR="00152A52" w:rsidRPr="00152A52" w:rsidRDefault="00152A52" w:rsidP="00FD6184">
      <w:pPr>
        <w:pStyle w:val="Listeavsnitt"/>
        <w:numPr>
          <w:ilvl w:val="0"/>
          <w:numId w:val="20"/>
        </w:numPr>
      </w:pPr>
      <w:r w:rsidRPr="00152A52">
        <w:rPr>
          <w:i/>
        </w:rPr>
        <w:t>Jobbfradrag for unge,</w:t>
      </w:r>
      <w:r w:rsidRPr="00152A52">
        <w:t xml:space="preserve"> Finansdepartementet</w:t>
      </w:r>
    </w:p>
    <w:p w14:paraId="519E42DF" w14:textId="77777777" w:rsidR="00152A52" w:rsidRPr="00152A52" w:rsidRDefault="00152A52" w:rsidP="00FD6184">
      <w:pPr>
        <w:pStyle w:val="Listeavsnitt"/>
        <w:numPr>
          <w:ilvl w:val="0"/>
          <w:numId w:val="20"/>
        </w:numPr>
      </w:pPr>
      <w:r w:rsidRPr="00152A52">
        <w:rPr>
          <w:i/>
        </w:rPr>
        <w:t xml:space="preserve">Strategi for digital omstilling i universitets- og høyskolesektoren 2021-2025, </w:t>
      </w:r>
      <w:r w:rsidRPr="00152A52">
        <w:t>Kunnskapsdepartementet</w:t>
      </w:r>
    </w:p>
    <w:p w14:paraId="3F78575A" w14:textId="77777777" w:rsidR="00152A52" w:rsidRPr="00152A52" w:rsidRDefault="00152A52" w:rsidP="00FD6184">
      <w:pPr>
        <w:pStyle w:val="Listeavsnitt"/>
        <w:numPr>
          <w:ilvl w:val="0"/>
          <w:numId w:val="20"/>
        </w:numPr>
      </w:pPr>
      <w:r w:rsidRPr="00152A52">
        <w:rPr>
          <w:i/>
        </w:rPr>
        <w:t>Forslag om ny ordning for beskatning av ansatteopsjoner i selskap i oppstarts- og vekstfasen,</w:t>
      </w:r>
      <w:r w:rsidRPr="00152A52">
        <w:t xml:space="preserve"> Finansdepartementet</w:t>
      </w:r>
    </w:p>
    <w:p w14:paraId="06BBF895" w14:textId="77777777" w:rsidR="00152A52" w:rsidRPr="00152A52" w:rsidRDefault="00152A52" w:rsidP="00FD6184">
      <w:pPr>
        <w:pStyle w:val="Listeavsnitt"/>
        <w:numPr>
          <w:ilvl w:val="0"/>
          <w:numId w:val="20"/>
        </w:numPr>
      </w:pPr>
      <w:r w:rsidRPr="00152A52">
        <w:rPr>
          <w:i/>
        </w:rPr>
        <w:t>Rapporten Administrative forhold ved Arbeidsretten,</w:t>
      </w:r>
      <w:r w:rsidRPr="00152A52">
        <w:t xml:space="preserve"> Arbeids- og sosialdepartementet</w:t>
      </w:r>
    </w:p>
    <w:p w14:paraId="743C1A48" w14:textId="77777777" w:rsidR="00152A52" w:rsidRPr="00152A52" w:rsidRDefault="00152A52" w:rsidP="00FD6184">
      <w:pPr>
        <w:pStyle w:val="Listeavsnitt"/>
        <w:numPr>
          <w:ilvl w:val="0"/>
          <w:numId w:val="20"/>
        </w:numPr>
      </w:pPr>
      <w:r w:rsidRPr="00152A52">
        <w:rPr>
          <w:i/>
        </w:rPr>
        <w:t>Om forslag til nye regler for reduksjon av uføreytelser fra folketrygden og offentlige og private tjenestepensjonsordninger,</w:t>
      </w:r>
      <w:r w:rsidRPr="00152A52">
        <w:t xml:space="preserve"> Arbeids- og sosialdepartementet</w:t>
      </w:r>
    </w:p>
    <w:p w14:paraId="40C9382A" w14:textId="77777777" w:rsidR="00152A52" w:rsidRPr="00152A52" w:rsidRDefault="00152A52" w:rsidP="00FD6184">
      <w:pPr>
        <w:pStyle w:val="Listeavsnitt"/>
        <w:numPr>
          <w:ilvl w:val="0"/>
          <w:numId w:val="20"/>
        </w:numPr>
      </w:pPr>
      <w:r w:rsidRPr="00152A52">
        <w:rPr>
          <w:i/>
        </w:rPr>
        <w:t>Forslag til forskrift om deling av taushetsbelagte opplysninger og behandling av personopplysninger m.m. i det tverretatlige samarbeidet mot arbeidslivskriminalitet,</w:t>
      </w:r>
      <w:r w:rsidRPr="00152A52">
        <w:t xml:space="preserve"> Justis- og beredskapsdepartementet</w:t>
      </w:r>
    </w:p>
    <w:p w14:paraId="027C6E6A" w14:textId="77777777" w:rsidR="00152A52" w:rsidRPr="00152A52" w:rsidRDefault="00152A52" w:rsidP="00FD6184">
      <w:pPr>
        <w:pStyle w:val="Listeavsnitt"/>
        <w:numPr>
          <w:ilvl w:val="0"/>
          <w:numId w:val="20"/>
        </w:numPr>
      </w:pPr>
      <w:r w:rsidRPr="00152A52">
        <w:rPr>
          <w:i/>
        </w:rPr>
        <w:t>Langtidsplan</w:t>
      </w:r>
      <w:r w:rsidRPr="00152A52">
        <w:rPr>
          <w:i/>
        </w:rPr>
        <w:softHyphen/>
        <w:t xml:space="preserve"> for forskning og høyere utdanning, </w:t>
      </w:r>
      <w:r w:rsidRPr="00152A52">
        <w:t>Kunnskapsdepartementet</w:t>
      </w:r>
    </w:p>
    <w:p w14:paraId="7AA49319" w14:textId="77777777" w:rsidR="00152A52" w:rsidRPr="00152A52" w:rsidRDefault="00152A52" w:rsidP="00FD6184">
      <w:pPr>
        <w:pStyle w:val="Listeavsnitt"/>
        <w:numPr>
          <w:ilvl w:val="0"/>
          <w:numId w:val="20"/>
        </w:numPr>
      </w:pPr>
      <w:r w:rsidRPr="00152A52">
        <w:rPr>
          <w:i/>
        </w:rPr>
        <w:t>Forskrift om nasjonal retningslinje for masterutdanning i psykisk helse-, rus og avhengighetsarbeid for sykepleiere og forskrift om nasjonal retningslinje for tverrfaglig videreutdanning i psykisk helse-, rus- og avhengighetsarbeid,</w:t>
      </w:r>
      <w:r w:rsidRPr="00152A52">
        <w:t xml:space="preserve"> Kunnskapsdepartementet</w:t>
      </w:r>
    </w:p>
    <w:p w14:paraId="16AC27F0" w14:textId="77777777" w:rsidR="00152A52" w:rsidRPr="00152A52" w:rsidRDefault="00152A52" w:rsidP="00FD6184">
      <w:pPr>
        <w:pStyle w:val="Listeavsnitt"/>
        <w:numPr>
          <w:ilvl w:val="0"/>
          <w:numId w:val="20"/>
        </w:numPr>
      </w:pPr>
      <w:r w:rsidRPr="00152A52">
        <w:rPr>
          <w:i/>
        </w:rPr>
        <w:t>Forslag til endringer i universitets- og høyskoleloven, fagskoleloven og opplæringsloven,</w:t>
      </w:r>
      <w:r w:rsidRPr="00152A52">
        <w:t xml:space="preserve"> Kunnskapsdepartementet</w:t>
      </w:r>
    </w:p>
    <w:p w14:paraId="6584E459" w14:textId="77777777" w:rsidR="00152A52" w:rsidRPr="00152A52" w:rsidRDefault="00152A52" w:rsidP="00FD6184">
      <w:pPr>
        <w:pStyle w:val="Listeavsnitt"/>
        <w:numPr>
          <w:ilvl w:val="0"/>
          <w:numId w:val="20"/>
        </w:numPr>
      </w:pPr>
      <w:r w:rsidRPr="00152A52">
        <w:rPr>
          <w:i/>
        </w:rPr>
        <w:t xml:space="preserve">Forslag til endringer i bestemmelser om regulering av pensjon, </w:t>
      </w:r>
      <w:r w:rsidRPr="00152A52">
        <w:t>Arbeids- og sosialdepartementet</w:t>
      </w:r>
    </w:p>
    <w:p w14:paraId="36391315" w14:textId="77777777" w:rsidR="00152A52" w:rsidRPr="00152A52" w:rsidRDefault="00152A52" w:rsidP="00FD6184">
      <w:pPr>
        <w:pStyle w:val="Listeavsnitt"/>
        <w:numPr>
          <w:ilvl w:val="0"/>
          <w:numId w:val="20"/>
        </w:numPr>
      </w:pPr>
      <w:r w:rsidRPr="00152A52">
        <w:rPr>
          <w:i/>
        </w:rPr>
        <w:lastRenderedPageBreak/>
        <w:t>Forslag om tiltak for en forenklet og mer målrettet bedriftshelsetjenesteordning,</w:t>
      </w:r>
      <w:r w:rsidRPr="00152A52">
        <w:t xml:space="preserve"> Arbeids- og sosialdepartementet</w:t>
      </w:r>
    </w:p>
    <w:p w14:paraId="469DE3EC" w14:textId="77777777" w:rsidR="00152A52" w:rsidRPr="00152A52" w:rsidRDefault="00152A52" w:rsidP="00FD6184">
      <w:pPr>
        <w:pStyle w:val="Listeavsnitt"/>
        <w:numPr>
          <w:ilvl w:val="0"/>
          <w:numId w:val="20"/>
        </w:numPr>
      </w:pPr>
      <w:r w:rsidRPr="00152A52">
        <w:rPr>
          <w:i/>
        </w:rPr>
        <w:t xml:space="preserve">Rett til hospitering i ordinært arbeid for tiltaksdeltakere i skjermet virksomhet (VAT), </w:t>
      </w:r>
      <w:r w:rsidRPr="00152A52">
        <w:t>Arbeids- og sosialdepartementet</w:t>
      </w:r>
    </w:p>
    <w:p w14:paraId="323D9FAA" w14:textId="77777777" w:rsidR="00152A52" w:rsidRPr="00152A52" w:rsidRDefault="00152A52" w:rsidP="00FD6184">
      <w:pPr>
        <w:pStyle w:val="Listeavsnitt"/>
        <w:numPr>
          <w:ilvl w:val="0"/>
          <w:numId w:val="20"/>
        </w:numPr>
      </w:pPr>
      <w:r w:rsidRPr="00152A52">
        <w:rPr>
          <w:i/>
        </w:rPr>
        <w:t>Fleksibel bruk av avkastningsoverskudd for garanterte pensjonsprodukter,</w:t>
      </w:r>
      <w:r w:rsidRPr="00152A52">
        <w:t xml:space="preserve"> Finansdepartementet</w:t>
      </w:r>
    </w:p>
    <w:p w14:paraId="012308D0" w14:textId="77777777" w:rsidR="00152A52" w:rsidRPr="00152A52" w:rsidRDefault="00152A52" w:rsidP="00FD6184">
      <w:pPr>
        <w:pStyle w:val="Listeavsnitt"/>
        <w:numPr>
          <w:ilvl w:val="0"/>
          <w:numId w:val="20"/>
        </w:numPr>
      </w:pPr>
      <w:r w:rsidRPr="00152A52">
        <w:rPr>
          <w:i/>
        </w:rPr>
        <w:t>Kollektiv søksmålsrett for fagforeninger om ulovlig innleie,</w:t>
      </w:r>
      <w:r w:rsidRPr="00152A52">
        <w:t xml:space="preserve"> Arbeids- og sosialdepartementet</w:t>
      </w:r>
    </w:p>
    <w:p w14:paraId="3815D50D" w14:textId="77777777" w:rsidR="00152A52" w:rsidRPr="00152A52" w:rsidRDefault="00152A52" w:rsidP="00FD6184">
      <w:pPr>
        <w:pStyle w:val="Listeavsnitt"/>
        <w:numPr>
          <w:ilvl w:val="0"/>
          <w:numId w:val="20"/>
        </w:numPr>
      </w:pPr>
      <w:r w:rsidRPr="00152A52">
        <w:rPr>
          <w:i/>
        </w:rPr>
        <w:t>Forskrift om opptak til høgare utdanning for opptaksåret 2022-2023 – spesielle opptakskrav til lærarutdanning,</w:t>
      </w:r>
      <w:r w:rsidRPr="00152A52">
        <w:t xml:space="preserve"> Kunnskapsdepartementet</w:t>
      </w:r>
    </w:p>
    <w:p w14:paraId="389B241F" w14:textId="77777777" w:rsidR="00152A52" w:rsidRPr="00152A52" w:rsidRDefault="00152A52" w:rsidP="00FD6184">
      <w:pPr>
        <w:pStyle w:val="Listeavsnitt"/>
        <w:numPr>
          <w:ilvl w:val="0"/>
          <w:numId w:val="20"/>
        </w:numPr>
      </w:pPr>
      <w:r w:rsidRPr="00152A52">
        <w:rPr>
          <w:i/>
        </w:rPr>
        <w:t>Forslag til ny opplæringslov og endringar i friskolelova,</w:t>
      </w:r>
      <w:r w:rsidRPr="00152A52">
        <w:t xml:space="preserve"> Kunnskapsdepartementet</w:t>
      </w:r>
    </w:p>
    <w:p w14:paraId="32C59ABF" w14:textId="72C33A35" w:rsidR="00152A52" w:rsidRPr="00152A52" w:rsidRDefault="00152A52" w:rsidP="00FD6184">
      <w:pPr>
        <w:pStyle w:val="Listeavsnitt"/>
        <w:numPr>
          <w:ilvl w:val="0"/>
          <w:numId w:val="20"/>
        </w:numPr>
      </w:pPr>
      <w:r w:rsidRPr="00152A52">
        <w:rPr>
          <w:i/>
        </w:rPr>
        <w:t>Utarbeidelse av regjeringens pakker med smitteverntiltak,</w:t>
      </w:r>
      <w:r w:rsidRPr="00152A52">
        <w:t xml:space="preserve"> </w:t>
      </w:r>
      <w:r w:rsidR="00945FF2">
        <w:t>N</w:t>
      </w:r>
      <w:r w:rsidRPr="00152A52">
        <w:t>ærings- og fiskeridepartementet</w:t>
      </w:r>
    </w:p>
    <w:p w14:paraId="61CE50ED" w14:textId="469D0A46" w:rsidR="00152A52" w:rsidRPr="00152A52" w:rsidRDefault="00152A52" w:rsidP="00FD6184">
      <w:pPr>
        <w:pStyle w:val="Listeavsnitt"/>
        <w:numPr>
          <w:ilvl w:val="0"/>
          <w:numId w:val="20"/>
        </w:numPr>
      </w:pPr>
      <w:r w:rsidRPr="00152A52">
        <w:rPr>
          <w:i/>
        </w:rPr>
        <w:t>Forlengelse av reglene om koronasertifikat,</w:t>
      </w:r>
      <w:r w:rsidRPr="00152A52">
        <w:t xml:space="preserve"> Helse- og oms</w:t>
      </w:r>
      <w:r w:rsidR="00AE364D">
        <w:t>or</w:t>
      </w:r>
      <w:r w:rsidRPr="00152A52">
        <w:t>gsdepartementet</w:t>
      </w:r>
    </w:p>
    <w:p w14:paraId="43036F23" w14:textId="77777777" w:rsidR="00152A52" w:rsidRPr="00152A52" w:rsidRDefault="00152A52" w:rsidP="00FD6184">
      <w:pPr>
        <w:pStyle w:val="Listeavsnitt"/>
        <w:numPr>
          <w:ilvl w:val="0"/>
          <w:numId w:val="20"/>
        </w:numPr>
      </w:pPr>
      <w:r w:rsidRPr="00152A52">
        <w:rPr>
          <w:i/>
        </w:rPr>
        <w:t xml:space="preserve">Forslag til endringer i regelverket for arbeidsavklaringspenger, </w:t>
      </w:r>
      <w:r w:rsidRPr="00152A52">
        <w:t>Arbeids- og inkluderingsdepartementet</w:t>
      </w:r>
    </w:p>
    <w:p w14:paraId="75CB5FCA" w14:textId="77777777" w:rsidR="00152A52" w:rsidRPr="00152A52" w:rsidRDefault="00152A52" w:rsidP="00FD6184">
      <w:pPr>
        <w:pStyle w:val="Listeavsnitt"/>
        <w:numPr>
          <w:ilvl w:val="0"/>
          <w:numId w:val="20"/>
        </w:numPr>
      </w:pPr>
      <w:r w:rsidRPr="00152A52">
        <w:rPr>
          <w:i/>
        </w:rPr>
        <w:t>Tillitsreform i offentlig sektor,</w:t>
      </w:r>
      <w:r w:rsidRPr="00152A52">
        <w:t xml:space="preserve"> Kommunal- og distriktsdepartementet</w:t>
      </w:r>
    </w:p>
    <w:p w14:paraId="1626AC91" w14:textId="77777777" w:rsidR="00152A52" w:rsidRPr="00152A52" w:rsidRDefault="00152A52" w:rsidP="00FD6184">
      <w:pPr>
        <w:pStyle w:val="Listeavsnitt"/>
        <w:numPr>
          <w:ilvl w:val="0"/>
          <w:numId w:val="20"/>
        </w:numPr>
      </w:pPr>
      <w:r w:rsidRPr="00152A52">
        <w:rPr>
          <w:i/>
        </w:rPr>
        <w:t>Forslag til endringer i karanteneloven,</w:t>
      </w:r>
      <w:r w:rsidRPr="00152A52">
        <w:t xml:space="preserve"> Kommunal- og distriksdepartementet</w:t>
      </w:r>
    </w:p>
    <w:p w14:paraId="64B6E49B" w14:textId="77777777" w:rsidR="00152A52" w:rsidRPr="00152A52" w:rsidRDefault="00152A52" w:rsidP="00FD6184">
      <w:pPr>
        <w:pStyle w:val="Listeavsnitt"/>
        <w:numPr>
          <w:ilvl w:val="0"/>
          <w:numId w:val="20"/>
        </w:numPr>
      </w:pPr>
      <w:r w:rsidRPr="00152A52">
        <w:rPr>
          <w:i/>
        </w:rPr>
        <w:t>Forslag om overtredelsesgebyr og straffesanksjonering av brudd på regelverket for legemidler til dyr,</w:t>
      </w:r>
      <w:r w:rsidRPr="00152A52">
        <w:t xml:space="preserve"> Helse- og omsorgsdepartementet</w:t>
      </w:r>
    </w:p>
    <w:p w14:paraId="576CF569" w14:textId="77777777" w:rsidR="00152A52" w:rsidRDefault="00152A52" w:rsidP="00FD6184">
      <w:pPr>
        <w:pStyle w:val="Listeavsnitt"/>
        <w:numPr>
          <w:ilvl w:val="0"/>
          <w:numId w:val="20"/>
        </w:numPr>
      </w:pPr>
      <w:r w:rsidRPr="00152A52">
        <w:rPr>
          <w:i/>
        </w:rPr>
        <w:t>Akademikernes innspill til arbeidet med ny eierskapsmelding,</w:t>
      </w:r>
      <w:r w:rsidRPr="00152A52">
        <w:t xml:space="preserve"> Nærings- og fiskeridepartementet</w:t>
      </w:r>
    </w:p>
    <w:p w14:paraId="22ECD996" w14:textId="0C6CF144" w:rsidR="00965F20" w:rsidRPr="00152A52" w:rsidRDefault="005918C1" w:rsidP="00FD6184">
      <w:pPr>
        <w:pStyle w:val="Listeavsnitt"/>
        <w:numPr>
          <w:ilvl w:val="0"/>
          <w:numId w:val="20"/>
        </w:numPr>
      </w:pPr>
      <w:r>
        <w:rPr>
          <w:i/>
        </w:rPr>
        <w:t xml:space="preserve">Akademikernes innspill til Utsynsmeldingen, </w:t>
      </w:r>
      <w:r>
        <w:rPr>
          <w:iCs/>
        </w:rPr>
        <w:t>Kunnskapsdepartementet</w:t>
      </w:r>
    </w:p>
    <w:p w14:paraId="0A0F9497" w14:textId="16F73CEB" w:rsidR="00152A52" w:rsidRPr="00152A52" w:rsidRDefault="00152A52" w:rsidP="00FD6184">
      <w:pPr>
        <w:pStyle w:val="Listeavsnitt"/>
        <w:numPr>
          <w:ilvl w:val="0"/>
          <w:numId w:val="20"/>
        </w:numPr>
      </w:pPr>
      <w:r w:rsidRPr="00152A52">
        <w:rPr>
          <w:i/>
        </w:rPr>
        <w:t>Endringer i regelverket for inn- og utleie fra bemanningsforetak,</w:t>
      </w:r>
      <w:r w:rsidRPr="00152A52">
        <w:t xml:space="preserve"> </w:t>
      </w:r>
      <w:r w:rsidR="00EC7BA2">
        <w:t>A</w:t>
      </w:r>
      <w:r w:rsidRPr="00152A52">
        <w:t>rbeids- og inkluderingsdepartementet</w:t>
      </w:r>
    </w:p>
    <w:p w14:paraId="12C4175C" w14:textId="77777777" w:rsidR="00152A52" w:rsidRPr="00152A52" w:rsidRDefault="00152A52" w:rsidP="00FD6184">
      <w:pPr>
        <w:pStyle w:val="Listeavsnitt"/>
        <w:numPr>
          <w:ilvl w:val="0"/>
          <w:numId w:val="20"/>
        </w:numPr>
      </w:pPr>
      <w:r w:rsidRPr="00152A52">
        <w:rPr>
          <w:i/>
        </w:rPr>
        <w:t>Endringer i domstolstrukturen,</w:t>
      </w:r>
      <w:r w:rsidRPr="00152A52">
        <w:t xml:space="preserve"> Justis- og beredskapsdepartementet</w:t>
      </w:r>
    </w:p>
    <w:p w14:paraId="07C0E83C" w14:textId="77777777" w:rsidR="00152A52" w:rsidRPr="00152A52" w:rsidRDefault="00152A52" w:rsidP="00FD6184">
      <w:pPr>
        <w:pStyle w:val="Listeavsnitt"/>
        <w:numPr>
          <w:ilvl w:val="0"/>
          <w:numId w:val="20"/>
        </w:numPr>
      </w:pPr>
      <w:r w:rsidRPr="00152A52">
        <w:rPr>
          <w:i/>
        </w:rPr>
        <w:t>Akademikernes innspill til kommuneproposisjonen,</w:t>
      </w:r>
      <w:r w:rsidRPr="00152A52">
        <w:t xml:space="preserve"> Kommunal- og forvaltningskomiteen</w:t>
      </w:r>
    </w:p>
    <w:p w14:paraId="0E9A0809" w14:textId="77777777" w:rsidR="00152A52" w:rsidRPr="00152A52" w:rsidRDefault="00152A52" w:rsidP="00FD6184">
      <w:pPr>
        <w:pStyle w:val="Listeavsnitt"/>
        <w:numPr>
          <w:ilvl w:val="0"/>
          <w:numId w:val="20"/>
        </w:numPr>
      </w:pPr>
      <w:r w:rsidRPr="00152A52">
        <w:rPr>
          <w:i/>
        </w:rPr>
        <w:t>Ratifikasjon av ILO-konvensjon nr. 190 om avskaffelse av vold og trakassering i arbeidslivet, og om endringer i arbeidsmiljølovens regelverk om trakassering,</w:t>
      </w:r>
      <w:r w:rsidRPr="00152A52">
        <w:t xml:space="preserve"> Arbeids- og inkluderingsdepartementet</w:t>
      </w:r>
    </w:p>
    <w:p w14:paraId="46330AA0" w14:textId="77777777" w:rsidR="00152A52" w:rsidRPr="00152A52" w:rsidRDefault="00152A52" w:rsidP="00FD6184">
      <w:pPr>
        <w:pStyle w:val="Listeavsnitt"/>
        <w:numPr>
          <w:ilvl w:val="0"/>
          <w:numId w:val="20"/>
        </w:numPr>
      </w:pPr>
      <w:r w:rsidRPr="00152A52">
        <w:rPr>
          <w:i/>
        </w:rPr>
        <w:t>Akademikernes innspill til Opptaksutvalget,</w:t>
      </w:r>
      <w:r w:rsidRPr="00152A52">
        <w:t xml:space="preserve"> opptaksutvalget</w:t>
      </w:r>
    </w:p>
    <w:p w14:paraId="2F2B6F4C" w14:textId="77777777" w:rsidR="00152A52" w:rsidRPr="00152A52" w:rsidRDefault="00152A52" w:rsidP="00FD6184">
      <w:pPr>
        <w:pStyle w:val="Listeavsnitt"/>
        <w:numPr>
          <w:ilvl w:val="0"/>
          <w:numId w:val="20"/>
        </w:numPr>
      </w:pPr>
      <w:r w:rsidRPr="00152A52">
        <w:rPr>
          <w:i/>
        </w:rPr>
        <w:t>Akademikernes innspill til Generalistkommuneutvalget,</w:t>
      </w:r>
      <w:r w:rsidRPr="00152A52">
        <w:t xml:space="preserve"> Kommunal- og distriktsdepartementet</w:t>
      </w:r>
    </w:p>
    <w:p w14:paraId="305981EA" w14:textId="36A47AF6" w:rsidR="00152A52" w:rsidRPr="00152A52" w:rsidRDefault="00152A52" w:rsidP="00FD6184">
      <w:pPr>
        <w:pStyle w:val="Listeavsnitt"/>
        <w:numPr>
          <w:ilvl w:val="0"/>
          <w:numId w:val="20"/>
        </w:numPr>
      </w:pPr>
      <w:r w:rsidRPr="00152A52">
        <w:rPr>
          <w:i/>
        </w:rPr>
        <w:t>Akademikeres innspill til regjeringens distriktsmelding,</w:t>
      </w:r>
      <w:r w:rsidRPr="00152A52">
        <w:t xml:space="preserve"> Kommunal- og distriktsdepartementet</w:t>
      </w:r>
    </w:p>
    <w:p w14:paraId="74D9B689" w14:textId="2C18AE46" w:rsidR="00152A52" w:rsidRPr="00152A52" w:rsidRDefault="00152A52" w:rsidP="00FD6184">
      <w:pPr>
        <w:pStyle w:val="Listeavsnitt"/>
        <w:numPr>
          <w:ilvl w:val="0"/>
          <w:numId w:val="20"/>
        </w:numPr>
      </w:pPr>
      <w:r w:rsidRPr="00152A52">
        <w:rPr>
          <w:i/>
        </w:rPr>
        <w:t>Rapport fra ekspertutvalg om finansiering av universiteter og høyskoler,</w:t>
      </w:r>
      <w:r w:rsidRPr="00152A52">
        <w:t xml:space="preserve"> K</w:t>
      </w:r>
      <w:r w:rsidR="00CB703A">
        <w:t>u</w:t>
      </w:r>
      <w:r w:rsidRPr="00152A52">
        <w:t>nnskapsdepartementet</w:t>
      </w:r>
    </w:p>
    <w:p w14:paraId="5F3C9F60" w14:textId="77777777" w:rsidR="00152A52" w:rsidRPr="00152A52" w:rsidRDefault="00152A52" w:rsidP="00FD6184">
      <w:pPr>
        <w:pStyle w:val="Listeavsnitt"/>
        <w:numPr>
          <w:ilvl w:val="0"/>
          <w:numId w:val="20"/>
        </w:numPr>
      </w:pPr>
      <w:r w:rsidRPr="00152A52">
        <w:rPr>
          <w:i/>
        </w:rPr>
        <w:t>Rapport for et partssammensatt utvalg- sikring av feriepenger,</w:t>
      </w:r>
      <w:r w:rsidRPr="00152A52">
        <w:t xml:space="preserve"> Arbeids- og inkluderingsdepartementet</w:t>
      </w:r>
    </w:p>
    <w:p w14:paraId="33BB1E96" w14:textId="082CB83C" w:rsidR="00152A52" w:rsidRPr="00152A52" w:rsidRDefault="00152A52" w:rsidP="00FD6184">
      <w:pPr>
        <w:pStyle w:val="Listeavsnitt"/>
        <w:numPr>
          <w:ilvl w:val="0"/>
          <w:numId w:val="20"/>
        </w:numPr>
      </w:pPr>
      <w:r w:rsidRPr="00152A52">
        <w:rPr>
          <w:i/>
        </w:rPr>
        <w:lastRenderedPageBreak/>
        <w:t xml:space="preserve">Forslag til endringer i eksportkontrollforskriften, </w:t>
      </w:r>
      <w:r w:rsidR="00CB703A" w:rsidRPr="00152A52">
        <w:t>Utenriksdepartementet</w:t>
      </w:r>
    </w:p>
    <w:p w14:paraId="2C912BDF" w14:textId="77777777" w:rsidR="00152A52" w:rsidRPr="00152A52" w:rsidRDefault="00152A52" w:rsidP="00FD6184">
      <w:pPr>
        <w:pStyle w:val="Listeavsnitt"/>
        <w:numPr>
          <w:ilvl w:val="0"/>
          <w:numId w:val="20"/>
        </w:numPr>
      </w:pPr>
      <w:r w:rsidRPr="00152A52">
        <w:rPr>
          <w:i/>
        </w:rPr>
        <w:t>Unntak fra kravet om relevant kompetanse i undervisningsfag og plikt til å politianmelde ved bruk av falsk dokumentasjon,</w:t>
      </w:r>
      <w:r w:rsidRPr="00152A52">
        <w:t xml:space="preserve"> Kunnskapsdepartementet</w:t>
      </w:r>
    </w:p>
    <w:p w14:paraId="24E5E7D5" w14:textId="631DDDE3" w:rsidR="002455EF" w:rsidRPr="00F21219" w:rsidRDefault="00E10F03" w:rsidP="00FD6184">
      <w:pPr>
        <w:pStyle w:val="Listeavsnitt"/>
        <w:numPr>
          <w:ilvl w:val="0"/>
          <w:numId w:val="20"/>
        </w:numPr>
      </w:pPr>
      <w:r>
        <w:rPr>
          <w:i/>
        </w:rPr>
        <w:t>Forslag til endringer i arbeidsmiljøloven – styrking av retten til heltid</w:t>
      </w:r>
    </w:p>
    <w:p w14:paraId="017FB13E" w14:textId="0D93B8F7" w:rsidR="0026734C" w:rsidRPr="00152A52" w:rsidRDefault="00856369" w:rsidP="00FD6184">
      <w:pPr>
        <w:pStyle w:val="Listeavsnitt"/>
        <w:numPr>
          <w:ilvl w:val="0"/>
          <w:numId w:val="20"/>
        </w:numPr>
      </w:pPr>
      <w:r>
        <w:rPr>
          <w:i/>
        </w:rPr>
        <w:t xml:space="preserve">Forslag </w:t>
      </w:r>
      <w:r w:rsidR="00B67342">
        <w:rPr>
          <w:i/>
        </w:rPr>
        <w:t xml:space="preserve">om å tillate at </w:t>
      </w:r>
      <w:r w:rsidR="00FF15F1">
        <w:rPr>
          <w:i/>
        </w:rPr>
        <w:t xml:space="preserve">sykmelding kan gis etter </w:t>
      </w:r>
      <w:r w:rsidR="00FC4D93">
        <w:rPr>
          <w:i/>
        </w:rPr>
        <w:t>e-konsultasjon</w:t>
      </w:r>
    </w:p>
    <w:p w14:paraId="6297F48C" w14:textId="77777777" w:rsidR="002E3AB8" w:rsidRDefault="00152A52" w:rsidP="00D36CA2">
      <w:pPr>
        <w:rPr>
          <w:b/>
          <w:bCs/>
        </w:rPr>
      </w:pPr>
      <w:r w:rsidRPr="002E3AB8">
        <w:rPr>
          <w:b/>
          <w:bCs/>
        </w:rPr>
        <w:t xml:space="preserve">Statsbudsjett </w:t>
      </w:r>
    </w:p>
    <w:p w14:paraId="4983E85D" w14:textId="70D626B5" w:rsidR="00D36CA2" w:rsidRPr="00152A52" w:rsidRDefault="00D36CA2" w:rsidP="00D36CA2">
      <w:r>
        <w:t>2020</w:t>
      </w:r>
    </w:p>
    <w:p w14:paraId="2E311CB6" w14:textId="25C887A6" w:rsidR="0037198B" w:rsidRDefault="0037198B" w:rsidP="00B17D16">
      <w:pPr>
        <w:pStyle w:val="Listeavsnitt"/>
        <w:numPr>
          <w:ilvl w:val="0"/>
          <w:numId w:val="50"/>
        </w:numPr>
        <w:tabs>
          <w:tab w:val="clear" w:pos="2155"/>
        </w:tabs>
        <w:spacing w:after="160" w:line="259" w:lineRule="auto"/>
        <w:rPr>
          <w:rFonts w:ascii="Times New Roman" w:hAnsi="Times New Roman" w:cs="Times New Roman"/>
        </w:rPr>
      </w:pPr>
      <w:r>
        <w:rPr>
          <w:rFonts w:ascii="Times New Roman" w:hAnsi="Times New Roman" w:cs="Times New Roman"/>
        </w:rPr>
        <w:t>Akademikernes innspill til revidert nasjonalbudsjett 2020</w:t>
      </w:r>
    </w:p>
    <w:p w14:paraId="7FC7F663" w14:textId="574F6676" w:rsidR="0037198B" w:rsidRPr="0037198B" w:rsidRDefault="0037198B" w:rsidP="0037198B">
      <w:pPr>
        <w:pStyle w:val="Listeavsnitt"/>
        <w:numPr>
          <w:ilvl w:val="0"/>
          <w:numId w:val="50"/>
        </w:numPr>
      </w:pPr>
      <w:r w:rsidRPr="00152A52">
        <w:t>Akademikernes innspill til Stortingets Finanskomite – revidert nasjonalbudsjett 202</w:t>
      </w:r>
      <w:r w:rsidR="000E0AAF">
        <w:t>0</w:t>
      </w:r>
    </w:p>
    <w:p w14:paraId="6367AAA8" w14:textId="77777777" w:rsidR="00D36CA2" w:rsidRPr="00D36CA2" w:rsidRDefault="00D36CA2" w:rsidP="00D36CA2">
      <w:pPr>
        <w:pStyle w:val="Listeavsnitt"/>
        <w:numPr>
          <w:ilvl w:val="0"/>
          <w:numId w:val="20"/>
        </w:numPr>
      </w:pPr>
      <w:r w:rsidRPr="007454E3">
        <w:rPr>
          <w:rFonts w:ascii="Times New Roman" w:hAnsi="Times New Roman" w:cs="Times New Roman"/>
        </w:rPr>
        <w:t>Innspill til regjeringens budsjettkonferanse august 2020</w:t>
      </w:r>
    </w:p>
    <w:p w14:paraId="30882AFC" w14:textId="18D18193" w:rsidR="00B17D16" w:rsidRPr="00152A52" w:rsidRDefault="00B17D16" w:rsidP="00B17D16">
      <w:pPr>
        <w:pStyle w:val="Listeavsnitt"/>
        <w:numPr>
          <w:ilvl w:val="0"/>
          <w:numId w:val="20"/>
        </w:numPr>
      </w:pPr>
      <w:r w:rsidRPr="00152A52">
        <w:t>Akademikernes innspill til Statsbudsjettet for 202</w:t>
      </w:r>
      <w:r>
        <w:t>1</w:t>
      </w:r>
      <w:r w:rsidRPr="00152A52">
        <w:t>: Finanskomiteen</w:t>
      </w:r>
    </w:p>
    <w:p w14:paraId="72E5D9B0" w14:textId="08D8253F" w:rsidR="00B17D16" w:rsidRPr="00152A52" w:rsidRDefault="00B17D16" w:rsidP="00B17D16">
      <w:pPr>
        <w:pStyle w:val="Listeavsnitt"/>
        <w:numPr>
          <w:ilvl w:val="0"/>
          <w:numId w:val="20"/>
        </w:numPr>
      </w:pPr>
      <w:r w:rsidRPr="00152A52">
        <w:t>Akademikernes innspill til Statsbudsjettet 202</w:t>
      </w:r>
      <w:r>
        <w:t>1</w:t>
      </w:r>
      <w:r w:rsidRPr="00152A52">
        <w:t>: Næringskomiteen</w:t>
      </w:r>
    </w:p>
    <w:p w14:paraId="76DD3476" w14:textId="5C167BDC" w:rsidR="00B17D16" w:rsidRPr="00152A52" w:rsidRDefault="00B17D16" w:rsidP="00B17D16">
      <w:pPr>
        <w:pStyle w:val="Listeavsnitt"/>
        <w:numPr>
          <w:ilvl w:val="0"/>
          <w:numId w:val="20"/>
        </w:numPr>
      </w:pPr>
      <w:r w:rsidRPr="00152A52">
        <w:t>Akademikernes innspill til Statsbudsjettet 202</w:t>
      </w:r>
      <w:r>
        <w:t>1</w:t>
      </w:r>
      <w:r w:rsidRPr="00152A52">
        <w:t>: Arbeids- og sosialkomiteen</w:t>
      </w:r>
    </w:p>
    <w:p w14:paraId="5CFEA837" w14:textId="4949BCEA" w:rsidR="00B17D16" w:rsidRDefault="00B17D16" w:rsidP="00B17D16">
      <w:pPr>
        <w:pStyle w:val="Listeavsnitt"/>
        <w:numPr>
          <w:ilvl w:val="0"/>
          <w:numId w:val="20"/>
        </w:numPr>
      </w:pPr>
      <w:r w:rsidRPr="00152A52">
        <w:t>Akademikernes innspill til Statsbudsjettet 202</w:t>
      </w:r>
      <w:r>
        <w:t>1</w:t>
      </w:r>
      <w:r w:rsidRPr="00152A52">
        <w:t>: Utdannings- og forskningskomiteen</w:t>
      </w:r>
    </w:p>
    <w:p w14:paraId="185CF773" w14:textId="53C3E130" w:rsidR="00B17D16" w:rsidRDefault="00B17D16" w:rsidP="00B17D16">
      <w:pPr>
        <w:pStyle w:val="Listeavsnitt"/>
        <w:numPr>
          <w:ilvl w:val="0"/>
          <w:numId w:val="20"/>
        </w:numPr>
      </w:pPr>
      <w:r w:rsidRPr="00152A52">
        <w:t>Akademikernes innspill til Statsbudsjettet 202</w:t>
      </w:r>
      <w:r>
        <w:t>1</w:t>
      </w:r>
      <w:r w:rsidRPr="00152A52">
        <w:t xml:space="preserve">: </w:t>
      </w:r>
      <w:r>
        <w:t>Energi- og miljøkomiteen</w:t>
      </w:r>
    </w:p>
    <w:p w14:paraId="3A9BAC81" w14:textId="0DCFA845" w:rsidR="00D36CA2" w:rsidRDefault="00D36CA2" w:rsidP="00601557">
      <w:r>
        <w:t>2021</w:t>
      </w:r>
    </w:p>
    <w:p w14:paraId="0357F725" w14:textId="77777777" w:rsidR="00CA41B5" w:rsidRDefault="00CA41B5" w:rsidP="00CA41B5">
      <w:pPr>
        <w:pStyle w:val="Listeavsnitt"/>
        <w:numPr>
          <w:ilvl w:val="0"/>
          <w:numId w:val="20"/>
        </w:numPr>
      </w:pPr>
      <w:r>
        <w:t xml:space="preserve">Akademikernes innspill til Statsbudsjettet 2022 </w:t>
      </w:r>
    </w:p>
    <w:p w14:paraId="1613CE22" w14:textId="77777777" w:rsidR="004E2E23" w:rsidRPr="00152A52" w:rsidRDefault="004E2E23" w:rsidP="004E2E23">
      <w:pPr>
        <w:pStyle w:val="Listeavsnitt"/>
        <w:numPr>
          <w:ilvl w:val="0"/>
          <w:numId w:val="20"/>
        </w:numPr>
      </w:pPr>
      <w:r w:rsidRPr="00152A52">
        <w:t>Akademikernes innspill til revidert nasjonalbudsjett 2021</w:t>
      </w:r>
    </w:p>
    <w:p w14:paraId="7685D133" w14:textId="77777777" w:rsidR="004E2E23" w:rsidRDefault="004E2E23" w:rsidP="004E2E23">
      <w:pPr>
        <w:pStyle w:val="Listeavsnitt"/>
        <w:numPr>
          <w:ilvl w:val="0"/>
          <w:numId w:val="20"/>
        </w:numPr>
      </w:pPr>
      <w:r w:rsidRPr="00152A52">
        <w:t>Akademikernes innspill til Stortingets Finanskomite – revidert nasjonalbudsjett 2021</w:t>
      </w:r>
    </w:p>
    <w:p w14:paraId="174145B8" w14:textId="1A20C72D" w:rsidR="00D36CA2" w:rsidRPr="00152A52" w:rsidRDefault="00D36CA2" w:rsidP="00D36CA2">
      <w:pPr>
        <w:pStyle w:val="Listeavsnitt"/>
        <w:numPr>
          <w:ilvl w:val="0"/>
          <w:numId w:val="20"/>
        </w:numPr>
      </w:pPr>
      <w:r w:rsidRPr="00152A52">
        <w:t>Akademikernes innspill til Statsbudsjettet for 2022: Finanskomiteen</w:t>
      </w:r>
    </w:p>
    <w:p w14:paraId="3E1C5020" w14:textId="77777777" w:rsidR="00D36CA2" w:rsidRPr="00152A52" w:rsidRDefault="00D36CA2" w:rsidP="00D36CA2">
      <w:pPr>
        <w:pStyle w:val="Listeavsnitt"/>
        <w:numPr>
          <w:ilvl w:val="0"/>
          <w:numId w:val="20"/>
        </w:numPr>
      </w:pPr>
      <w:r w:rsidRPr="00152A52">
        <w:t>Akademikernes innspill til Statsbudsjettet 2022: Næringskomiteen</w:t>
      </w:r>
    </w:p>
    <w:p w14:paraId="5F3AC2E0" w14:textId="77777777" w:rsidR="00D36CA2" w:rsidRPr="00152A52" w:rsidRDefault="00D36CA2" w:rsidP="00D36CA2">
      <w:pPr>
        <w:pStyle w:val="Listeavsnitt"/>
        <w:numPr>
          <w:ilvl w:val="0"/>
          <w:numId w:val="20"/>
        </w:numPr>
      </w:pPr>
      <w:r w:rsidRPr="00152A52">
        <w:t>Akademikernes innspill til Statsbudsjettet 2022: Arbeids- og sosialkomiteen</w:t>
      </w:r>
    </w:p>
    <w:p w14:paraId="6C52F0C0" w14:textId="77777777" w:rsidR="00D36CA2" w:rsidRDefault="00D36CA2" w:rsidP="00D36CA2">
      <w:pPr>
        <w:pStyle w:val="Listeavsnitt"/>
        <w:numPr>
          <w:ilvl w:val="0"/>
          <w:numId w:val="20"/>
        </w:numPr>
      </w:pPr>
      <w:r w:rsidRPr="00152A52">
        <w:t>Akademikernes innspill til Statsbudsjettet 2022: Utdannings- og forskningskomiteen</w:t>
      </w:r>
    </w:p>
    <w:p w14:paraId="77D2C83F" w14:textId="77777777" w:rsidR="00D36CA2" w:rsidRDefault="00D36CA2" w:rsidP="00D36CA2">
      <w:pPr>
        <w:pStyle w:val="Listeavsnitt"/>
        <w:numPr>
          <w:ilvl w:val="0"/>
          <w:numId w:val="20"/>
        </w:numPr>
      </w:pPr>
      <w:r w:rsidRPr="00152A52">
        <w:t xml:space="preserve">Akademikernes innspill til Statsbudsjettet 2022: </w:t>
      </w:r>
      <w:r>
        <w:t>Justiskomiteen</w:t>
      </w:r>
    </w:p>
    <w:p w14:paraId="6C590C0D" w14:textId="77777777" w:rsidR="00D36CA2" w:rsidRPr="00152A52" w:rsidRDefault="00D36CA2" w:rsidP="00D36CA2">
      <w:pPr>
        <w:pStyle w:val="Listeavsnitt"/>
        <w:numPr>
          <w:ilvl w:val="0"/>
          <w:numId w:val="20"/>
        </w:numPr>
      </w:pPr>
      <w:r w:rsidRPr="00152A52">
        <w:t xml:space="preserve">Akademikernes innspill til Statsbudsjettet 2022: </w:t>
      </w:r>
      <w:r w:rsidRPr="00735548">
        <w:t>Familie- og kulturkomiteen</w:t>
      </w:r>
    </w:p>
    <w:p w14:paraId="62289AFC" w14:textId="77777777" w:rsidR="00D36CA2" w:rsidRDefault="00D36CA2" w:rsidP="00601557">
      <w:r>
        <w:t>2022</w:t>
      </w:r>
    </w:p>
    <w:p w14:paraId="28C8C1E5" w14:textId="743F4965" w:rsidR="00D36CA2" w:rsidRDefault="00D36CA2" w:rsidP="00D36CA2">
      <w:pPr>
        <w:pStyle w:val="Listeavsnitt"/>
        <w:numPr>
          <w:ilvl w:val="0"/>
          <w:numId w:val="20"/>
        </w:numPr>
      </w:pPr>
      <w:r>
        <w:t>Akademikernes innspill til statsbudsjettet 2023 sendt Finansdepartementet, Kunnskapsdepartementet, Nærings- og fiskeridepartementet, Arbeids- og inkluderingsdepartementet og Landbruks- og matdepartementet (februar 2022)</w:t>
      </w:r>
    </w:p>
    <w:p w14:paraId="53D4BDDC" w14:textId="29DE7070" w:rsidR="00D36CA2" w:rsidRDefault="00B34F9C" w:rsidP="00D36CA2">
      <w:pPr>
        <w:pStyle w:val="Listeavsnitt"/>
        <w:numPr>
          <w:ilvl w:val="0"/>
          <w:numId w:val="20"/>
        </w:numPr>
      </w:pPr>
      <w:r>
        <w:t>Akademikernes innspill til statsbudsjettet 2023: s</w:t>
      </w:r>
      <w:r w:rsidR="00D36CA2">
        <w:t>upplerende innspill til Kunnskapsdepartementet (juli 2022)</w:t>
      </w:r>
    </w:p>
    <w:p w14:paraId="24D5AEA1" w14:textId="50379EA8" w:rsidR="005C600A" w:rsidRDefault="00D36CA2" w:rsidP="005C600A">
      <w:pPr>
        <w:pStyle w:val="Listeavsnitt"/>
        <w:numPr>
          <w:ilvl w:val="0"/>
          <w:numId w:val="20"/>
        </w:numPr>
      </w:pPr>
      <w:r>
        <w:t>Akademikernes innspill til revidert nasjonalbudsjett 2022 sendt Finansdepartementet og Nærings- og fiskeridepartementet (april 2022)</w:t>
      </w:r>
    </w:p>
    <w:p w14:paraId="25AE7355" w14:textId="241FFFCB" w:rsidR="00E230C0" w:rsidRPr="007454E3" w:rsidRDefault="00D36CA2">
      <w:pPr>
        <w:pStyle w:val="Listeavsnitt"/>
        <w:numPr>
          <w:ilvl w:val="0"/>
          <w:numId w:val="20"/>
        </w:numPr>
      </w:pPr>
      <w:r>
        <w:t>Skriftlig innspill til Finanskomiteen - høring av revidert nasjonalbudsjett 2022</w:t>
      </w:r>
    </w:p>
    <w:sectPr w:rsidR="00E230C0" w:rsidRPr="007454E3" w:rsidSect="00376FD2">
      <w:headerReference w:type="default" r:id="rId12"/>
      <w:footerReference w:type="default" r:id="rId13"/>
      <w:headerReference w:type="first" r:id="rId14"/>
      <w:footerReference w:type="first" r:id="rId15"/>
      <w:pgSz w:w="11907" w:h="16840" w:code="9"/>
      <w:pgMar w:top="3119" w:right="1701" w:bottom="1701" w:left="1701" w:header="397" w:footer="79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77C6E7" w14:textId="77777777" w:rsidR="006B3974" w:rsidRDefault="006B3974" w:rsidP="00893D2C">
      <w:pPr>
        <w:spacing w:after="0" w:line="240" w:lineRule="auto"/>
      </w:pPr>
      <w:r>
        <w:separator/>
      </w:r>
    </w:p>
  </w:endnote>
  <w:endnote w:type="continuationSeparator" w:id="0">
    <w:p w14:paraId="6F71CE5A" w14:textId="77777777" w:rsidR="006B3974" w:rsidRDefault="006B3974" w:rsidP="00893D2C">
      <w:pPr>
        <w:spacing w:after="0" w:line="240" w:lineRule="auto"/>
      </w:pPr>
      <w:r>
        <w:continuationSeparator/>
      </w:r>
    </w:p>
  </w:endnote>
  <w:endnote w:type="continuationNotice" w:id="1">
    <w:p w14:paraId="15A4E18C" w14:textId="77777777" w:rsidR="006B3974" w:rsidRDefault="006B39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haroni">
    <w:charset w:val="B1"/>
    <w:family w:val="auto"/>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725BA" w14:textId="77777777" w:rsidR="00271DA3" w:rsidRPr="00EF0C13" w:rsidRDefault="00271DA3" w:rsidP="00EF0C13">
    <w:pPr>
      <w:pStyle w:val="Bunntekst"/>
    </w:pPr>
    <w:r>
      <w:fldChar w:fldCharType="begin"/>
    </w:r>
    <w:r>
      <w:instrText xml:space="preserve"> PAGE  \* Arabic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AE6FD" w14:textId="77777777" w:rsidR="00271DA3" w:rsidRDefault="00271DA3">
    <w:pPr>
      <w:pStyle w:val="Bunntekst"/>
    </w:pPr>
    <w:r>
      <w:fldChar w:fldCharType="begin"/>
    </w:r>
    <w:r>
      <w:instrText xml:space="preserve"> PAGE  \* Arabic  \* MERGEFORMAT </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5D6E" w14:textId="77777777" w:rsidR="006B3974" w:rsidRDefault="006B3974" w:rsidP="00893D2C">
      <w:pPr>
        <w:spacing w:after="0" w:line="240" w:lineRule="auto"/>
      </w:pPr>
      <w:r>
        <w:separator/>
      </w:r>
    </w:p>
  </w:footnote>
  <w:footnote w:type="continuationSeparator" w:id="0">
    <w:p w14:paraId="4D61B5B0" w14:textId="77777777" w:rsidR="006B3974" w:rsidRDefault="006B3974" w:rsidP="00893D2C">
      <w:pPr>
        <w:spacing w:after="0" w:line="240" w:lineRule="auto"/>
      </w:pPr>
      <w:r>
        <w:continuationSeparator/>
      </w:r>
    </w:p>
  </w:footnote>
  <w:footnote w:type="continuationNotice" w:id="1">
    <w:p w14:paraId="3CBC58FF" w14:textId="77777777" w:rsidR="006B3974" w:rsidRDefault="006B39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D841F" w14:textId="77777777" w:rsidR="00271DA3" w:rsidRDefault="00271DA3">
    <w:pPr>
      <w:pStyle w:val="Topptekst"/>
    </w:pPr>
    <w:r>
      <w:rPr>
        <w:noProof/>
      </w:rPr>
      <w:drawing>
        <wp:anchor distT="0" distB="0" distL="114300" distR="114300" simplePos="0" relativeHeight="251658240" behindDoc="0" locked="0" layoutInCell="1" allowOverlap="1" wp14:anchorId="5EBC5794" wp14:editId="7A78B136">
          <wp:simplePos x="0" y="0"/>
          <wp:positionH relativeFrom="page">
            <wp:posOffset>5544273</wp:posOffset>
          </wp:positionH>
          <wp:positionV relativeFrom="page">
            <wp:posOffset>544010</wp:posOffset>
          </wp:positionV>
          <wp:extent cx="1490345" cy="391795"/>
          <wp:effectExtent l="0" t="0" r="0" b="8255"/>
          <wp:wrapNone/>
          <wp:docPr id="1" name="Grafik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en_primærlogo_brev_Akademiker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90345" cy="39179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3A619A" w14:textId="77777777" w:rsidR="003033BA" w:rsidRDefault="003033BA">
    <w:pPr>
      <w:pStyle w:val="Topptekst"/>
      <w:rPr>
        <w:i/>
        <w:iCs/>
      </w:rPr>
    </w:pPr>
  </w:p>
  <w:p w14:paraId="4788EEDB" w14:textId="00CE6130" w:rsidR="00271DA3" w:rsidRPr="00A05D21" w:rsidRDefault="00271DA3">
    <w:pPr>
      <w:pStyle w:val="Topptekst"/>
      <w:rPr>
        <w:i/>
        <w:iCs/>
      </w:rPr>
    </w:pPr>
    <w:r w:rsidRPr="00A05D21">
      <w:rPr>
        <w:i/>
        <w:iCs/>
        <w:noProof/>
      </w:rPr>
      <w:drawing>
        <wp:anchor distT="0" distB="0" distL="114300" distR="114300" simplePos="0" relativeHeight="251658241" behindDoc="0" locked="0" layoutInCell="1" allowOverlap="1" wp14:anchorId="03336CC4" wp14:editId="66E05053">
          <wp:simplePos x="0" y="0"/>
          <wp:positionH relativeFrom="page">
            <wp:posOffset>5220970</wp:posOffset>
          </wp:positionH>
          <wp:positionV relativeFrom="page">
            <wp:posOffset>540385</wp:posOffset>
          </wp:positionV>
          <wp:extent cx="1490400" cy="392400"/>
          <wp:effectExtent l="0" t="0" r="0" b="825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ten_primærlogo_brev_Akademikerne.svg"/>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490400" cy="392400"/>
                  </a:xfrm>
                  <a:prstGeom prst="rect">
                    <a:avLst/>
                  </a:prstGeom>
                </pic:spPr>
              </pic:pic>
            </a:graphicData>
          </a:graphic>
          <wp14:sizeRelH relativeFrom="margin">
            <wp14:pctWidth>0</wp14:pctWidth>
          </wp14:sizeRelH>
          <wp14:sizeRelV relativeFrom="margin">
            <wp14:pctHeight>0</wp14:pctHeight>
          </wp14:sizeRelV>
        </wp:anchor>
      </w:drawing>
    </w:r>
    <w:r w:rsidR="008B7699">
      <w:rPr>
        <w:i/>
        <w:iCs/>
        <w:noProof/>
      </w:rPr>
      <w:t>16. september</w:t>
    </w:r>
    <w:r w:rsidR="00A05D21" w:rsidRPr="00A05D21">
      <w:rPr>
        <w:i/>
        <w:iCs/>
      </w:rPr>
      <w:t xml:space="preserve"> 202</w:t>
    </w:r>
    <w:r w:rsidR="007D1236">
      <w:rPr>
        <w:i/>
        <w:iCs/>
      </w:rPr>
      <w:t>2</w:t>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85C73BE"/>
    <w:lvl w:ilvl="0">
      <w:start w:val="1"/>
      <w:numFmt w:val="decimal"/>
      <w:pStyle w:val="Nummerertliste5"/>
      <w:lvlText w:val="%1."/>
      <w:lvlJc w:val="left"/>
      <w:pPr>
        <w:tabs>
          <w:tab w:val="num" w:pos="1492"/>
        </w:tabs>
        <w:ind w:left="1492" w:hanging="360"/>
      </w:pPr>
    </w:lvl>
  </w:abstractNum>
  <w:abstractNum w:abstractNumId="1" w15:restartNumberingAfterBreak="0">
    <w:nsid w:val="FFFFFF7D"/>
    <w:multiLevelType w:val="hybridMultilevel"/>
    <w:tmpl w:val="3CA016CA"/>
    <w:lvl w:ilvl="0" w:tplc="E63C257C">
      <w:start w:val="1"/>
      <w:numFmt w:val="decimal"/>
      <w:pStyle w:val="Nummerertliste4"/>
      <w:lvlText w:val="%1."/>
      <w:lvlJc w:val="left"/>
      <w:pPr>
        <w:tabs>
          <w:tab w:val="num" w:pos="1209"/>
        </w:tabs>
        <w:ind w:left="1209" w:hanging="360"/>
      </w:pPr>
    </w:lvl>
    <w:lvl w:ilvl="1" w:tplc="5A1424F4">
      <w:numFmt w:val="decimal"/>
      <w:lvlText w:val=""/>
      <w:lvlJc w:val="left"/>
    </w:lvl>
    <w:lvl w:ilvl="2" w:tplc="22CE9CA2">
      <w:numFmt w:val="decimal"/>
      <w:lvlText w:val=""/>
      <w:lvlJc w:val="left"/>
    </w:lvl>
    <w:lvl w:ilvl="3" w:tplc="62CCC900">
      <w:numFmt w:val="decimal"/>
      <w:lvlText w:val=""/>
      <w:lvlJc w:val="left"/>
    </w:lvl>
    <w:lvl w:ilvl="4" w:tplc="B0901490">
      <w:numFmt w:val="decimal"/>
      <w:lvlText w:val=""/>
      <w:lvlJc w:val="left"/>
    </w:lvl>
    <w:lvl w:ilvl="5" w:tplc="346A193A">
      <w:numFmt w:val="decimal"/>
      <w:lvlText w:val=""/>
      <w:lvlJc w:val="left"/>
    </w:lvl>
    <w:lvl w:ilvl="6" w:tplc="34029986">
      <w:numFmt w:val="decimal"/>
      <w:lvlText w:val=""/>
      <w:lvlJc w:val="left"/>
    </w:lvl>
    <w:lvl w:ilvl="7" w:tplc="557494A2">
      <w:numFmt w:val="decimal"/>
      <w:lvlText w:val=""/>
      <w:lvlJc w:val="left"/>
    </w:lvl>
    <w:lvl w:ilvl="8" w:tplc="B84028E2">
      <w:numFmt w:val="decimal"/>
      <w:lvlText w:val=""/>
      <w:lvlJc w:val="left"/>
    </w:lvl>
  </w:abstractNum>
  <w:abstractNum w:abstractNumId="2" w15:restartNumberingAfterBreak="0">
    <w:nsid w:val="FFFFFF7E"/>
    <w:multiLevelType w:val="hybridMultilevel"/>
    <w:tmpl w:val="0FB25F38"/>
    <w:lvl w:ilvl="0" w:tplc="4FDC39B8">
      <w:start w:val="1"/>
      <w:numFmt w:val="decimal"/>
      <w:pStyle w:val="Nummerertliste3"/>
      <w:lvlText w:val="%1."/>
      <w:lvlJc w:val="left"/>
      <w:pPr>
        <w:tabs>
          <w:tab w:val="num" w:pos="926"/>
        </w:tabs>
        <w:ind w:left="926" w:hanging="360"/>
      </w:pPr>
    </w:lvl>
    <w:lvl w:ilvl="1" w:tplc="AA169258">
      <w:numFmt w:val="decimal"/>
      <w:lvlText w:val=""/>
      <w:lvlJc w:val="left"/>
    </w:lvl>
    <w:lvl w:ilvl="2" w:tplc="A7FE4A6C">
      <w:numFmt w:val="decimal"/>
      <w:lvlText w:val=""/>
      <w:lvlJc w:val="left"/>
    </w:lvl>
    <w:lvl w:ilvl="3" w:tplc="68B8E4BA">
      <w:numFmt w:val="decimal"/>
      <w:lvlText w:val=""/>
      <w:lvlJc w:val="left"/>
    </w:lvl>
    <w:lvl w:ilvl="4" w:tplc="73C49A40">
      <w:numFmt w:val="decimal"/>
      <w:lvlText w:val=""/>
      <w:lvlJc w:val="left"/>
    </w:lvl>
    <w:lvl w:ilvl="5" w:tplc="347280FA">
      <w:numFmt w:val="decimal"/>
      <w:lvlText w:val=""/>
      <w:lvlJc w:val="left"/>
    </w:lvl>
    <w:lvl w:ilvl="6" w:tplc="61AA2456">
      <w:numFmt w:val="decimal"/>
      <w:lvlText w:val=""/>
      <w:lvlJc w:val="left"/>
    </w:lvl>
    <w:lvl w:ilvl="7" w:tplc="7D8CC188">
      <w:numFmt w:val="decimal"/>
      <w:lvlText w:val=""/>
      <w:lvlJc w:val="left"/>
    </w:lvl>
    <w:lvl w:ilvl="8" w:tplc="16AE931C">
      <w:numFmt w:val="decimal"/>
      <w:lvlText w:val=""/>
      <w:lvlJc w:val="left"/>
    </w:lvl>
  </w:abstractNum>
  <w:abstractNum w:abstractNumId="3" w15:restartNumberingAfterBreak="0">
    <w:nsid w:val="FFFFFF7F"/>
    <w:multiLevelType w:val="hybridMultilevel"/>
    <w:tmpl w:val="FC7CDA3E"/>
    <w:lvl w:ilvl="0" w:tplc="E580E0EA">
      <w:start w:val="1"/>
      <w:numFmt w:val="decimal"/>
      <w:pStyle w:val="Nummerertliste2"/>
      <w:lvlText w:val="%1."/>
      <w:lvlJc w:val="left"/>
      <w:pPr>
        <w:tabs>
          <w:tab w:val="num" w:pos="643"/>
        </w:tabs>
        <w:ind w:left="643" w:hanging="360"/>
      </w:pPr>
    </w:lvl>
    <w:lvl w:ilvl="1" w:tplc="243207EA">
      <w:numFmt w:val="decimal"/>
      <w:lvlText w:val=""/>
      <w:lvlJc w:val="left"/>
    </w:lvl>
    <w:lvl w:ilvl="2" w:tplc="0D34E7FC">
      <w:numFmt w:val="decimal"/>
      <w:lvlText w:val=""/>
      <w:lvlJc w:val="left"/>
    </w:lvl>
    <w:lvl w:ilvl="3" w:tplc="6CC8D38C">
      <w:numFmt w:val="decimal"/>
      <w:lvlText w:val=""/>
      <w:lvlJc w:val="left"/>
    </w:lvl>
    <w:lvl w:ilvl="4" w:tplc="311E9B78">
      <w:numFmt w:val="decimal"/>
      <w:lvlText w:val=""/>
      <w:lvlJc w:val="left"/>
    </w:lvl>
    <w:lvl w:ilvl="5" w:tplc="D5908828">
      <w:numFmt w:val="decimal"/>
      <w:lvlText w:val=""/>
      <w:lvlJc w:val="left"/>
    </w:lvl>
    <w:lvl w:ilvl="6" w:tplc="E2C681E2">
      <w:numFmt w:val="decimal"/>
      <w:lvlText w:val=""/>
      <w:lvlJc w:val="left"/>
    </w:lvl>
    <w:lvl w:ilvl="7" w:tplc="46CE9CA2">
      <w:numFmt w:val="decimal"/>
      <w:lvlText w:val=""/>
      <w:lvlJc w:val="left"/>
    </w:lvl>
    <w:lvl w:ilvl="8" w:tplc="8CFE7D92">
      <w:numFmt w:val="decimal"/>
      <w:lvlText w:val=""/>
      <w:lvlJc w:val="left"/>
    </w:lvl>
  </w:abstractNum>
  <w:abstractNum w:abstractNumId="4" w15:restartNumberingAfterBreak="0">
    <w:nsid w:val="FFFFFF80"/>
    <w:multiLevelType w:val="singleLevel"/>
    <w:tmpl w:val="6C8A7A82"/>
    <w:lvl w:ilvl="0">
      <w:start w:val="1"/>
      <w:numFmt w:val="bullet"/>
      <w:pStyle w:val="Punktliste5"/>
      <w:lvlText w:val=""/>
      <w:lvlJc w:val="left"/>
      <w:pPr>
        <w:tabs>
          <w:tab w:val="num" w:pos="1492"/>
        </w:tabs>
        <w:ind w:left="1492" w:hanging="360"/>
      </w:pPr>
      <w:rPr>
        <w:rFonts w:ascii="Symbol" w:hAnsi="Symbol" w:hint="default"/>
      </w:rPr>
    </w:lvl>
  </w:abstractNum>
  <w:abstractNum w:abstractNumId="5" w15:restartNumberingAfterBreak="0">
    <w:nsid w:val="FFFFFF81"/>
    <w:multiLevelType w:val="hybridMultilevel"/>
    <w:tmpl w:val="C172CC78"/>
    <w:lvl w:ilvl="0" w:tplc="0EDA1F1A">
      <w:start w:val="1"/>
      <w:numFmt w:val="bullet"/>
      <w:pStyle w:val="Punktliste4"/>
      <w:lvlText w:val=""/>
      <w:lvlJc w:val="left"/>
      <w:pPr>
        <w:tabs>
          <w:tab w:val="num" w:pos="1209"/>
        </w:tabs>
        <w:ind w:left="1209" w:hanging="360"/>
      </w:pPr>
      <w:rPr>
        <w:rFonts w:ascii="Symbol" w:hAnsi="Symbol" w:hint="default"/>
      </w:rPr>
    </w:lvl>
    <w:lvl w:ilvl="1" w:tplc="AAE46BC0">
      <w:numFmt w:val="decimal"/>
      <w:lvlText w:val=""/>
      <w:lvlJc w:val="left"/>
    </w:lvl>
    <w:lvl w:ilvl="2" w:tplc="34E0C532">
      <w:numFmt w:val="decimal"/>
      <w:lvlText w:val=""/>
      <w:lvlJc w:val="left"/>
    </w:lvl>
    <w:lvl w:ilvl="3" w:tplc="CCAEB8EE">
      <w:numFmt w:val="decimal"/>
      <w:lvlText w:val=""/>
      <w:lvlJc w:val="left"/>
    </w:lvl>
    <w:lvl w:ilvl="4" w:tplc="13168F56">
      <w:numFmt w:val="decimal"/>
      <w:lvlText w:val=""/>
      <w:lvlJc w:val="left"/>
    </w:lvl>
    <w:lvl w:ilvl="5" w:tplc="80EEBFEC">
      <w:numFmt w:val="decimal"/>
      <w:lvlText w:val=""/>
      <w:lvlJc w:val="left"/>
    </w:lvl>
    <w:lvl w:ilvl="6" w:tplc="4880DB60">
      <w:numFmt w:val="decimal"/>
      <w:lvlText w:val=""/>
      <w:lvlJc w:val="left"/>
    </w:lvl>
    <w:lvl w:ilvl="7" w:tplc="925A3090">
      <w:numFmt w:val="decimal"/>
      <w:lvlText w:val=""/>
      <w:lvlJc w:val="left"/>
    </w:lvl>
    <w:lvl w:ilvl="8" w:tplc="85BE5604">
      <w:numFmt w:val="decimal"/>
      <w:lvlText w:val=""/>
      <w:lvlJc w:val="left"/>
    </w:lvl>
  </w:abstractNum>
  <w:abstractNum w:abstractNumId="6" w15:restartNumberingAfterBreak="0">
    <w:nsid w:val="FFFFFF82"/>
    <w:multiLevelType w:val="hybridMultilevel"/>
    <w:tmpl w:val="9FBC8D34"/>
    <w:lvl w:ilvl="0" w:tplc="4680F696">
      <w:start w:val="1"/>
      <w:numFmt w:val="bullet"/>
      <w:pStyle w:val="Punktliste3"/>
      <w:lvlText w:val=""/>
      <w:lvlJc w:val="left"/>
      <w:pPr>
        <w:tabs>
          <w:tab w:val="num" w:pos="926"/>
        </w:tabs>
        <w:ind w:left="926" w:hanging="360"/>
      </w:pPr>
      <w:rPr>
        <w:rFonts w:ascii="Symbol" w:hAnsi="Symbol" w:hint="default"/>
      </w:rPr>
    </w:lvl>
    <w:lvl w:ilvl="1" w:tplc="7298D4EE">
      <w:numFmt w:val="decimal"/>
      <w:lvlText w:val=""/>
      <w:lvlJc w:val="left"/>
    </w:lvl>
    <w:lvl w:ilvl="2" w:tplc="33C8E50C">
      <w:numFmt w:val="decimal"/>
      <w:lvlText w:val=""/>
      <w:lvlJc w:val="left"/>
    </w:lvl>
    <w:lvl w:ilvl="3" w:tplc="866E8A00">
      <w:numFmt w:val="decimal"/>
      <w:lvlText w:val=""/>
      <w:lvlJc w:val="left"/>
    </w:lvl>
    <w:lvl w:ilvl="4" w:tplc="C930B394">
      <w:numFmt w:val="decimal"/>
      <w:lvlText w:val=""/>
      <w:lvlJc w:val="left"/>
    </w:lvl>
    <w:lvl w:ilvl="5" w:tplc="ACA6FE62">
      <w:numFmt w:val="decimal"/>
      <w:lvlText w:val=""/>
      <w:lvlJc w:val="left"/>
    </w:lvl>
    <w:lvl w:ilvl="6" w:tplc="AC72264A">
      <w:numFmt w:val="decimal"/>
      <w:lvlText w:val=""/>
      <w:lvlJc w:val="left"/>
    </w:lvl>
    <w:lvl w:ilvl="7" w:tplc="624C7D50">
      <w:numFmt w:val="decimal"/>
      <w:lvlText w:val=""/>
      <w:lvlJc w:val="left"/>
    </w:lvl>
    <w:lvl w:ilvl="8" w:tplc="D19E480E">
      <w:numFmt w:val="decimal"/>
      <w:lvlText w:val=""/>
      <w:lvlJc w:val="left"/>
    </w:lvl>
  </w:abstractNum>
  <w:abstractNum w:abstractNumId="7" w15:restartNumberingAfterBreak="0">
    <w:nsid w:val="FFFFFF83"/>
    <w:multiLevelType w:val="hybridMultilevel"/>
    <w:tmpl w:val="A70862B0"/>
    <w:lvl w:ilvl="0" w:tplc="35D81828">
      <w:start w:val="1"/>
      <w:numFmt w:val="bullet"/>
      <w:pStyle w:val="Punktliste2"/>
      <w:lvlText w:val=""/>
      <w:lvlJc w:val="left"/>
      <w:pPr>
        <w:tabs>
          <w:tab w:val="num" w:pos="643"/>
        </w:tabs>
        <w:ind w:left="643" w:hanging="360"/>
      </w:pPr>
      <w:rPr>
        <w:rFonts w:ascii="Symbol" w:hAnsi="Symbol" w:hint="default"/>
      </w:rPr>
    </w:lvl>
    <w:lvl w:ilvl="1" w:tplc="0C90388E">
      <w:numFmt w:val="decimal"/>
      <w:lvlText w:val=""/>
      <w:lvlJc w:val="left"/>
    </w:lvl>
    <w:lvl w:ilvl="2" w:tplc="0A62A7A2">
      <w:numFmt w:val="decimal"/>
      <w:lvlText w:val=""/>
      <w:lvlJc w:val="left"/>
    </w:lvl>
    <w:lvl w:ilvl="3" w:tplc="95BCF67E">
      <w:numFmt w:val="decimal"/>
      <w:lvlText w:val=""/>
      <w:lvlJc w:val="left"/>
    </w:lvl>
    <w:lvl w:ilvl="4" w:tplc="E612C182">
      <w:numFmt w:val="decimal"/>
      <w:lvlText w:val=""/>
      <w:lvlJc w:val="left"/>
    </w:lvl>
    <w:lvl w:ilvl="5" w:tplc="0A8CD670">
      <w:numFmt w:val="decimal"/>
      <w:lvlText w:val=""/>
      <w:lvlJc w:val="left"/>
    </w:lvl>
    <w:lvl w:ilvl="6" w:tplc="0E50894C">
      <w:numFmt w:val="decimal"/>
      <w:lvlText w:val=""/>
      <w:lvlJc w:val="left"/>
    </w:lvl>
    <w:lvl w:ilvl="7" w:tplc="9148229A">
      <w:numFmt w:val="decimal"/>
      <w:lvlText w:val=""/>
      <w:lvlJc w:val="left"/>
    </w:lvl>
    <w:lvl w:ilvl="8" w:tplc="EF423796">
      <w:numFmt w:val="decimal"/>
      <w:lvlText w:val=""/>
      <w:lvlJc w:val="left"/>
    </w:lvl>
  </w:abstractNum>
  <w:abstractNum w:abstractNumId="8" w15:restartNumberingAfterBreak="0">
    <w:nsid w:val="FFFFFF88"/>
    <w:multiLevelType w:val="singleLevel"/>
    <w:tmpl w:val="177EB1A6"/>
    <w:lvl w:ilvl="0">
      <w:start w:val="1"/>
      <w:numFmt w:val="decimal"/>
      <w:pStyle w:val="Nummerertliste"/>
      <w:lvlText w:val="%1."/>
      <w:lvlJc w:val="left"/>
      <w:pPr>
        <w:tabs>
          <w:tab w:val="num" w:pos="360"/>
        </w:tabs>
        <w:ind w:left="360" w:hanging="360"/>
      </w:pPr>
    </w:lvl>
  </w:abstractNum>
  <w:abstractNum w:abstractNumId="9" w15:restartNumberingAfterBreak="0">
    <w:nsid w:val="FFFFFF89"/>
    <w:multiLevelType w:val="singleLevel"/>
    <w:tmpl w:val="2C7E3FE4"/>
    <w:lvl w:ilvl="0">
      <w:start w:val="1"/>
      <w:numFmt w:val="bullet"/>
      <w:pStyle w:val="Punktliste"/>
      <w:lvlText w:val="­"/>
      <w:lvlJc w:val="left"/>
      <w:pPr>
        <w:ind w:left="360" w:hanging="360"/>
      </w:pPr>
      <w:rPr>
        <w:rFonts w:ascii="Arial" w:hAnsi="Arial" w:hint="default"/>
      </w:rPr>
    </w:lvl>
  </w:abstractNum>
  <w:abstractNum w:abstractNumId="10" w15:restartNumberingAfterBreak="0">
    <w:nsid w:val="00000010"/>
    <w:multiLevelType w:val="hybridMultilevel"/>
    <w:tmpl w:val="1EE49A3A"/>
    <w:lvl w:ilvl="0" w:tplc="852A125E">
      <w:start w:val="1"/>
      <w:numFmt w:val="bullet"/>
      <w:pStyle w:val="Kulepunkter"/>
      <w:lvlText w:val=""/>
      <w:lvlJc w:val="left"/>
      <w:pPr>
        <w:tabs>
          <w:tab w:val="num" w:pos="0"/>
        </w:tabs>
        <w:ind w:left="720" w:hanging="360"/>
      </w:pPr>
      <w:rPr>
        <w:rFonts w:ascii="Symbol" w:hAnsi="Symbol"/>
        <w:color w:val="808080" w:themeColor="background1" w:themeShade="80"/>
      </w:rPr>
    </w:lvl>
    <w:lvl w:ilvl="1" w:tplc="28083962">
      <w:numFmt w:val="decimal"/>
      <w:lvlText w:val=""/>
      <w:lvlJc w:val="left"/>
    </w:lvl>
    <w:lvl w:ilvl="2" w:tplc="F2368640">
      <w:numFmt w:val="decimal"/>
      <w:lvlText w:val=""/>
      <w:lvlJc w:val="left"/>
    </w:lvl>
    <w:lvl w:ilvl="3" w:tplc="A9329612">
      <w:numFmt w:val="decimal"/>
      <w:lvlText w:val=""/>
      <w:lvlJc w:val="left"/>
    </w:lvl>
    <w:lvl w:ilvl="4" w:tplc="ACD034AA">
      <w:numFmt w:val="decimal"/>
      <w:lvlText w:val=""/>
      <w:lvlJc w:val="left"/>
    </w:lvl>
    <w:lvl w:ilvl="5" w:tplc="CE9A7E98">
      <w:numFmt w:val="decimal"/>
      <w:lvlText w:val=""/>
      <w:lvlJc w:val="left"/>
    </w:lvl>
    <w:lvl w:ilvl="6" w:tplc="34A4CFAE">
      <w:numFmt w:val="decimal"/>
      <w:lvlText w:val=""/>
      <w:lvlJc w:val="left"/>
    </w:lvl>
    <w:lvl w:ilvl="7" w:tplc="05525A6A">
      <w:numFmt w:val="decimal"/>
      <w:lvlText w:val=""/>
      <w:lvlJc w:val="left"/>
    </w:lvl>
    <w:lvl w:ilvl="8" w:tplc="0D40D318">
      <w:numFmt w:val="decimal"/>
      <w:lvlText w:val=""/>
      <w:lvlJc w:val="left"/>
    </w:lvl>
  </w:abstractNum>
  <w:abstractNum w:abstractNumId="11" w15:restartNumberingAfterBreak="0">
    <w:nsid w:val="07AD3410"/>
    <w:multiLevelType w:val="hybridMultilevel"/>
    <w:tmpl w:val="EE50231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0B5C049B"/>
    <w:multiLevelType w:val="hybridMultilevel"/>
    <w:tmpl w:val="C082E96A"/>
    <w:lvl w:ilvl="0" w:tplc="0414000F">
      <w:start w:val="1"/>
      <w:numFmt w:val="decimal"/>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0CD60F77"/>
    <w:multiLevelType w:val="hybridMultilevel"/>
    <w:tmpl w:val="5260C71C"/>
    <w:lvl w:ilvl="0" w:tplc="6ACEC94E">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4" w15:restartNumberingAfterBreak="0">
    <w:nsid w:val="0E5D40BC"/>
    <w:multiLevelType w:val="hybridMultilevel"/>
    <w:tmpl w:val="0414001D"/>
    <w:styleLink w:val="1ai"/>
    <w:lvl w:ilvl="0" w:tplc="4AE83A20">
      <w:start w:val="1"/>
      <w:numFmt w:val="decimal"/>
      <w:lvlText w:val="%1)"/>
      <w:lvlJc w:val="left"/>
      <w:pPr>
        <w:ind w:left="360" w:hanging="360"/>
      </w:pPr>
    </w:lvl>
    <w:lvl w:ilvl="1" w:tplc="36B075E6">
      <w:start w:val="1"/>
      <w:numFmt w:val="lowerLetter"/>
      <w:lvlText w:val="%2)"/>
      <w:lvlJc w:val="left"/>
      <w:pPr>
        <w:ind w:left="720" w:hanging="360"/>
      </w:pPr>
    </w:lvl>
    <w:lvl w:ilvl="2" w:tplc="88F6EA00">
      <w:start w:val="1"/>
      <w:numFmt w:val="lowerRoman"/>
      <w:lvlText w:val="%3)"/>
      <w:lvlJc w:val="left"/>
      <w:pPr>
        <w:ind w:left="1080" w:hanging="360"/>
      </w:pPr>
    </w:lvl>
    <w:lvl w:ilvl="3" w:tplc="82A0CE4E">
      <w:start w:val="1"/>
      <w:numFmt w:val="decimal"/>
      <w:lvlText w:val="(%4)"/>
      <w:lvlJc w:val="left"/>
      <w:pPr>
        <w:ind w:left="1440" w:hanging="360"/>
      </w:pPr>
    </w:lvl>
    <w:lvl w:ilvl="4" w:tplc="2CFE6EEE">
      <w:start w:val="1"/>
      <w:numFmt w:val="lowerLetter"/>
      <w:lvlText w:val="(%5)"/>
      <w:lvlJc w:val="left"/>
      <w:pPr>
        <w:ind w:left="1800" w:hanging="360"/>
      </w:pPr>
    </w:lvl>
    <w:lvl w:ilvl="5" w:tplc="3BE67B28">
      <w:start w:val="1"/>
      <w:numFmt w:val="lowerRoman"/>
      <w:lvlText w:val="(%6)"/>
      <w:lvlJc w:val="left"/>
      <w:pPr>
        <w:ind w:left="2160" w:hanging="360"/>
      </w:pPr>
    </w:lvl>
    <w:lvl w:ilvl="6" w:tplc="54EC3870">
      <w:start w:val="1"/>
      <w:numFmt w:val="decimal"/>
      <w:lvlText w:val="%7."/>
      <w:lvlJc w:val="left"/>
      <w:pPr>
        <w:ind w:left="2520" w:hanging="360"/>
      </w:pPr>
    </w:lvl>
    <w:lvl w:ilvl="7" w:tplc="97B6BCC6">
      <w:start w:val="1"/>
      <w:numFmt w:val="lowerLetter"/>
      <w:lvlText w:val="%8."/>
      <w:lvlJc w:val="left"/>
      <w:pPr>
        <w:ind w:left="2880" w:hanging="360"/>
      </w:pPr>
    </w:lvl>
    <w:lvl w:ilvl="8" w:tplc="AF1414D4">
      <w:start w:val="1"/>
      <w:numFmt w:val="lowerRoman"/>
      <w:lvlText w:val="%9."/>
      <w:lvlJc w:val="left"/>
      <w:pPr>
        <w:ind w:left="3240" w:hanging="360"/>
      </w:pPr>
    </w:lvl>
  </w:abstractNum>
  <w:abstractNum w:abstractNumId="15" w15:restartNumberingAfterBreak="0">
    <w:nsid w:val="23327211"/>
    <w:multiLevelType w:val="hybridMultilevel"/>
    <w:tmpl w:val="8F8436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24D23ACA"/>
    <w:multiLevelType w:val="hybridMultilevel"/>
    <w:tmpl w:val="310056AC"/>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17" w15:restartNumberingAfterBreak="0">
    <w:nsid w:val="24F86E54"/>
    <w:multiLevelType w:val="multilevel"/>
    <w:tmpl w:val="76F8629A"/>
    <w:styleLink w:val="Artikkelavsnitt"/>
    <w:lvl w:ilvl="0">
      <w:start w:val="1"/>
      <w:numFmt w:val="upperRoman"/>
      <w:lvlText w:val="Artikkel %1."/>
      <w:lvlJc w:val="left"/>
      <w:pPr>
        <w:ind w:left="0" w:firstLine="0"/>
      </w:pPr>
    </w:lvl>
    <w:lvl w:ilvl="1">
      <w:start w:val="1"/>
      <w:numFmt w:val="decima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2BC13E61"/>
    <w:multiLevelType w:val="hybridMultilevel"/>
    <w:tmpl w:val="3378E53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2CBD1C4A"/>
    <w:multiLevelType w:val="hybridMultilevel"/>
    <w:tmpl w:val="9A9E2142"/>
    <w:lvl w:ilvl="0" w:tplc="662059D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0" w15:restartNumberingAfterBreak="0">
    <w:nsid w:val="2F2C770A"/>
    <w:multiLevelType w:val="multilevel"/>
    <w:tmpl w:val="FD4A8548"/>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33130B29"/>
    <w:multiLevelType w:val="multilevel"/>
    <w:tmpl w:val="A3625F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338C45E4"/>
    <w:multiLevelType w:val="hybridMultilevel"/>
    <w:tmpl w:val="FFFFFFFF"/>
    <w:lvl w:ilvl="0" w:tplc="5B18428A">
      <w:start w:val="1"/>
      <w:numFmt w:val="bullet"/>
      <w:lvlText w:val=""/>
      <w:lvlJc w:val="left"/>
      <w:pPr>
        <w:ind w:left="720" w:hanging="360"/>
      </w:pPr>
      <w:rPr>
        <w:rFonts w:ascii="Symbol" w:hAnsi="Symbol" w:hint="default"/>
      </w:rPr>
    </w:lvl>
    <w:lvl w:ilvl="1" w:tplc="FC7472FA">
      <w:start w:val="1"/>
      <w:numFmt w:val="bullet"/>
      <w:lvlText w:val="o"/>
      <w:lvlJc w:val="left"/>
      <w:pPr>
        <w:ind w:left="1440" w:hanging="360"/>
      </w:pPr>
      <w:rPr>
        <w:rFonts w:ascii="Courier New" w:hAnsi="Courier New" w:hint="default"/>
      </w:rPr>
    </w:lvl>
    <w:lvl w:ilvl="2" w:tplc="8586E246">
      <w:start w:val="1"/>
      <w:numFmt w:val="bullet"/>
      <w:lvlText w:val=""/>
      <w:lvlJc w:val="left"/>
      <w:pPr>
        <w:ind w:left="2160" w:hanging="360"/>
      </w:pPr>
      <w:rPr>
        <w:rFonts w:ascii="Wingdings" w:hAnsi="Wingdings" w:hint="default"/>
      </w:rPr>
    </w:lvl>
    <w:lvl w:ilvl="3" w:tplc="49268404">
      <w:start w:val="1"/>
      <w:numFmt w:val="bullet"/>
      <w:lvlText w:val=""/>
      <w:lvlJc w:val="left"/>
      <w:pPr>
        <w:ind w:left="2880" w:hanging="360"/>
      </w:pPr>
      <w:rPr>
        <w:rFonts w:ascii="Symbol" w:hAnsi="Symbol" w:hint="default"/>
      </w:rPr>
    </w:lvl>
    <w:lvl w:ilvl="4" w:tplc="0A1639BA">
      <w:start w:val="1"/>
      <w:numFmt w:val="bullet"/>
      <w:lvlText w:val="o"/>
      <w:lvlJc w:val="left"/>
      <w:pPr>
        <w:ind w:left="3600" w:hanging="360"/>
      </w:pPr>
      <w:rPr>
        <w:rFonts w:ascii="Courier New" w:hAnsi="Courier New" w:hint="default"/>
      </w:rPr>
    </w:lvl>
    <w:lvl w:ilvl="5" w:tplc="27EAAA70">
      <w:start w:val="1"/>
      <w:numFmt w:val="bullet"/>
      <w:lvlText w:val=""/>
      <w:lvlJc w:val="left"/>
      <w:pPr>
        <w:ind w:left="4320" w:hanging="360"/>
      </w:pPr>
      <w:rPr>
        <w:rFonts w:ascii="Wingdings" w:hAnsi="Wingdings" w:hint="default"/>
      </w:rPr>
    </w:lvl>
    <w:lvl w:ilvl="6" w:tplc="F7C25FA2">
      <w:start w:val="1"/>
      <w:numFmt w:val="bullet"/>
      <w:lvlText w:val=""/>
      <w:lvlJc w:val="left"/>
      <w:pPr>
        <w:ind w:left="5040" w:hanging="360"/>
      </w:pPr>
      <w:rPr>
        <w:rFonts w:ascii="Symbol" w:hAnsi="Symbol" w:hint="default"/>
      </w:rPr>
    </w:lvl>
    <w:lvl w:ilvl="7" w:tplc="64C0982E">
      <w:start w:val="1"/>
      <w:numFmt w:val="bullet"/>
      <w:lvlText w:val="o"/>
      <w:lvlJc w:val="left"/>
      <w:pPr>
        <w:ind w:left="5760" w:hanging="360"/>
      </w:pPr>
      <w:rPr>
        <w:rFonts w:ascii="Courier New" w:hAnsi="Courier New" w:hint="default"/>
      </w:rPr>
    </w:lvl>
    <w:lvl w:ilvl="8" w:tplc="881065BE">
      <w:start w:val="1"/>
      <w:numFmt w:val="bullet"/>
      <w:lvlText w:val=""/>
      <w:lvlJc w:val="left"/>
      <w:pPr>
        <w:ind w:left="6480" w:hanging="360"/>
      </w:pPr>
      <w:rPr>
        <w:rFonts w:ascii="Wingdings" w:hAnsi="Wingdings" w:hint="default"/>
      </w:rPr>
    </w:lvl>
  </w:abstractNum>
  <w:abstractNum w:abstractNumId="23" w15:restartNumberingAfterBreak="0">
    <w:nsid w:val="34FA167F"/>
    <w:multiLevelType w:val="hybridMultilevel"/>
    <w:tmpl w:val="856AB3C6"/>
    <w:lvl w:ilvl="0" w:tplc="04140001">
      <w:start w:val="1"/>
      <w:numFmt w:val="bullet"/>
      <w:lvlText w:val=""/>
      <w:lvlJc w:val="left"/>
      <w:pPr>
        <w:ind w:left="1080" w:hanging="360"/>
      </w:pPr>
      <w:rPr>
        <w:rFonts w:ascii="Symbol" w:hAnsi="Symbol" w:hint="default"/>
      </w:rPr>
    </w:lvl>
    <w:lvl w:ilvl="1" w:tplc="04140003" w:tentative="1">
      <w:start w:val="1"/>
      <w:numFmt w:val="bullet"/>
      <w:lvlText w:val="o"/>
      <w:lvlJc w:val="left"/>
      <w:pPr>
        <w:ind w:left="1800" w:hanging="360"/>
      </w:pPr>
      <w:rPr>
        <w:rFonts w:ascii="Courier New" w:hAnsi="Courier New" w:cs="Courier New" w:hint="default"/>
      </w:rPr>
    </w:lvl>
    <w:lvl w:ilvl="2" w:tplc="04140005" w:tentative="1">
      <w:start w:val="1"/>
      <w:numFmt w:val="bullet"/>
      <w:lvlText w:val=""/>
      <w:lvlJc w:val="left"/>
      <w:pPr>
        <w:ind w:left="2520" w:hanging="360"/>
      </w:pPr>
      <w:rPr>
        <w:rFonts w:ascii="Wingdings" w:hAnsi="Wingdings" w:hint="default"/>
      </w:rPr>
    </w:lvl>
    <w:lvl w:ilvl="3" w:tplc="04140001" w:tentative="1">
      <w:start w:val="1"/>
      <w:numFmt w:val="bullet"/>
      <w:lvlText w:val=""/>
      <w:lvlJc w:val="left"/>
      <w:pPr>
        <w:ind w:left="3240" w:hanging="360"/>
      </w:pPr>
      <w:rPr>
        <w:rFonts w:ascii="Symbol" w:hAnsi="Symbol" w:hint="default"/>
      </w:rPr>
    </w:lvl>
    <w:lvl w:ilvl="4" w:tplc="04140003" w:tentative="1">
      <w:start w:val="1"/>
      <w:numFmt w:val="bullet"/>
      <w:lvlText w:val="o"/>
      <w:lvlJc w:val="left"/>
      <w:pPr>
        <w:ind w:left="3960" w:hanging="360"/>
      </w:pPr>
      <w:rPr>
        <w:rFonts w:ascii="Courier New" w:hAnsi="Courier New" w:cs="Courier New" w:hint="default"/>
      </w:rPr>
    </w:lvl>
    <w:lvl w:ilvl="5" w:tplc="04140005" w:tentative="1">
      <w:start w:val="1"/>
      <w:numFmt w:val="bullet"/>
      <w:lvlText w:val=""/>
      <w:lvlJc w:val="left"/>
      <w:pPr>
        <w:ind w:left="4680" w:hanging="360"/>
      </w:pPr>
      <w:rPr>
        <w:rFonts w:ascii="Wingdings" w:hAnsi="Wingdings" w:hint="default"/>
      </w:rPr>
    </w:lvl>
    <w:lvl w:ilvl="6" w:tplc="04140001" w:tentative="1">
      <w:start w:val="1"/>
      <w:numFmt w:val="bullet"/>
      <w:lvlText w:val=""/>
      <w:lvlJc w:val="left"/>
      <w:pPr>
        <w:ind w:left="5400" w:hanging="360"/>
      </w:pPr>
      <w:rPr>
        <w:rFonts w:ascii="Symbol" w:hAnsi="Symbol" w:hint="default"/>
      </w:rPr>
    </w:lvl>
    <w:lvl w:ilvl="7" w:tplc="04140003" w:tentative="1">
      <w:start w:val="1"/>
      <w:numFmt w:val="bullet"/>
      <w:lvlText w:val="o"/>
      <w:lvlJc w:val="left"/>
      <w:pPr>
        <w:ind w:left="6120" w:hanging="360"/>
      </w:pPr>
      <w:rPr>
        <w:rFonts w:ascii="Courier New" w:hAnsi="Courier New" w:cs="Courier New" w:hint="default"/>
      </w:rPr>
    </w:lvl>
    <w:lvl w:ilvl="8" w:tplc="04140005" w:tentative="1">
      <w:start w:val="1"/>
      <w:numFmt w:val="bullet"/>
      <w:lvlText w:val=""/>
      <w:lvlJc w:val="left"/>
      <w:pPr>
        <w:ind w:left="6840" w:hanging="360"/>
      </w:pPr>
      <w:rPr>
        <w:rFonts w:ascii="Wingdings" w:hAnsi="Wingdings" w:hint="default"/>
      </w:rPr>
    </w:lvl>
  </w:abstractNum>
  <w:abstractNum w:abstractNumId="24" w15:restartNumberingAfterBreak="0">
    <w:nsid w:val="38345FEE"/>
    <w:multiLevelType w:val="hybridMultilevel"/>
    <w:tmpl w:val="44C0F992"/>
    <w:lvl w:ilvl="0" w:tplc="E106613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399D7704"/>
    <w:multiLevelType w:val="hybridMultilevel"/>
    <w:tmpl w:val="1DE089D4"/>
    <w:lvl w:ilvl="0" w:tplc="02027886">
      <w:start w:val="1"/>
      <w:numFmt w:val="bullet"/>
      <w:lvlText w:val=""/>
      <w:lvlJc w:val="left"/>
      <w:pPr>
        <w:ind w:left="720" w:hanging="360"/>
      </w:pPr>
      <w:rPr>
        <w:rFonts w:ascii="Symbol" w:hAnsi="Symbol" w:hint="default"/>
        <w:color w:val="auto"/>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6" w15:restartNumberingAfterBreak="0">
    <w:nsid w:val="3BF13A70"/>
    <w:multiLevelType w:val="hybridMultilevel"/>
    <w:tmpl w:val="9998D7E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7" w15:restartNumberingAfterBreak="0">
    <w:nsid w:val="3DA776DF"/>
    <w:multiLevelType w:val="hybridMultilevel"/>
    <w:tmpl w:val="2A2A052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8" w15:restartNumberingAfterBreak="0">
    <w:nsid w:val="44CB6367"/>
    <w:multiLevelType w:val="hybridMultilevel"/>
    <w:tmpl w:val="B8D0968A"/>
    <w:lvl w:ilvl="0" w:tplc="D11235E4">
      <w:start w:val="2"/>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9" w15:restartNumberingAfterBreak="0">
    <w:nsid w:val="45B5726C"/>
    <w:multiLevelType w:val="hybridMultilevel"/>
    <w:tmpl w:val="C85ACF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0" w15:restartNumberingAfterBreak="0">
    <w:nsid w:val="45D4BBC8"/>
    <w:multiLevelType w:val="hybridMultilevel"/>
    <w:tmpl w:val="FFFFFFFF"/>
    <w:lvl w:ilvl="0" w:tplc="84263D46">
      <w:start w:val="1"/>
      <w:numFmt w:val="bullet"/>
      <w:lvlText w:val=""/>
      <w:lvlJc w:val="left"/>
      <w:pPr>
        <w:ind w:left="720" w:hanging="360"/>
      </w:pPr>
      <w:rPr>
        <w:rFonts w:ascii="Symbol" w:hAnsi="Symbol" w:hint="default"/>
      </w:rPr>
    </w:lvl>
    <w:lvl w:ilvl="1" w:tplc="27A8C53A">
      <w:start w:val="1"/>
      <w:numFmt w:val="bullet"/>
      <w:lvlText w:val="·"/>
      <w:lvlJc w:val="left"/>
      <w:pPr>
        <w:ind w:left="1440" w:hanging="360"/>
      </w:pPr>
      <w:rPr>
        <w:rFonts w:ascii="Symbol" w:hAnsi="Symbol" w:hint="default"/>
      </w:rPr>
    </w:lvl>
    <w:lvl w:ilvl="2" w:tplc="D46A8B5E">
      <w:start w:val="1"/>
      <w:numFmt w:val="bullet"/>
      <w:lvlText w:val=""/>
      <w:lvlJc w:val="left"/>
      <w:pPr>
        <w:ind w:left="2160" w:hanging="360"/>
      </w:pPr>
      <w:rPr>
        <w:rFonts w:ascii="Wingdings" w:hAnsi="Wingdings" w:hint="default"/>
      </w:rPr>
    </w:lvl>
    <w:lvl w:ilvl="3" w:tplc="1B62EE34">
      <w:start w:val="1"/>
      <w:numFmt w:val="bullet"/>
      <w:lvlText w:val=""/>
      <w:lvlJc w:val="left"/>
      <w:pPr>
        <w:ind w:left="2880" w:hanging="360"/>
      </w:pPr>
      <w:rPr>
        <w:rFonts w:ascii="Symbol" w:hAnsi="Symbol" w:hint="default"/>
      </w:rPr>
    </w:lvl>
    <w:lvl w:ilvl="4" w:tplc="D9982DEE">
      <w:start w:val="1"/>
      <w:numFmt w:val="bullet"/>
      <w:lvlText w:val="o"/>
      <w:lvlJc w:val="left"/>
      <w:pPr>
        <w:ind w:left="3600" w:hanging="360"/>
      </w:pPr>
      <w:rPr>
        <w:rFonts w:ascii="Courier New" w:hAnsi="Courier New" w:hint="default"/>
      </w:rPr>
    </w:lvl>
    <w:lvl w:ilvl="5" w:tplc="87761D34">
      <w:start w:val="1"/>
      <w:numFmt w:val="bullet"/>
      <w:lvlText w:val=""/>
      <w:lvlJc w:val="left"/>
      <w:pPr>
        <w:ind w:left="4320" w:hanging="360"/>
      </w:pPr>
      <w:rPr>
        <w:rFonts w:ascii="Wingdings" w:hAnsi="Wingdings" w:hint="default"/>
      </w:rPr>
    </w:lvl>
    <w:lvl w:ilvl="6" w:tplc="D28E2EB0">
      <w:start w:val="1"/>
      <w:numFmt w:val="bullet"/>
      <w:lvlText w:val=""/>
      <w:lvlJc w:val="left"/>
      <w:pPr>
        <w:ind w:left="5040" w:hanging="360"/>
      </w:pPr>
      <w:rPr>
        <w:rFonts w:ascii="Symbol" w:hAnsi="Symbol" w:hint="default"/>
      </w:rPr>
    </w:lvl>
    <w:lvl w:ilvl="7" w:tplc="5F501884">
      <w:start w:val="1"/>
      <w:numFmt w:val="bullet"/>
      <w:lvlText w:val="o"/>
      <w:lvlJc w:val="left"/>
      <w:pPr>
        <w:ind w:left="5760" w:hanging="360"/>
      </w:pPr>
      <w:rPr>
        <w:rFonts w:ascii="Courier New" w:hAnsi="Courier New" w:hint="default"/>
      </w:rPr>
    </w:lvl>
    <w:lvl w:ilvl="8" w:tplc="BF408E64">
      <w:start w:val="1"/>
      <w:numFmt w:val="bullet"/>
      <w:lvlText w:val=""/>
      <w:lvlJc w:val="left"/>
      <w:pPr>
        <w:ind w:left="6480" w:hanging="360"/>
      </w:pPr>
      <w:rPr>
        <w:rFonts w:ascii="Wingdings" w:hAnsi="Wingdings" w:hint="default"/>
      </w:rPr>
    </w:lvl>
  </w:abstractNum>
  <w:abstractNum w:abstractNumId="31" w15:restartNumberingAfterBreak="0">
    <w:nsid w:val="48837FEE"/>
    <w:multiLevelType w:val="hybridMultilevel"/>
    <w:tmpl w:val="59B4D00A"/>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Courier New" w:hint="default"/>
      </w:rPr>
    </w:lvl>
    <w:lvl w:ilvl="8" w:tplc="04140005">
      <w:start w:val="1"/>
      <w:numFmt w:val="bullet"/>
      <w:lvlText w:val=""/>
      <w:lvlJc w:val="left"/>
      <w:pPr>
        <w:ind w:left="6480" w:hanging="360"/>
      </w:pPr>
      <w:rPr>
        <w:rFonts w:ascii="Wingdings" w:hAnsi="Wingdings" w:hint="default"/>
      </w:rPr>
    </w:lvl>
  </w:abstractNum>
  <w:abstractNum w:abstractNumId="32" w15:restartNumberingAfterBreak="0">
    <w:nsid w:val="4C4C4F0B"/>
    <w:multiLevelType w:val="multilevel"/>
    <w:tmpl w:val="B48020CC"/>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DC079D8"/>
    <w:multiLevelType w:val="hybridMultilevel"/>
    <w:tmpl w:val="F6187954"/>
    <w:lvl w:ilvl="0" w:tplc="C05C26E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4" w15:restartNumberingAfterBreak="0">
    <w:nsid w:val="56346065"/>
    <w:multiLevelType w:val="hybridMultilevel"/>
    <w:tmpl w:val="FD96F502"/>
    <w:lvl w:ilvl="0" w:tplc="02027886">
      <w:start w:val="1"/>
      <w:numFmt w:val="bullet"/>
      <w:lvlText w:val=""/>
      <w:lvlJc w:val="left"/>
      <w:pPr>
        <w:ind w:left="720" w:hanging="360"/>
      </w:pPr>
      <w:rPr>
        <w:rFonts w:ascii="Symbol" w:hAnsi="Symbol" w:hint="default"/>
        <w:color w:val="auto"/>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5" w15:restartNumberingAfterBreak="0">
    <w:nsid w:val="5C853163"/>
    <w:multiLevelType w:val="hybridMultilevel"/>
    <w:tmpl w:val="CB2AC37E"/>
    <w:lvl w:ilvl="0" w:tplc="04140011">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6" w15:restartNumberingAfterBreak="0">
    <w:nsid w:val="5DD86785"/>
    <w:multiLevelType w:val="hybridMultilevel"/>
    <w:tmpl w:val="6AF844CA"/>
    <w:lvl w:ilvl="0" w:tplc="BE206A0A">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7" w15:restartNumberingAfterBreak="0">
    <w:nsid w:val="64A7163C"/>
    <w:multiLevelType w:val="multilevel"/>
    <w:tmpl w:val="468E418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6CE3670"/>
    <w:multiLevelType w:val="multilevel"/>
    <w:tmpl w:val="726C2CE0"/>
    <w:lvl w:ilvl="0">
      <w:start w:val="1"/>
      <w:numFmt w:val="decimal"/>
      <w:lvlText w:val="%1."/>
      <w:lvlJc w:val="left"/>
      <w:pPr>
        <w:ind w:left="720" w:hanging="360"/>
      </w:pPr>
      <w:rPr>
        <w:rFonts w:hint="default"/>
      </w:rPr>
    </w:lvl>
    <w:lvl w:ilvl="1">
      <w:start w:val="1"/>
      <w:numFmt w:val="decimal"/>
      <w:isLgl/>
      <w:lvlText w:val="%1.%2"/>
      <w:lvlJc w:val="left"/>
      <w:pPr>
        <w:ind w:left="750" w:hanging="39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69B33AC3"/>
    <w:multiLevelType w:val="hybridMultilevel"/>
    <w:tmpl w:val="EB361C6E"/>
    <w:lvl w:ilvl="0" w:tplc="B43CEC46">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0" w15:restartNumberingAfterBreak="0">
    <w:nsid w:val="69D8509A"/>
    <w:multiLevelType w:val="hybridMultilevel"/>
    <w:tmpl w:val="9CC6F15E"/>
    <w:lvl w:ilvl="0" w:tplc="FFFFFFFF">
      <w:start w:val="1"/>
      <w:numFmt w:val="bullet"/>
      <w:lvlText w:val=""/>
      <w:lvlJc w:val="left"/>
      <w:pPr>
        <w:ind w:left="643"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1" w15:restartNumberingAfterBreak="0">
    <w:nsid w:val="6D4A75F7"/>
    <w:multiLevelType w:val="hybridMultilevel"/>
    <w:tmpl w:val="BC8265E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2" w15:restartNumberingAfterBreak="0">
    <w:nsid w:val="71411C44"/>
    <w:multiLevelType w:val="hybridMultilevel"/>
    <w:tmpl w:val="5804EA3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5191023"/>
    <w:multiLevelType w:val="hybridMultilevel"/>
    <w:tmpl w:val="A580C7C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4" w15:restartNumberingAfterBreak="0">
    <w:nsid w:val="75503D26"/>
    <w:multiLevelType w:val="hybridMultilevel"/>
    <w:tmpl w:val="2C30AECE"/>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5" w15:restartNumberingAfterBreak="0">
    <w:nsid w:val="76D80FDB"/>
    <w:multiLevelType w:val="hybridMultilevel"/>
    <w:tmpl w:val="C4D8159A"/>
    <w:lvl w:ilvl="0" w:tplc="0414000F">
      <w:start w:val="9"/>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6" w15:restartNumberingAfterBreak="0">
    <w:nsid w:val="7C841B54"/>
    <w:multiLevelType w:val="multilevel"/>
    <w:tmpl w:val="1480C04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7EAE2599"/>
    <w:multiLevelType w:val="hybridMultilevel"/>
    <w:tmpl w:val="8F74FA1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598025055">
    <w:abstractNumId w:val="32"/>
  </w:num>
  <w:num w:numId="2" w16cid:durableId="1737317348">
    <w:abstractNumId w:val="14"/>
  </w:num>
  <w:num w:numId="3" w16cid:durableId="576745164">
    <w:abstractNumId w:val="17"/>
  </w:num>
  <w:num w:numId="4" w16cid:durableId="1525631881">
    <w:abstractNumId w:val="8"/>
  </w:num>
  <w:num w:numId="5" w16cid:durableId="1316029660">
    <w:abstractNumId w:val="3"/>
  </w:num>
  <w:num w:numId="6" w16cid:durableId="755516871">
    <w:abstractNumId w:val="2"/>
  </w:num>
  <w:num w:numId="7" w16cid:durableId="709914403">
    <w:abstractNumId w:val="1"/>
  </w:num>
  <w:num w:numId="8" w16cid:durableId="1366298311">
    <w:abstractNumId w:val="0"/>
  </w:num>
  <w:num w:numId="9" w16cid:durableId="425230244">
    <w:abstractNumId w:val="9"/>
  </w:num>
  <w:num w:numId="10" w16cid:durableId="864094533">
    <w:abstractNumId w:val="7"/>
  </w:num>
  <w:num w:numId="11" w16cid:durableId="2034383327">
    <w:abstractNumId w:val="6"/>
  </w:num>
  <w:num w:numId="12" w16cid:durableId="336155816">
    <w:abstractNumId w:val="5"/>
  </w:num>
  <w:num w:numId="13" w16cid:durableId="1327516259">
    <w:abstractNumId w:val="4"/>
  </w:num>
  <w:num w:numId="14" w16cid:durableId="1545479101">
    <w:abstractNumId w:val="18"/>
  </w:num>
  <w:num w:numId="15" w16cid:durableId="865018760">
    <w:abstractNumId w:val="27"/>
  </w:num>
  <w:num w:numId="16" w16cid:durableId="252983035">
    <w:abstractNumId w:val="10"/>
  </w:num>
  <w:num w:numId="17" w16cid:durableId="674307969">
    <w:abstractNumId w:val="34"/>
  </w:num>
  <w:num w:numId="18" w16cid:durableId="1934431154">
    <w:abstractNumId w:val="25"/>
  </w:num>
  <w:num w:numId="19" w16cid:durableId="411701542">
    <w:abstractNumId w:val="26"/>
  </w:num>
  <w:num w:numId="20" w16cid:durableId="20666888">
    <w:abstractNumId w:val="47"/>
  </w:num>
  <w:num w:numId="21" w16cid:durableId="854075672">
    <w:abstractNumId w:val="38"/>
  </w:num>
  <w:num w:numId="22" w16cid:durableId="36664137">
    <w:abstractNumId w:val="39"/>
  </w:num>
  <w:num w:numId="23" w16cid:durableId="2061131108">
    <w:abstractNumId w:val="45"/>
  </w:num>
  <w:num w:numId="24" w16cid:durableId="239482057">
    <w:abstractNumId w:val="40"/>
  </w:num>
  <w:num w:numId="25" w16cid:durableId="2128313071">
    <w:abstractNumId w:val="43"/>
  </w:num>
  <w:num w:numId="26" w16cid:durableId="359596889">
    <w:abstractNumId w:val="12"/>
  </w:num>
  <w:num w:numId="27" w16cid:durableId="68625474">
    <w:abstractNumId w:val="19"/>
  </w:num>
  <w:num w:numId="28" w16cid:durableId="1133979461">
    <w:abstractNumId w:val="13"/>
  </w:num>
  <w:num w:numId="29" w16cid:durableId="18168247">
    <w:abstractNumId w:val="42"/>
  </w:num>
  <w:num w:numId="30" w16cid:durableId="2037658016">
    <w:abstractNumId w:val="44"/>
  </w:num>
  <w:num w:numId="31" w16cid:durableId="1439983672">
    <w:abstractNumId w:val="11"/>
  </w:num>
  <w:num w:numId="32" w16cid:durableId="2127238026">
    <w:abstractNumId w:val="15"/>
  </w:num>
  <w:num w:numId="33" w16cid:durableId="1301228762">
    <w:abstractNumId w:val="33"/>
  </w:num>
  <w:num w:numId="34" w16cid:durableId="280258969">
    <w:abstractNumId w:val="30"/>
  </w:num>
  <w:num w:numId="35" w16cid:durableId="1099370686">
    <w:abstractNumId w:val="22"/>
  </w:num>
  <w:num w:numId="36" w16cid:durableId="1830244326">
    <w:abstractNumId w:val="16"/>
  </w:num>
  <w:num w:numId="37" w16cid:durableId="622613712">
    <w:abstractNumId w:val="31"/>
  </w:num>
  <w:num w:numId="38" w16cid:durableId="724724238">
    <w:abstractNumId w:val="16"/>
  </w:num>
  <w:num w:numId="39" w16cid:durableId="1871213358">
    <w:abstractNumId w:val="31"/>
  </w:num>
  <w:num w:numId="40" w16cid:durableId="981152065">
    <w:abstractNumId w:val="35"/>
  </w:num>
  <w:num w:numId="41" w16cid:durableId="1726945736">
    <w:abstractNumId w:val="21"/>
  </w:num>
  <w:num w:numId="42" w16cid:durableId="1596936035">
    <w:abstractNumId w:val="20"/>
  </w:num>
  <w:num w:numId="43" w16cid:durableId="1109279809">
    <w:abstractNumId w:val="37"/>
  </w:num>
  <w:num w:numId="44" w16cid:durableId="965159478">
    <w:abstractNumId w:val="46"/>
  </w:num>
  <w:num w:numId="45" w16cid:durableId="554201062">
    <w:abstractNumId w:val="24"/>
  </w:num>
  <w:num w:numId="46" w16cid:durableId="568806036">
    <w:abstractNumId w:val="36"/>
  </w:num>
  <w:num w:numId="47" w16cid:durableId="1111700694">
    <w:abstractNumId w:val="29"/>
  </w:num>
  <w:num w:numId="48" w16cid:durableId="990139240">
    <w:abstractNumId w:val="28"/>
  </w:num>
  <w:num w:numId="49" w16cid:durableId="776751053">
    <w:abstractNumId w:val="23"/>
  </w:num>
  <w:num w:numId="50" w16cid:durableId="1053037940">
    <w:abstractNumId w:val="4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71D"/>
    <w:rsid w:val="00000079"/>
    <w:rsid w:val="000002F2"/>
    <w:rsid w:val="00000561"/>
    <w:rsid w:val="00000866"/>
    <w:rsid w:val="00002590"/>
    <w:rsid w:val="00002748"/>
    <w:rsid w:val="00002953"/>
    <w:rsid w:val="000030BB"/>
    <w:rsid w:val="000031B5"/>
    <w:rsid w:val="0000320E"/>
    <w:rsid w:val="0000356B"/>
    <w:rsid w:val="00003A47"/>
    <w:rsid w:val="00003D66"/>
    <w:rsid w:val="00003D8A"/>
    <w:rsid w:val="00003F0E"/>
    <w:rsid w:val="000040B1"/>
    <w:rsid w:val="00004278"/>
    <w:rsid w:val="000043E3"/>
    <w:rsid w:val="00004698"/>
    <w:rsid w:val="0000481D"/>
    <w:rsid w:val="0000521C"/>
    <w:rsid w:val="00005310"/>
    <w:rsid w:val="00005C24"/>
    <w:rsid w:val="00005EFE"/>
    <w:rsid w:val="00006007"/>
    <w:rsid w:val="0000609F"/>
    <w:rsid w:val="00006209"/>
    <w:rsid w:val="00006362"/>
    <w:rsid w:val="000066D6"/>
    <w:rsid w:val="00006AB0"/>
    <w:rsid w:val="00007206"/>
    <w:rsid w:val="00007560"/>
    <w:rsid w:val="000076D4"/>
    <w:rsid w:val="00007F11"/>
    <w:rsid w:val="0001097E"/>
    <w:rsid w:val="00010E72"/>
    <w:rsid w:val="00010E73"/>
    <w:rsid w:val="00011600"/>
    <w:rsid w:val="00011E14"/>
    <w:rsid w:val="0001223B"/>
    <w:rsid w:val="000122BD"/>
    <w:rsid w:val="000124DE"/>
    <w:rsid w:val="000127DE"/>
    <w:rsid w:val="00013783"/>
    <w:rsid w:val="00013829"/>
    <w:rsid w:val="0001422C"/>
    <w:rsid w:val="0001452C"/>
    <w:rsid w:val="00014AA8"/>
    <w:rsid w:val="00014F40"/>
    <w:rsid w:val="00015851"/>
    <w:rsid w:val="00016E6C"/>
    <w:rsid w:val="00017689"/>
    <w:rsid w:val="000178D0"/>
    <w:rsid w:val="00017BDB"/>
    <w:rsid w:val="000202DE"/>
    <w:rsid w:val="000209AB"/>
    <w:rsid w:val="00021545"/>
    <w:rsid w:val="000216F2"/>
    <w:rsid w:val="00021C08"/>
    <w:rsid w:val="00021DF4"/>
    <w:rsid w:val="00021E81"/>
    <w:rsid w:val="0002225C"/>
    <w:rsid w:val="00022782"/>
    <w:rsid w:val="00023054"/>
    <w:rsid w:val="00023A9B"/>
    <w:rsid w:val="00024755"/>
    <w:rsid w:val="00024A20"/>
    <w:rsid w:val="00024C26"/>
    <w:rsid w:val="0002550B"/>
    <w:rsid w:val="00025549"/>
    <w:rsid w:val="00025B4B"/>
    <w:rsid w:val="00025DB2"/>
    <w:rsid w:val="00026D84"/>
    <w:rsid w:val="000270EC"/>
    <w:rsid w:val="00027420"/>
    <w:rsid w:val="00027908"/>
    <w:rsid w:val="00027A1C"/>
    <w:rsid w:val="00027FDB"/>
    <w:rsid w:val="00030876"/>
    <w:rsid w:val="00030AEC"/>
    <w:rsid w:val="00030E96"/>
    <w:rsid w:val="00031191"/>
    <w:rsid w:val="0003171A"/>
    <w:rsid w:val="00031D69"/>
    <w:rsid w:val="000320F1"/>
    <w:rsid w:val="000323FC"/>
    <w:rsid w:val="00032D51"/>
    <w:rsid w:val="00032F18"/>
    <w:rsid w:val="00032F32"/>
    <w:rsid w:val="0003327B"/>
    <w:rsid w:val="00033520"/>
    <w:rsid w:val="000343B1"/>
    <w:rsid w:val="00034409"/>
    <w:rsid w:val="000348FA"/>
    <w:rsid w:val="00034D67"/>
    <w:rsid w:val="00035596"/>
    <w:rsid w:val="00035D83"/>
    <w:rsid w:val="00035DB4"/>
    <w:rsid w:val="00035F8E"/>
    <w:rsid w:val="00036651"/>
    <w:rsid w:val="00036C0E"/>
    <w:rsid w:val="00036E48"/>
    <w:rsid w:val="00037103"/>
    <w:rsid w:val="000400C9"/>
    <w:rsid w:val="0004068F"/>
    <w:rsid w:val="00040DD7"/>
    <w:rsid w:val="00041A78"/>
    <w:rsid w:val="00041ED1"/>
    <w:rsid w:val="000426CC"/>
    <w:rsid w:val="00042B1D"/>
    <w:rsid w:val="00042E35"/>
    <w:rsid w:val="00042F5E"/>
    <w:rsid w:val="00043C7E"/>
    <w:rsid w:val="00043CAB"/>
    <w:rsid w:val="00043FC7"/>
    <w:rsid w:val="00045039"/>
    <w:rsid w:val="000452CB"/>
    <w:rsid w:val="0004647F"/>
    <w:rsid w:val="000469B2"/>
    <w:rsid w:val="000470CE"/>
    <w:rsid w:val="000471D5"/>
    <w:rsid w:val="00047AC3"/>
    <w:rsid w:val="0005087A"/>
    <w:rsid w:val="000519B4"/>
    <w:rsid w:val="00051C1B"/>
    <w:rsid w:val="000528E3"/>
    <w:rsid w:val="00053310"/>
    <w:rsid w:val="0005396E"/>
    <w:rsid w:val="00053A62"/>
    <w:rsid w:val="0005427A"/>
    <w:rsid w:val="0005490C"/>
    <w:rsid w:val="0005549D"/>
    <w:rsid w:val="000555DE"/>
    <w:rsid w:val="00055A91"/>
    <w:rsid w:val="00055C44"/>
    <w:rsid w:val="000565BA"/>
    <w:rsid w:val="0005744E"/>
    <w:rsid w:val="00057FB0"/>
    <w:rsid w:val="0006028E"/>
    <w:rsid w:val="0006029B"/>
    <w:rsid w:val="00060D88"/>
    <w:rsid w:val="00060DCD"/>
    <w:rsid w:val="000610F6"/>
    <w:rsid w:val="00061231"/>
    <w:rsid w:val="000614A7"/>
    <w:rsid w:val="00061FC1"/>
    <w:rsid w:val="000623D9"/>
    <w:rsid w:val="00062B3A"/>
    <w:rsid w:val="00062DDA"/>
    <w:rsid w:val="000634D4"/>
    <w:rsid w:val="000638D3"/>
    <w:rsid w:val="00063B53"/>
    <w:rsid w:val="0006420E"/>
    <w:rsid w:val="00064B38"/>
    <w:rsid w:val="00064B9F"/>
    <w:rsid w:val="00064DE9"/>
    <w:rsid w:val="0006566A"/>
    <w:rsid w:val="00065E45"/>
    <w:rsid w:val="000672B7"/>
    <w:rsid w:val="000678DF"/>
    <w:rsid w:val="00070049"/>
    <w:rsid w:val="0007037C"/>
    <w:rsid w:val="00070A4A"/>
    <w:rsid w:val="00070C72"/>
    <w:rsid w:val="00070D43"/>
    <w:rsid w:val="00072257"/>
    <w:rsid w:val="0007236F"/>
    <w:rsid w:val="0007277C"/>
    <w:rsid w:val="000727F5"/>
    <w:rsid w:val="000728BC"/>
    <w:rsid w:val="00072985"/>
    <w:rsid w:val="00072FC6"/>
    <w:rsid w:val="0007307B"/>
    <w:rsid w:val="00073825"/>
    <w:rsid w:val="00073C64"/>
    <w:rsid w:val="00074675"/>
    <w:rsid w:val="000748BD"/>
    <w:rsid w:val="000749CC"/>
    <w:rsid w:val="00074A34"/>
    <w:rsid w:val="00074E17"/>
    <w:rsid w:val="000758C0"/>
    <w:rsid w:val="00075DB5"/>
    <w:rsid w:val="000768B1"/>
    <w:rsid w:val="00076BBC"/>
    <w:rsid w:val="0007732B"/>
    <w:rsid w:val="00080837"/>
    <w:rsid w:val="00080911"/>
    <w:rsid w:val="00080BDA"/>
    <w:rsid w:val="00080C13"/>
    <w:rsid w:val="00081367"/>
    <w:rsid w:val="0008184C"/>
    <w:rsid w:val="00081F95"/>
    <w:rsid w:val="00081FEA"/>
    <w:rsid w:val="000826BA"/>
    <w:rsid w:val="0008290F"/>
    <w:rsid w:val="00082F30"/>
    <w:rsid w:val="00083264"/>
    <w:rsid w:val="000832E0"/>
    <w:rsid w:val="000840C5"/>
    <w:rsid w:val="00084E1A"/>
    <w:rsid w:val="00085345"/>
    <w:rsid w:val="000854AF"/>
    <w:rsid w:val="00085B06"/>
    <w:rsid w:val="00085DE9"/>
    <w:rsid w:val="000871E9"/>
    <w:rsid w:val="00087653"/>
    <w:rsid w:val="000877A0"/>
    <w:rsid w:val="0008782A"/>
    <w:rsid w:val="000909F8"/>
    <w:rsid w:val="00090ECF"/>
    <w:rsid w:val="00090F41"/>
    <w:rsid w:val="0009150D"/>
    <w:rsid w:val="00091A9E"/>
    <w:rsid w:val="00091BA7"/>
    <w:rsid w:val="00091DAC"/>
    <w:rsid w:val="00092AD9"/>
    <w:rsid w:val="00092D05"/>
    <w:rsid w:val="00092E59"/>
    <w:rsid w:val="00093479"/>
    <w:rsid w:val="000936B7"/>
    <w:rsid w:val="00093AAB"/>
    <w:rsid w:val="00093C6F"/>
    <w:rsid w:val="000940CA"/>
    <w:rsid w:val="000944DE"/>
    <w:rsid w:val="0009454A"/>
    <w:rsid w:val="00095796"/>
    <w:rsid w:val="00095839"/>
    <w:rsid w:val="00096144"/>
    <w:rsid w:val="000962E3"/>
    <w:rsid w:val="00096871"/>
    <w:rsid w:val="000978FC"/>
    <w:rsid w:val="00097E0D"/>
    <w:rsid w:val="000A011B"/>
    <w:rsid w:val="000A04A2"/>
    <w:rsid w:val="000A10F0"/>
    <w:rsid w:val="000A14F9"/>
    <w:rsid w:val="000A176B"/>
    <w:rsid w:val="000A1BDD"/>
    <w:rsid w:val="000A24DE"/>
    <w:rsid w:val="000A2877"/>
    <w:rsid w:val="000A295C"/>
    <w:rsid w:val="000A2994"/>
    <w:rsid w:val="000A399C"/>
    <w:rsid w:val="000A4EE4"/>
    <w:rsid w:val="000A5D86"/>
    <w:rsid w:val="000A5DBD"/>
    <w:rsid w:val="000A6080"/>
    <w:rsid w:val="000A6731"/>
    <w:rsid w:val="000A76AD"/>
    <w:rsid w:val="000A7966"/>
    <w:rsid w:val="000A7B9A"/>
    <w:rsid w:val="000A7C16"/>
    <w:rsid w:val="000ACD9F"/>
    <w:rsid w:val="000B03F1"/>
    <w:rsid w:val="000B16A8"/>
    <w:rsid w:val="000B188A"/>
    <w:rsid w:val="000B1D0D"/>
    <w:rsid w:val="000B2463"/>
    <w:rsid w:val="000B2538"/>
    <w:rsid w:val="000B2BBA"/>
    <w:rsid w:val="000B2E34"/>
    <w:rsid w:val="000B3433"/>
    <w:rsid w:val="000B3986"/>
    <w:rsid w:val="000B3AF7"/>
    <w:rsid w:val="000B3D09"/>
    <w:rsid w:val="000B4AB1"/>
    <w:rsid w:val="000B54AB"/>
    <w:rsid w:val="000B5CFF"/>
    <w:rsid w:val="000B5DF4"/>
    <w:rsid w:val="000B780F"/>
    <w:rsid w:val="000B7B51"/>
    <w:rsid w:val="000B7BCE"/>
    <w:rsid w:val="000C00EC"/>
    <w:rsid w:val="000C11CC"/>
    <w:rsid w:val="000C15D6"/>
    <w:rsid w:val="000C15E6"/>
    <w:rsid w:val="000C1A9C"/>
    <w:rsid w:val="000C26E5"/>
    <w:rsid w:val="000C28BC"/>
    <w:rsid w:val="000C2A2A"/>
    <w:rsid w:val="000C2B1A"/>
    <w:rsid w:val="000C2C5B"/>
    <w:rsid w:val="000C2EC7"/>
    <w:rsid w:val="000C37F7"/>
    <w:rsid w:val="000C3DB9"/>
    <w:rsid w:val="000C3F60"/>
    <w:rsid w:val="000C4974"/>
    <w:rsid w:val="000C4976"/>
    <w:rsid w:val="000C4F0D"/>
    <w:rsid w:val="000C55E6"/>
    <w:rsid w:val="000C5753"/>
    <w:rsid w:val="000C5BDA"/>
    <w:rsid w:val="000C5C99"/>
    <w:rsid w:val="000C6656"/>
    <w:rsid w:val="000C6E3C"/>
    <w:rsid w:val="000C727C"/>
    <w:rsid w:val="000C7442"/>
    <w:rsid w:val="000C76C5"/>
    <w:rsid w:val="000C7A42"/>
    <w:rsid w:val="000CE1E9"/>
    <w:rsid w:val="000D03B1"/>
    <w:rsid w:val="000D043C"/>
    <w:rsid w:val="000D0F8D"/>
    <w:rsid w:val="000D10BF"/>
    <w:rsid w:val="000D146D"/>
    <w:rsid w:val="000D1519"/>
    <w:rsid w:val="000D186A"/>
    <w:rsid w:val="000D1E20"/>
    <w:rsid w:val="000D22BC"/>
    <w:rsid w:val="000D2BD9"/>
    <w:rsid w:val="000D2EE3"/>
    <w:rsid w:val="000D2F1B"/>
    <w:rsid w:val="000D4632"/>
    <w:rsid w:val="000D4EF4"/>
    <w:rsid w:val="000D5177"/>
    <w:rsid w:val="000D57BD"/>
    <w:rsid w:val="000D5907"/>
    <w:rsid w:val="000D5DE6"/>
    <w:rsid w:val="000D5EEE"/>
    <w:rsid w:val="000D6180"/>
    <w:rsid w:val="000D6551"/>
    <w:rsid w:val="000D6B8E"/>
    <w:rsid w:val="000D6E1F"/>
    <w:rsid w:val="000D7561"/>
    <w:rsid w:val="000D7888"/>
    <w:rsid w:val="000D7DF6"/>
    <w:rsid w:val="000E0385"/>
    <w:rsid w:val="000E058A"/>
    <w:rsid w:val="000E0AAF"/>
    <w:rsid w:val="000E1099"/>
    <w:rsid w:val="000E1B2D"/>
    <w:rsid w:val="000E1B64"/>
    <w:rsid w:val="000E2BA9"/>
    <w:rsid w:val="000E3017"/>
    <w:rsid w:val="000E3361"/>
    <w:rsid w:val="000E343C"/>
    <w:rsid w:val="000E3826"/>
    <w:rsid w:val="000E3CAF"/>
    <w:rsid w:val="000E41AB"/>
    <w:rsid w:val="000E431D"/>
    <w:rsid w:val="000E5110"/>
    <w:rsid w:val="000E532B"/>
    <w:rsid w:val="000E54DC"/>
    <w:rsid w:val="000E56E8"/>
    <w:rsid w:val="000E595C"/>
    <w:rsid w:val="000E5C31"/>
    <w:rsid w:val="000E6285"/>
    <w:rsid w:val="000E62B1"/>
    <w:rsid w:val="000E655B"/>
    <w:rsid w:val="000E68E6"/>
    <w:rsid w:val="000E6C82"/>
    <w:rsid w:val="000E6EB3"/>
    <w:rsid w:val="000E6F4F"/>
    <w:rsid w:val="000E744D"/>
    <w:rsid w:val="000E77D1"/>
    <w:rsid w:val="000E7834"/>
    <w:rsid w:val="000E7F17"/>
    <w:rsid w:val="000F02FF"/>
    <w:rsid w:val="000F0DCC"/>
    <w:rsid w:val="000F120C"/>
    <w:rsid w:val="000F1729"/>
    <w:rsid w:val="000F17CC"/>
    <w:rsid w:val="000F184F"/>
    <w:rsid w:val="000F34A0"/>
    <w:rsid w:val="000F3575"/>
    <w:rsid w:val="000F3ABE"/>
    <w:rsid w:val="000F41FF"/>
    <w:rsid w:val="000F49CC"/>
    <w:rsid w:val="000F4D02"/>
    <w:rsid w:val="000F5685"/>
    <w:rsid w:val="000F56BB"/>
    <w:rsid w:val="000F5C59"/>
    <w:rsid w:val="000F6132"/>
    <w:rsid w:val="000F63D8"/>
    <w:rsid w:val="000F68AC"/>
    <w:rsid w:val="000F703C"/>
    <w:rsid w:val="000F749E"/>
    <w:rsid w:val="000F7A5E"/>
    <w:rsid w:val="000F7ED7"/>
    <w:rsid w:val="000F7F66"/>
    <w:rsid w:val="00100D5C"/>
    <w:rsid w:val="00101193"/>
    <w:rsid w:val="001019D5"/>
    <w:rsid w:val="00102906"/>
    <w:rsid w:val="0010334D"/>
    <w:rsid w:val="00103A11"/>
    <w:rsid w:val="001040FA"/>
    <w:rsid w:val="00104635"/>
    <w:rsid w:val="0010469F"/>
    <w:rsid w:val="00104C5C"/>
    <w:rsid w:val="00105D74"/>
    <w:rsid w:val="0010695B"/>
    <w:rsid w:val="00106F12"/>
    <w:rsid w:val="001071E1"/>
    <w:rsid w:val="001073EE"/>
    <w:rsid w:val="001076C7"/>
    <w:rsid w:val="00107861"/>
    <w:rsid w:val="0010790A"/>
    <w:rsid w:val="0011068E"/>
    <w:rsid w:val="00110BBA"/>
    <w:rsid w:val="00110D18"/>
    <w:rsid w:val="0011110A"/>
    <w:rsid w:val="001111E7"/>
    <w:rsid w:val="0011138E"/>
    <w:rsid w:val="00111483"/>
    <w:rsid w:val="00111BAC"/>
    <w:rsid w:val="00111D93"/>
    <w:rsid w:val="00112075"/>
    <w:rsid w:val="0011289A"/>
    <w:rsid w:val="00112AC7"/>
    <w:rsid w:val="00112B1E"/>
    <w:rsid w:val="0011301F"/>
    <w:rsid w:val="00113190"/>
    <w:rsid w:val="00113C1A"/>
    <w:rsid w:val="00113E02"/>
    <w:rsid w:val="001147E2"/>
    <w:rsid w:val="00114F6E"/>
    <w:rsid w:val="0011512D"/>
    <w:rsid w:val="00115BAD"/>
    <w:rsid w:val="00115C63"/>
    <w:rsid w:val="00115D7F"/>
    <w:rsid w:val="001166A0"/>
    <w:rsid w:val="00116839"/>
    <w:rsid w:val="00116CA1"/>
    <w:rsid w:val="001171FF"/>
    <w:rsid w:val="0011776A"/>
    <w:rsid w:val="00117CCD"/>
    <w:rsid w:val="001206B8"/>
    <w:rsid w:val="00120A01"/>
    <w:rsid w:val="00121608"/>
    <w:rsid w:val="001227DE"/>
    <w:rsid w:val="0012297C"/>
    <w:rsid w:val="001235C5"/>
    <w:rsid w:val="00123A5C"/>
    <w:rsid w:val="00124012"/>
    <w:rsid w:val="001240D6"/>
    <w:rsid w:val="0012417A"/>
    <w:rsid w:val="00124527"/>
    <w:rsid w:val="00124C12"/>
    <w:rsid w:val="00124D1F"/>
    <w:rsid w:val="00125290"/>
    <w:rsid w:val="001252BD"/>
    <w:rsid w:val="00125A30"/>
    <w:rsid w:val="0012667A"/>
    <w:rsid w:val="00126D1D"/>
    <w:rsid w:val="001274BE"/>
    <w:rsid w:val="00127501"/>
    <w:rsid w:val="00127A44"/>
    <w:rsid w:val="00127AA7"/>
    <w:rsid w:val="00130595"/>
    <w:rsid w:val="00130797"/>
    <w:rsid w:val="00130C14"/>
    <w:rsid w:val="00130CA3"/>
    <w:rsid w:val="00130D09"/>
    <w:rsid w:val="00130F88"/>
    <w:rsid w:val="001311F5"/>
    <w:rsid w:val="0013129E"/>
    <w:rsid w:val="00131410"/>
    <w:rsid w:val="00131948"/>
    <w:rsid w:val="00132CD7"/>
    <w:rsid w:val="00133490"/>
    <w:rsid w:val="001334CA"/>
    <w:rsid w:val="001335F1"/>
    <w:rsid w:val="00133F12"/>
    <w:rsid w:val="001340BC"/>
    <w:rsid w:val="00134153"/>
    <w:rsid w:val="0013461E"/>
    <w:rsid w:val="00134BFB"/>
    <w:rsid w:val="00134C1A"/>
    <w:rsid w:val="00135541"/>
    <w:rsid w:val="00135589"/>
    <w:rsid w:val="00135804"/>
    <w:rsid w:val="00135A9F"/>
    <w:rsid w:val="00135C9E"/>
    <w:rsid w:val="00136111"/>
    <w:rsid w:val="001362CC"/>
    <w:rsid w:val="001364A9"/>
    <w:rsid w:val="0013675C"/>
    <w:rsid w:val="0013680F"/>
    <w:rsid w:val="00136E78"/>
    <w:rsid w:val="0013704C"/>
    <w:rsid w:val="001374A4"/>
    <w:rsid w:val="00137943"/>
    <w:rsid w:val="00137BF5"/>
    <w:rsid w:val="00137EDB"/>
    <w:rsid w:val="0013D8BA"/>
    <w:rsid w:val="00140213"/>
    <w:rsid w:val="00140B3A"/>
    <w:rsid w:val="00140CFF"/>
    <w:rsid w:val="00140E35"/>
    <w:rsid w:val="00141332"/>
    <w:rsid w:val="001417CC"/>
    <w:rsid w:val="00141DA9"/>
    <w:rsid w:val="00142CAC"/>
    <w:rsid w:val="00143B64"/>
    <w:rsid w:val="00143BFA"/>
    <w:rsid w:val="00143F07"/>
    <w:rsid w:val="001441C6"/>
    <w:rsid w:val="0014510D"/>
    <w:rsid w:val="00145209"/>
    <w:rsid w:val="00145982"/>
    <w:rsid w:val="00145A4F"/>
    <w:rsid w:val="00145BC7"/>
    <w:rsid w:val="0014615D"/>
    <w:rsid w:val="001462FD"/>
    <w:rsid w:val="00146385"/>
    <w:rsid w:val="00146C33"/>
    <w:rsid w:val="001509F2"/>
    <w:rsid w:val="001510AF"/>
    <w:rsid w:val="00151551"/>
    <w:rsid w:val="00151977"/>
    <w:rsid w:val="00151BE9"/>
    <w:rsid w:val="00152A52"/>
    <w:rsid w:val="00152FD2"/>
    <w:rsid w:val="001533C3"/>
    <w:rsid w:val="00153E14"/>
    <w:rsid w:val="0015429B"/>
    <w:rsid w:val="00154BC8"/>
    <w:rsid w:val="00155CAB"/>
    <w:rsid w:val="00155E8B"/>
    <w:rsid w:val="00156E85"/>
    <w:rsid w:val="001571CC"/>
    <w:rsid w:val="00157A5B"/>
    <w:rsid w:val="00157CC4"/>
    <w:rsid w:val="00160A97"/>
    <w:rsid w:val="00160BB5"/>
    <w:rsid w:val="00160E3E"/>
    <w:rsid w:val="0016113E"/>
    <w:rsid w:val="00161643"/>
    <w:rsid w:val="00161B2A"/>
    <w:rsid w:val="00161EFF"/>
    <w:rsid w:val="00161F9E"/>
    <w:rsid w:val="0016202C"/>
    <w:rsid w:val="00162386"/>
    <w:rsid w:val="001628A1"/>
    <w:rsid w:val="00162D19"/>
    <w:rsid w:val="00162FC7"/>
    <w:rsid w:val="0016416F"/>
    <w:rsid w:val="001642DC"/>
    <w:rsid w:val="00164621"/>
    <w:rsid w:val="00164CA5"/>
    <w:rsid w:val="00165C22"/>
    <w:rsid w:val="00165D4E"/>
    <w:rsid w:val="00165D6F"/>
    <w:rsid w:val="00165D80"/>
    <w:rsid w:val="00165D8C"/>
    <w:rsid w:val="001677B9"/>
    <w:rsid w:val="00170210"/>
    <w:rsid w:val="001705AF"/>
    <w:rsid w:val="00171022"/>
    <w:rsid w:val="00171222"/>
    <w:rsid w:val="001718DC"/>
    <w:rsid w:val="00171A44"/>
    <w:rsid w:val="00171C77"/>
    <w:rsid w:val="00171DFD"/>
    <w:rsid w:val="001728A3"/>
    <w:rsid w:val="00172B0F"/>
    <w:rsid w:val="00172D9B"/>
    <w:rsid w:val="00172F00"/>
    <w:rsid w:val="00173018"/>
    <w:rsid w:val="001735C1"/>
    <w:rsid w:val="00173976"/>
    <w:rsid w:val="00173B9F"/>
    <w:rsid w:val="00173BD6"/>
    <w:rsid w:val="0017446A"/>
    <w:rsid w:val="001745E0"/>
    <w:rsid w:val="0017589F"/>
    <w:rsid w:val="00175A7E"/>
    <w:rsid w:val="00175F34"/>
    <w:rsid w:val="0017635A"/>
    <w:rsid w:val="00176ED9"/>
    <w:rsid w:val="00177669"/>
    <w:rsid w:val="0017780E"/>
    <w:rsid w:val="001778D9"/>
    <w:rsid w:val="00177F1E"/>
    <w:rsid w:val="00180413"/>
    <w:rsid w:val="0018103A"/>
    <w:rsid w:val="00181148"/>
    <w:rsid w:val="001815E2"/>
    <w:rsid w:val="00181A39"/>
    <w:rsid w:val="00181AC8"/>
    <w:rsid w:val="00181B09"/>
    <w:rsid w:val="00181D47"/>
    <w:rsid w:val="00181F63"/>
    <w:rsid w:val="00182C54"/>
    <w:rsid w:val="00182E80"/>
    <w:rsid w:val="00183614"/>
    <w:rsid w:val="001839BE"/>
    <w:rsid w:val="00183C57"/>
    <w:rsid w:val="001849A1"/>
    <w:rsid w:val="00184C70"/>
    <w:rsid w:val="00184ECD"/>
    <w:rsid w:val="00185434"/>
    <w:rsid w:val="00185811"/>
    <w:rsid w:val="00185A57"/>
    <w:rsid w:val="00185A8F"/>
    <w:rsid w:val="00185C23"/>
    <w:rsid w:val="0018608A"/>
    <w:rsid w:val="00186A11"/>
    <w:rsid w:val="00187F1D"/>
    <w:rsid w:val="00190202"/>
    <w:rsid w:val="0019037D"/>
    <w:rsid w:val="0019085A"/>
    <w:rsid w:val="00190F43"/>
    <w:rsid w:val="00190F5C"/>
    <w:rsid w:val="001911DB"/>
    <w:rsid w:val="001915F9"/>
    <w:rsid w:val="0019190A"/>
    <w:rsid w:val="00191924"/>
    <w:rsid w:val="00191DD2"/>
    <w:rsid w:val="00191F36"/>
    <w:rsid w:val="00192405"/>
    <w:rsid w:val="00192BCF"/>
    <w:rsid w:val="00192E73"/>
    <w:rsid w:val="00192F56"/>
    <w:rsid w:val="00193488"/>
    <w:rsid w:val="00193630"/>
    <w:rsid w:val="00193880"/>
    <w:rsid w:val="00193A08"/>
    <w:rsid w:val="00194114"/>
    <w:rsid w:val="00194270"/>
    <w:rsid w:val="001949A5"/>
    <w:rsid w:val="00194FA9"/>
    <w:rsid w:val="00195276"/>
    <w:rsid w:val="001953FC"/>
    <w:rsid w:val="00195532"/>
    <w:rsid w:val="00195769"/>
    <w:rsid w:val="001958F0"/>
    <w:rsid w:val="00195CDA"/>
    <w:rsid w:val="00195DA1"/>
    <w:rsid w:val="00195E9D"/>
    <w:rsid w:val="00196296"/>
    <w:rsid w:val="0019724B"/>
    <w:rsid w:val="001973FC"/>
    <w:rsid w:val="001974B1"/>
    <w:rsid w:val="00197736"/>
    <w:rsid w:val="001978DD"/>
    <w:rsid w:val="00197944"/>
    <w:rsid w:val="00197BDA"/>
    <w:rsid w:val="001A02CF"/>
    <w:rsid w:val="001A0390"/>
    <w:rsid w:val="001A17DE"/>
    <w:rsid w:val="001A1C34"/>
    <w:rsid w:val="001A2739"/>
    <w:rsid w:val="001A2B6F"/>
    <w:rsid w:val="001A3069"/>
    <w:rsid w:val="001A31B5"/>
    <w:rsid w:val="001A34CE"/>
    <w:rsid w:val="001A3D4F"/>
    <w:rsid w:val="001A3E78"/>
    <w:rsid w:val="001A4A33"/>
    <w:rsid w:val="001A4F7F"/>
    <w:rsid w:val="001A54E2"/>
    <w:rsid w:val="001A5C6E"/>
    <w:rsid w:val="001A6941"/>
    <w:rsid w:val="001A6BBE"/>
    <w:rsid w:val="001A7147"/>
    <w:rsid w:val="001B0168"/>
    <w:rsid w:val="001B063A"/>
    <w:rsid w:val="001B0791"/>
    <w:rsid w:val="001B1062"/>
    <w:rsid w:val="001B20F1"/>
    <w:rsid w:val="001B22AF"/>
    <w:rsid w:val="001B2424"/>
    <w:rsid w:val="001B26A6"/>
    <w:rsid w:val="001B2A32"/>
    <w:rsid w:val="001B2CCF"/>
    <w:rsid w:val="001B2D77"/>
    <w:rsid w:val="001B2ED8"/>
    <w:rsid w:val="001B4559"/>
    <w:rsid w:val="001B4C87"/>
    <w:rsid w:val="001B4D8F"/>
    <w:rsid w:val="001B5857"/>
    <w:rsid w:val="001B5889"/>
    <w:rsid w:val="001B5E1B"/>
    <w:rsid w:val="001B7183"/>
    <w:rsid w:val="001B7513"/>
    <w:rsid w:val="001B7663"/>
    <w:rsid w:val="001B789F"/>
    <w:rsid w:val="001B7929"/>
    <w:rsid w:val="001B7976"/>
    <w:rsid w:val="001C0181"/>
    <w:rsid w:val="001C1459"/>
    <w:rsid w:val="001C208F"/>
    <w:rsid w:val="001C27B3"/>
    <w:rsid w:val="001C2BB2"/>
    <w:rsid w:val="001C31A9"/>
    <w:rsid w:val="001C3432"/>
    <w:rsid w:val="001C369A"/>
    <w:rsid w:val="001C4180"/>
    <w:rsid w:val="001C4442"/>
    <w:rsid w:val="001C447D"/>
    <w:rsid w:val="001C4898"/>
    <w:rsid w:val="001C4C52"/>
    <w:rsid w:val="001C4D2A"/>
    <w:rsid w:val="001C5081"/>
    <w:rsid w:val="001C51B0"/>
    <w:rsid w:val="001C55BD"/>
    <w:rsid w:val="001C69D4"/>
    <w:rsid w:val="001C6A27"/>
    <w:rsid w:val="001C6D73"/>
    <w:rsid w:val="001C74D6"/>
    <w:rsid w:val="001C7FE3"/>
    <w:rsid w:val="001D09F4"/>
    <w:rsid w:val="001D0A23"/>
    <w:rsid w:val="001D19AF"/>
    <w:rsid w:val="001D1BC9"/>
    <w:rsid w:val="001D1CBC"/>
    <w:rsid w:val="001D207C"/>
    <w:rsid w:val="001D236B"/>
    <w:rsid w:val="001D2747"/>
    <w:rsid w:val="001D2B56"/>
    <w:rsid w:val="001D2F0D"/>
    <w:rsid w:val="001D3200"/>
    <w:rsid w:val="001D420F"/>
    <w:rsid w:val="001D4DB0"/>
    <w:rsid w:val="001D4FA4"/>
    <w:rsid w:val="001D5AD1"/>
    <w:rsid w:val="001D5D5F"/>
    <w:rsid w:val="001D61BE"/>
    <w:rsid w:val="001D63A9"/>
    <w:rsid w:val="001E02D6"/>
    <w:rsid w:val="001E0529"/>
    <w:rsid w:val="001E06D8"/>
    <w:rsid w:val="001E06FF"/>
    <w:rsid w:val="001E07EC"/>
    <w:rsid w:val="001E09AC"/>
    <w:rsid w:val="001E0E4C"/>
    <w:rsid w:val="001E0EF0"/>
    <w:rsid w:val="001E0F7C"/>
    <w:rsid w:val="001E0F7D"/>
    <w:rsid w:val="001E1BD9"/>
    <w:rsid w:val="001E1F9C"/>
    <w:rsid w:val="001E1FF9"/>
    <w:rsid w:val="001E2368"/>
    <w:rsid w:val="001E274F"/>
    <w:rsid w:val="001E2CFB"/>
    <w:rsid w:val="001E3004"/>
    <w:rsid w:val="001E38DE"/>
    <w:rsid w:val="001E3E8E"/>
    <w:rsid w:val="001E3EF3"/>
    <w:rsid w:val="001E48FE"/>
    <w:rsid w:val="001E4FC9"/>
    <w:rsid w:val="001E52E9"/>
    <w:rsid w:val="001E54D6"/>
    <w:rsid w:val="001E556C"/>
    <w:rsid w:val="001E59C0"/>
    <w:rsid w:val="001E5B15"/>
    <w:rsid w:val="001E5B22"/>
    <w:rsid w:val="001E5FF7"/>
    <w:rsid w:val="001E6060"/>
    <w:rsid w:val="001E63F2"/>
    <w:rsid w:val="001E67EE"/>
    <w:rsid w:val="001E6D0E"/>
    <w:rsid w:val="001E7581"/>
    <w:rsid w:val="001E7ACC"/>
    <w:rsid w:val="001F0008"/>
    <w:rsid w:val="001F0155"/>
    <w:rsid w:val="001F02DB"/>
    <w:rsid w:val="001F0806"/>
    <w:rsid w:val="001F0D9B"/>
    <w:rsid w:val="001F1457"/>
    <w:rsid w:val="001F17AB"/>
    <w:rsid w:val="001F1874"/>
    <w:rsid w:val="001F1A08"/>
    <w:rsid w:val="001F1AF2"/>
    <w:rsid w:val="001F1EBF"/>
    <w:rsid w:val="001F1F26"/>
    <w:rsid w:val="001F20BE"/>
    <w:rsid w:val="001F22B2"/>
    <w:rsid w:val="001F28E4"/>
    <w:rsid w:val="001F407F"/>
    <w:rsid w:val="001F4515"/>
    <w:rsid w:val="001F496C"/>
    <w:rsid w:val="001F4F47"/>
    <w:rsid w:val="001F55E7"/>
    <w:rsid w:val="001F57A4"/>
    <w:rsid w:val="001F588A"/>
    <w:rsid w:val="001F69E8"/>
    <w:rsid w:val="001F6E70"/>
    <w:rsid w:val="001F7052"/>
    <w:rsid w:val="001F758D"/>
    <w:rsid w:val="001F77D0"/>
    <w:rsid w:val="002003F8"/>
    <w:rsid w:val="002009BF"/>
    <w:rsid w:val="00201615"/>
    <w:rsid w:val="00201797"/>
    <w:rsid w:val="00201805"/>
    <w:rsid w:val="00201B26"/>
    <w:rsid w:val="00201C92"/>
    <w:rsid w:val="0020252B"/>
    <w:rsid w:val="00202922"/>
    <w:rsid w:val="00202CFA"/>
    <w:rsid w:val="00202F55"/>
    <w:rsid w:val="0020301E"/>
    <w:rsid w:val="00203EC1"/>
    <w:rsid w:val="00203F55"/>
    <w:rsid w:val="00204BEE"/>
    <w:rsid w:val="00205100"/>
    <w:rsid w:val="00205575"/>
    <w:rsid w:val="00205624"/>
    <w:rsid w:val="0020611E"/>
    <w:rsid w:val="00206913"/>
    <w:rsid w:val="00206A6D"/>
    <w:rsid w:val="002074AD"/>
    <w:rsid w:val="002074FD"/>
    <w:rsid w:val="002075EF"/>
    <w:rsid w:val="00207AD4"/>
    <w:rsid w:val="0021006D"/>
    <w:rsid w:val="00210404"/>
    <w:rsid w:val="002106F7"/>
    <w:rsid w:val="00210D36"/>
    <w:rsid w:val="00210E8B"/>
    <w:rsid w:val="002110C5"/>
    <w:rsid w:val="00211367"/>
    <w:rsid w:val="002115C8"/>
    <w:rsid w:val="00211B6E"/>
    <w:rsid w:val="00211D32"/>
    <w:rsid w:val="00212029"/>
    <w:rsid w:val="00212507"/>
    <w:rsid w:val="00212B0C"/>
    <w:rsid w:val="002134D3"/>
    <w:rsid w:val="00213548"/>
    <w:rsid w:val="00213D10"/>
    <w:rsid w:val="00213E6C"/>
    <w:rsid w:val="00213F1C"/>
    <w:rsid w:val="00214356"/>
    <w:rsid w:val="002149B7"/>
    <w:rsid w:val="002154A6"/>
    <w:rsid w:val="002157AE"/>
    <w:rsid w:val="00216136"/>
    <w:rsid w:val="00216FE1"/>
    <w:rsid w:val="00217269"/>
    <w:rsid w:val="002175D4"/>
    <w:rsid w:val="002176AB"/>
    <w:rsid w:val="00217759"/>
    <w:rsid w:val="002178AC"/>
    <w:rsid w:val="00217AF8"/>
    <w:rsid w:val="00217FAD"/>
    <w:rsid w:val="0022052F"/>
    <w:rsid w:val="0022082C"/>
    <w:rsid w:val="002208C4"/>
    <w:rsid w:val="002208DC"/>
    <w:rsid w:val="00220B09"/>
    <w:rsid w:val="002218FB"/>
    <w:rsid w:val="00221E07"/>
    <w:rsid w:val="002220CA"/>
    <w:rsid w:val="002223F0"/>
    <w:rsid w:val="002227E7"/>
    <w:rsid w:val="00222D10"/>
    <w:rsid w:val="00222E72"/>
    <w:rsid w:val="00222FD9"/>
    <w:rsid w:val="00223034"/>
    <w:rsid w:val="002231D7"/>
    <w:rsid w:val="002244F3"/>
    <w:rsid w:val="002246B7"/>
    <w:rsid w:val="002248CB"/>
    <w:rsid w:val="00224968"/>
    <w:rsid w:val="00224AC1"/>
    <w:rsid w:val="0022526D"/>
    <w:rsid w:val="00225438"/>
    <w:rsid w:val="002254B6"/>
    <w:rsid w:val="00225A19"/>
    <w:rsid w:val="00225B29"/>
    <w:rsid w:val="00226906"/>
    <w:rsid w:val="00226C2F"/>
    <w:rsid w:val="002278A8"/>
    <w:rsid w:val="00227ADB"/>
    <w:rsid w:val="002303C8"/>
    <w:rsid w:val="002303EF"/>
    <w:rsid w:val="00230654"/>
    <w:rsid w:val="00230657"/>
    <w:rsid w:val="002306EB"/>
    <w:rsid w:val="002307D9"/>
    <w:rsid w:val="002308ED"/>
    <w:rsid w:val="00230C29"/>
    <w:rsid w:val="0023152A"/>
    <w:rsid w:val="002315A8"/>
    <w:rsid w:val="00231695"/>
    <w:rsid w:val="00231734"/>
    <w:rsid w:val="00231974"/>
    <w:rsid w:val="00231FE0"/>
    <w:rsid w:val="002320B3"/>
    <w:rsid w:val="00232A1A"/>
    <w:rsid w:val="00232AE2"/>
    <w:rsid w:val="00232F1A"/>
    <w:rsid w:val="00233177"/>
    <w:rsid w:val="00234036"/>
    <w:rsid w:val="00234411"/>
    <w:rsid w:val="002347C1"/>
    <w:rsid w:val="0023488E"/>
    <w:rsid w:val="00234B2F"/>
    <w:rsid w:val="00235233"/>
    <w:rsid w:val="00236C5C"/>
    <w:rsid w:val="00236CC2"/>
    <w:rsid w:val="00236E24"/>
    <w:rsid w:val="00236F60"/>
    <w:rsid w:val="00237040"/>
    <w:rsid w:val="0023752B"/>
    <w:rsid w:val="0023775F"/>
    <w:rsid w:val="002379DA"/>
    <w:rsid w:val="00237B50"/>
    <w:rsid w:val="00237CC9"/>
    <w:rsid w:val="00237DAB"/>
    <w:rsid w:val="00240009"/>
    <w:rsid w:val="00240533"/>
    <w:rsid w:val="00241364"/>
    <w:rsid w:val="00242007"/>
    <w:rsid w:val="002426F9"/>
    <w:rsid w:val="00242F00"/>
    <w:rsid w:val="00243126"/>
    <w:rsid w:val="002435A9"/>
    <w:rsid w:val="00244972"/>
    <w:rsid w:val="002455EF"/>
    <w:rsid w:val="00247715"/>
    <w:rsid w:val="00247A5B"/>
    <w:rsid w:val="00250408"/>
    <w:rsid w:val="00250C97"/>
    <w:rsid w:val="00250DB3"/>
    <w:rsid w:val="00250F21"/>
    <w:rsid w:val="0025109B"/>
    <w:rsid w:val="0025114B"/>
    <w:rsid w:val="0025160B"/>
    <w:rsid w:val="002517CD"/>
    <w:rsid w:val="0025198B"/>
    <w:rsid w:val="00251AD7"/>
    <w:rsid w:val="00251F0D"/>
    <w:rsid w:val="00251FAA"/>
    <w:rsid w:val="002524C3"/>
    <w:rsid w:val="00252711"/>
    <w:rsid w:val="00253005"/>
    <w:rsid w:val="00253016"/>
    <w:rsid w:val="0025340E"/>
    <w:rsid w:val="0025386B"/>
    <w:rsid w:val="002538DC"/>
    <w:rsid w:val="002539FE"/>
    <w:rsid w:val="0025411D"/>
    <w:rsid w:val="00254714"/>
    <w:rsid w:val="00254729"/>
    <w:rsid w:val="002551C0"/>
    <w:rsid w:val="00255350"/>
    <w:rsid w:val="002553CE"/>
    <w:rsid w:val="00255881"/>
    <w:rsid w:val="00255A66"/>
    <w:rsid w:val="00255FD0"/>
    <w:rsid w:val="0025609B"/>
    <w:rsid w:val="0025612C"/>
    <w:rsid w:val="002561EF"/>
    <w:rsid w:val="002564A6"/>
    <w:rsid w:val="0025697D"/>
    <w:rsid w:val="00256AB2"/>
    <w:rsid w:val="00256C01"/>
    <w:rsid w:val="00256D1F"/>
    <w:rsid w:val="0025764C"/>
    <w:rsid w:val="002577C3"/>
    <w:rsid w:val="00257C14"/>
    <w:rsid w:val="00257E6B"/>
    <w:rsid w:val="0026039E"/>
    <w:rsid w:val="00260AD9"/>
    <w:rsid w:val="00260D47"/>
    <w:rsid w:val="00260E0F"/>
    <w:rsid w:val="00261A26"/>
    <w:rsid w:val="00261C0B"/>
    <w:rsid w:val="00261E16"/>
    <w:rsid w:val="002625BF"/>
    <w:rsid w:val="0026278B"/>
    <w:rsid w:val="00263059"/>
    <w:rsid w:val="002636F1"/>
    <w:rsid w:val="0026449D"/>
    <w:rsid w:val="0026459A"/>
    <w:rsid w:val="00264DB1"/>
    <w:rsid w:val="0026509A"/>
    <w:rsid w:val="0026563C"/>
    <w:rsid w:val="00265A49"/>
    <w:rsid w:val="002660E9"/>
    <w:rsid w:val="00266529"/>
    <w:rsid w:val="0026734C"/>
    <w:rsid w:val="00270420"/>
    <w:rsid w:val="00271C20"/>
    <w:rsid w:val="00271C5E"/>
    <w:rsid w:val="00271DA3"/>
    <w:rsid w:val="00272568"/>
    <w:rsid w:val="00273283"/>
    <w:rsid w:val="002733C8"/>
    <w:rsid w:val="00274121"/>
    <w:rsid w:val="002745A9"/>
    <w:rsid w:val="002748F4"/>
    <w:rsid w:val="00274900"/>
    <w:rsid w:val="00274A9F"/>
    <w:rsid w:val="00274DF3"/>
    <w:rsid w:val="0027509C"/>
    <w:rsid w:val="00275CB9"/>
    <w:rsid w:val="00275ED9"/>
    <w:rsid w:val="002760FB"/>
    <w:rsid w:val="002766D7"/>
    <w:rsid w:val="00276C7D"/>
    <w:rsid w:val="00276D76"/>
    <w:rsid w:val="0027739A"/>
    <w:rsid w:val="002778E9"/>
    <w:rsid w:val="0028058C"/>
    <w:rsid w:val="00281179"/>
    <w:rsid w:val="002811A5"/>
    <w:rsid w:val="0028154C"/>
    <w:rsid w:val="00281576"/>
    <w:rsid w:val="0028168F"/>
    <w:rsid w:val="00281C3D"/>
    <w:rsid w:val="00281FBD"/>
    <w:rsid w:val="00282009"/>
    <w:rsid w:val="00282527"/>
    <w:rsid w:val="00282EA3"/>
    <w:rsid w:val="002830FE"/>
    <w:rsid w:val="00283FF3"/>
    <w:rsid w:val="0028405A"/>
    <w:rsid w:val="00284345"/>
    <w:rsid w:val="002847F5"/>
    <w:rsid w:val="0028505E"/>
    <w:rsid w:val="00285573"/>
    <w:rsid w:val="0028602B"/>
    <w:rsid w:val="00286ADA"/>
    <w:rsid w:val="00286C93"/>
    <w:rsid w:val="00286D01"/>
    <w:rsid w:val="00286D64"/>
    <w:rsid w:val="00287040"/>
    <w:rsid w:val="00287316"/>
    <w:rsid w:val="00287888"/>
    <w:rsid w:val="002909E7"/>
    <w:rsid w:val="00291738"/>
    <w:rsid w:val="00292948"/>
    <w:rsid w:val="00292AA7"/>
    <w:rsid w:val="00292F53"/>
    <w:rsid w:val="00293B6B"/>
    <w:rsid w:val="00293E2F"/>
    <w:rsid w:val="002942D7"/>
    <w:rsid w:val="00295355"/>
    <w:rsid w:val="00295B19"/>
    <w:rsid w:val="00295EA3"/>
    <w:rsid w:val="002962A2"/>
    <w:rsid w:val="00296390"/>
    <w:rsid w:val="00297397"/>
    <w:rsid w:val="00297531"/>
    <w:rsid w:val="00297859"/>
    <w:rsid w:val="00297A86"/>
    <w:rsid w:val="00297EC8"/>
    <w:rsid w:val="002A026E"/>
    <w:rsid w:val="002A060C"/>
    <w:rsid w:val="002A0A8B"/>
    <w:rsid w:val="002A0B03"/>
    <w:rsid w:val="002A0EC4"/>
    <w:rsid w:val="002A15BB"/>
    <w:rsid w:val="002A1D40"/>
    <w:rsid w:val="002A1E7B"/>
    <w:rsid w:val="002A22DF"/>
    <w:rsid w:val="002A2BEA"/>
    <w:rsid w:val="002A2EF3"/>
    <w:rsid w:val="002A3371"/>
    <w:rsid w:val="002A3C1D"/>
    <w:rsid w:val="002A3E58"/>
    <w:rsid w:val="002A4B25"/>
    <w:rsid w:val="002A4CAC"/>
    <w:rsid w:val="002A52AE"/>
    <w:rsid w:val="002A5340"/>
    <w:rsid w:val="002A5F6D"/>
    <w:rsid w:val="002A6F2D"/>
    <w:rsid w:val="002A7AA4"/>
    <w:rsid w:val="002A7B67"/>
    <w:rsid w:val="002A7C97"/>
    <w:rsid w:val="002A7DED"/>
    <w:rsid w:val="002B0378"/>
    <w:rsid w:val="002B18E3"/>
    <w:rsid w:val="002B1921"/>
    <w:rsid w:val="002B1B6E"/>
    <w:rsid w:val="002B1CCA"/>
    <w:rsid w:val="002B21BD"/>
    <w:rsid w:val="002B2872"/>
    <w:rsid w:val="002B2E58"/>
    <w:rsid w:val="002B3F6B"/>
    <w:rsid w:val="002B4441"/>
    <w:rsid w:val="002B50BD"/>
    <w:rsid w:val="002B52BB"/>
    <w:rsid w:val="002B53D8"/>
    <w:rsid w:val="002B619A"/>
    <w:rsid w:val="002B65EB"/>
    <w:rsid w:val="002B7564"/>
    <w:rsid w:val="002B7C78"/>
    <w:rsid w:val="002C0423"/>
    <w:rsid w:val="002C1E34"/>
    <w:rsid w:val="002C1F9C"/>
    <w:rsid w:val="002C2DAE"/>
    <w:rsid w:val="002C3020"/>
    <w:rsid w:val="002C314F"/>
    <w:rsid w:val="002C3319"/>
    <w:rsid w:val="002C40F3"/>
    <w:rsid w:val="002C4469"/>
    <w:rsid w:val="002C4CDD"/>
    <w:rsid w:val="002C4E5A"/>
    <w:rsid w:val="002C5735"/>
    <w:rsid w:val="002C58E5"/>
    <w:rsid w:val="002C5D5E"/>
    <w:rsid w:val="002C608C"/>
    <w:rsid w:val="002C615C"/>
    <w:rsid w:val="002C6327"/>
    <w:rsid w:val="002C66DB"/>
    <w:rsid w:val="002C75AD"/>
    <w:rsid w:val="002C773E"/>
    <w:rsid w:val="002D0C28"/>
    <w:rsid w:val="002D1044"/>
    <w:rsid w:val="002D115C"/>
    <w:rsid w:val="002D1487"/>
    <w:rsid w:val="002D1667"/>
    <w:rsid w:val="002D16C7"/>
    <w:rsid w:val="002D1C6E"/>
    <w:rsid w:val="002D22A3"/>
    <w:rsid w:val="002D2994"/>
    <w:rsid w:val="002D32BC"/>
    <w:rsid w:val="002D3394"/>
    <w:rsid w:val="002D3ABF"/>
    <w:rsid w:val="002D3AD1"/>
    <w:rsid w:val="002D44ED"/>
    <w:rsid w:val="002D4877"/>
    <w:rsid w:val="002D53A1"/>
    <w:rsid w:val="002D53AC"/>
    <w:rsid w:val="002D5905"/>
    <w:rsid w:val="002D5CDB"/>
    <w:rsid w:val="002D5CDF"/>
    <w:rsid w:val="002D6DBD"/>
    <w:rsid w:val="002D6F0E"/>
    <w:rsid w:val="002D74BD"/>
    <w:rsid w:val="002E0450"/>
    <w:rsid w:val="002E0675"/>
    <w:rsid w:val="002E0701"/>
    <w:rsid w:val="002E088E"/>
    <w:rsid w:val="002E0A63"/>
    <w:rsid w:val="002E0C53"/>
    <w:rsid w:val="002E113D"/>
    <w:rsid w:val="002E1368"/>
    <w:rsid w:val="002E142D"/>
    <w:rsid w:val="002E15DF"/>
    <w:rsid w:val="002E1630"/>
    <w:rsid w:val="002E1A65"/>
    <w:rsid w:val="002E1CB7"/>
    <w:rsid w:val="002E1F24"/>
    <w:rsid w:val="002E1F64"/>
    <w:rsid w:val="002E1FF7"/>
    <w:rsid w:val="002E2073"/>
    <w:rsid w:val="002E24C1"/>
    <w:rsid w:val="002E26A2"/>
    <w:rsid w:val="002E26F3"/>
    <w:rsid w:val="002E3207"/>
    <w:rsid w:val="002E38D7"/>
    <w:rsid w:val="002E3AB8"/>
    <w:rsid w:val="002E4222"/>
    <w:rsid w:val="002E4504"/>
    <w:rsid w:val="002E45DF"/>
    <w:rsid w:val="002E4E0F"/>
    <w:rsid w:val="002E6036"/>
    <w:rsid w:val="002E6C98"/>
    <w:rsid w:val="002E7351"/>
    <w:rsid w:val="002E7412"/>
    <w:rsid w:val="002E755E"/>
    <w:rsid w:val="002E7C5F"/>
    <w:rsid w:val="002E7CF6"/>
    <w:rsid w:val="002F0435"/>
    <w:rsid w:val="002F0587"/>
    <w:rsid w:val="002F06A5"/>
    <w:rsid w:val="002F126F"/>
    <w:rsid w:val="002F12BA"/>
    <w:rsid w:val="002F18E5"/>
    <w:rsid w:val="002F198A"/>
    <w:rsid w:val="002F1C76"/>
    <w:rsid w:val="002F1CB3"/>
    <w:rsid w:val="002F24DA"/>
    <w:rsid w:val="002F2717"/>
    <w:rsid w:val="002F28B2"/>
    <w:rsid w:val="002F2938"/>
    <w:rsid w:val="002F2D54"/>
    <w:rsid w:val="002F367D"/>
    <w:rsid w:val="002F40B3"/>
    <w:rsid w:val="002F4406"/>
    <w:rsid w:val="002F4DC1"/>
    <w:rsid w:val="002F4E42"/>
    <w:rsid w:val="002F5CE9"/>
    <w:rsid w:val="002F5D33"/>
    <w:rsid w:val="002F630D"/>
    <w:rsid w:val="002F6532"/>
    <w:rsid w:val="002F682A"/>
    <w:rsid w:val="002F6E80"/>
    <w:rsid w:val="002F71BF"/>
    <w:rsid w:val="002F723D"/>
    <w:rsid w:val="002F7B24"/>
    <w:rsid w:val="003000E9"/>
    <w:rsid w:val="00300D8C"/>
    <w:rsid w:val="003016B9"/>
    <w:rsid w:val="00301F2D"/>
    <w:rsid w:val="00302631"/>
    <w:rsid w:val="00302AE0"/>
    <w:rsid w:val="0030339A"/>
    <w:rsid w:val="003033BA"/>
    <w:rsid w:val="003034F3"/>
    <w:rsid w:val="0030356D"/>
    <w:rsid w:val="003035A0"/>
    <w:rsid w:val="003036D8"/>
    <w:rsid w:val="0030395E"/>
    <w:rsid w:val="00303A49"/>
    <w:rsid w:val="00303C00"/>
    <w:rsid w:val="00303D4C"/>
    <w:rsid w:val="003040AB"/>
    <w:rsid w:val="003041B2"/>
    <w:rsid w:val="003047D2"/>
    <w:rsid w:val="0030481C"/>
    <w:rsid w:val="00304855"/>
    <w:rsid w:val="00304B63"/>
    <w:rsid w:val="00304E8D"/>
    <w:rsid w:val="00305199"/>
    <w:rsid w:val="003051C5"/>
    <w:rsid w:val="003055D8"/>
    <w:rsid w:val="00305746"/>
    <w:rsid w:val="003062AF"/>
    <w:rsid w:val="003062CF"/>
    <w:rsid w:val="0030657A"/>
    <w:rsid w:val="003068D9"/>
    <w:rsid w:val="0030756A"/>
    <w:rsid w:val="00307FA7"/>
    <w:rsid w:val="0031006E"/>
    <w:rsid w:val="0031034D"/>
    <w:rsid w:val="003103DC"/>
    <w:rsid w:val="00310438"/>
    <w:rsid w:val="00310BA1"/>
    <w:rsid w:val="00310E77"/>
    <w:rsid w:val="003110E9"/>
    <w:rsid w:val="00311123"/>
    <w:rsid w:val="003114EA"/>
    <w:rsid w:val="00311A7A"/>
    <w:rsid w:val="00311C69"/>
    <w:rsid w:val="00311C7F"/>
    <w:rsid w:val="00312589"/>
    <w:rsid w:val="0031392C"/>
    <w:rsid w:val="00313A67"/>
    <w:rsid w:val="003142D8"/>
    <w:rsid w:val="00314AF0"/>
    <w:rsid w:val="003150FC"/>
    <w:rsid w:val="00315126"/>
    <w:rsid w:val="00315498"/>
    <w:rsid w:val="0031632F"/>
    <w:rsid w:val="00316C37"/>
    <w:rsid w:val="00316F19"/>
    <w:rsid w:val="003174E5"/>
    <w:rsid w:val="003176D8"/>
    <w:rsid w:val="00317813"/>
    <w:rsid w:val="003179C3"/>
    <w:rsid w:val="0032013A"/>
    <w:rsid w:val="003204D4"/>
    <w:rsid w:val="003205F1"/>
    <w:rsid w:val="00320972"/>
    <w:rsid w:val="00320E22"/>
    <w:rsid w:val="003213A4"/>
    <w:rsid w:val="00321447"/>
    <w:rsid w:val="00321A3C"/>
    <w:rsid w:val="00321E90"/>
    <w:rsid w:val="003225E0"/>
    <w:rsid w:val="003226BE"/>
    <w:rsid w:val="00322FDC"/>
    <w:rsid w:val="003231FC"/>
    <w:rsid w:val="003235C8"/>
    <w:rsid w:val="00323895"/>
    <w:rsid w:val="003239B0"/>
    <w:rsid w:val="0032422B"/>
    <w:rsid w:val="00324678"/>
    <w:rsid w:val="0032475C"/>
    <w:rsid w:val="003247B7"/>
    <w:rsid w:val="00324FC7"/>
    <w:rsid w:val="00325A8D"/>
    <w:rsid w:val="00325D9B"/>
    <w:rsid w:val="00326299"/>
    <w:rsid w:val="00326556"/>
    <w:rsid w:val="0032692D"/>
    <w:rsid w:val="00326DA1"/>
    <w:rsid w:val="00326EAF"/>
    <w:rsid w:val="00326ECB"/>
    <w:rsid w:val="00327174"/>
    <w:rsid w:val="00327681"/>
    <w:rsid w:val="00330034"/>
    <w:rsid w:val="00330C7B"/>
    <w:rsid w:val="0033183B"/>
    <w:rsid w:val="00331DA7"/>
    <w:rsid w:val="00332095"/>
    <w:rsid w:val="003321CC"/>
    <w:rsid w:val="003324B8"/>
    <w:rsid w:val="003325CE"/>
    <w:rsid w:val="00332EA5"/>
    <w:rsid w:val="00332F9A"/>
    <w:rsid w:val="00333D74"/>
    <w:rsid w:val="003344F7"/>
    <w:rsid w:val="003346B8"/>
    <w:rsid w:val="00335241"/>
    <w:rsid w:val="00335273"/>
    <w:rsid w:val="00335EF5"/>
    <w:rsid w:val="00336202"/>
    <w:rsid w:val="00336ADE"/>
    <w:rsid w:val="00336D67"/>
    <w:rsid w:val="00336ECE"/>
    <w:rsid w:val="00337814"/>
    <w:rsid w:val="00337FDE"/>
    <w:rsid w:val="00340B72"/>
    <w:rsid w:val="00341682"/>
    <w:rsid w:val="0034192C"/>
    <w:rsid w:val="00341F53"/>
    <w:rsid w:val="0034261B"/>
    <w:rsid w:val="00342761"/>
    <w:rsid w:val="00342B88"/>
    <w:rsid w:val="0034326A"/>
    <w:rsid w:val="00343283"/>
    <w:rsid w:val="00343343"/>
    <w:rsid w:val="00343938"/>
    <w:rsid w:val="00344286"/>
    <w:rsid w:val="00344911"/>
    <w:rsid w:val="00344CFF"/>
    <w:rsid w:val="00344FEE"/>
    <w:rsid w:val="003457D4"/>
    <w:rsid w:val="00345D0E"/>
    <w:rsid w:val="0034619D"/>
    <w:rsid w:val="0034671B"/>
    <w:rsid w:val="0034674D"/>
    <w:rsid w:val="00346A45"/>
    <w:rsid w:val="003474C3"/>
    <w:rsid w:val="00350933"/>
    <w:rsid w:val="0035142E"/>
    <w:rsid w:val="003514ED"/>
    <w:rsid w:val="00351A91"/>
    <w:rsid w:val="00351F70"/>
    <w:rsid w:val="00351FED"/>
    <w:rsid w:val="003524BF"/>
    <w:rsid w:val="00352A37"/>
    <w:rsid w:val="00352B68"/>
    <w:rsid w:val="003531CE"/>
    <w:rsid w:val="003548FC"/>
    <w:rsid w:val="00354FCD"/>
    <w:rsid w:val="0035532E"/>
    <w:rsid w:val="00355432"/>
    <w:rsid w:val="00355F34"/>
    <w:rsid w:val="003560A1"/>
    <w:rsid w:val="0035647F"/>
    <w:rsid w:val="00356BD1"/>
    <w:rsid w:val="003571B4"/>
    <w:rsid w:val="0035775A"/>
    <w:rsid w:val="00357FF0"/>
    <w:rsid w:val="00360156"/>
    <w:rsid w:val="00360877"/>
    <w:rsid w:val="0036104C"/>
    <w:rsid w:val="0036110F"/>
    <w:rsid w:val="003619AC"/>
    <w:rsid w:val="003620D5"/>
    <w:rsid w:val="00362101"/>
    <w:rsid w:val="0036211B"/>
    <w:rsid w:val="0036250C"/>
    <w:rsid w:val="003625DC"/>
    <w:rsid w:val="00362989"/>
    <w:rsid w:val="00362FFE"/>
    <w:rsid w:val="00363072"/>
    <w:rsid w:val="00363539"/>
    <w:rsid w:val="0036370E"/>
    <w:rsid w:val="003639E0"/>
    <w:rsid w:val="00363C06"/>
    <w:rsid w:val="003642E0"/>
    <w:rsid w:val="003643A3"/>
    <w:rsid w:val="003643F6"/>
    <w:rsid w:val="00364AFD"/>
    <w:rsid w:val="00364B86"/>
    <w:rsid w:val="00365F3F"/>
    <w:rsid w:val="003664A6"/>
    <w:rsid w:val="00366AB7"/>
    <w:rsid w:val="00366CE3"/>
    <w:rsid w:val="00367098"/>
    <w:rsid w:val="0036725F"/>
    <w:rsid w:val="003676C9"/>
    <w:rsid w:val="003676DC"/>
    <w:rsid w:val="00367707"/>
    <w:rsid w:val="00367FE5"/>
    <w:rsid w:val="003703DA"/>
    <w:rsid w:val="00370858"/>
    <w:rsid w:val="003708A6"/>
    <w:rsid w:val="003709E2"/>
    <w:rsid w:val="003710A7"/>
    <w:rsid w:val="00371168"/>
    <w:rsid w:val="003712E8"/>
    <w:rsid w:val="0037178A"/>
    <w:rsid w:val="003718A8"/>
    <w:rsid w:val="0037198B"/>
    <w:rsid w:val="003719AA"/>
    <w:rsid w:val="00371AFF"/>
    <w:rsid w:val="00371D26"/>
    <w:rsid w:val="0037265B"/>
    <w:rsid w:val="0037275A"/>
    <w:rsid w:val="00372D6E"/>
    <w:rsid w:val="0037371D"/>
    <w:rsid w:val="00373751"/>
    <w:rsid w:val="00373AFD"/>
    <w:rsid w:val="00373BFF"/>
    <w:rsid w:val="0037430E"/>
    <w:rsid w:val="003749AF"/>
    <w:rsid w:val="003750A3"/>
    <w:rsid w:val="00375198"/>
    <w:rsid w:val="003757CA"/>
    <w:rsid w:val="0037594E"/>
    <w:rsid w:val="00375AFC"/>
    <w:rsid w:val="00375C8B"/>
    <w:rsid w:val="00376140"/>
    <w:rsid w:val="00376A5D"/>
    <w:rsid w:val="00376C99"/>
    <w:rsid w:val="00376D96"/>
    <w:rsid w:val="00376FD2"/>
    <w:rsid w:val="003771B7"/>
    <w:rsid w:val="003772FB"/>
    <w:rsid w:val="00377D6E"/>
    <w:rsid w:val="00377DE0"/>
    <w:rsid w:val="00377E7A"/>
    <w:rsid w:val="00377F8B"/>
    <w:rsid w:val="0038077A"/>
    <w:rsid w:val="00380A88"/>
    <w:rsid w:val="00380C2C"/>
    <w:rsid w:val="00380F72"/>
    <w:rsid w:val="0038195A"/>
    <w:rsid w:val="00381C7C"/>
    <w:rsid w:val="003820D0"/>
    <w:rsid w:val="00382457"/>
    <w:rsid w:val="00382E02"/>
    <w:rsid w:val="00383CBD"/>
    <w:rsid w:val="00383F5C"/>
    <w:rsid w:val="003840A8"/>
    <w:rsid w:val="00384478"/>
    <w:rsid w:val="00385308"/>
    <w:rsid w:val="00385606"/>
    <w:rsid w:val="0038588F"/>
    <w:rsid w:val="00385E25"/>
    <w:rsid w:val="00387091"/>
    <w:rsid w:val="00387654"/>
    <w:rsid w:val="00387C9B"/>
    <w:rsid w:val="0038F634"/>
    <w:rsid w:val="003906AE"/>
    <w:rsid w:val="00390899"/>
    <w:rsid w:val="00391D15"/>
    <w:rsid w:val="00391DAB"/>
    <w:rsid w:val="00391E51"/>
    <w:rsid w:val="0039267E"/>
    <w:rsid w:val="00393286"/>
    <w:rsid w:val="00393398"/>
    <w:rsid w:val="0039374A"/>
    <w:rsid w:val="0039383E"/>
    <w:rsid w:val="00393D3E"/>
    <w:rsid w:val="00394638"/>
    <w:rsid w:val="00394644"/>
    <w:rsid w:val="0039497C"/>
    <w:rsid w:val="00395135"/>
    <w:rsid w:val="00395A21"/>
    <w:rsid w:val="0039615F"/>
    <w:rsid w:val="0039619B"/>
    <w:rsid w:val="0039626E"/>
    <w:rsid w:val="003963E4"/>
    <w:rsid w:val="003965C5"/>
    <w:rsid w:val="00397895"/>
    <w:rsid w:val="003979E8"/>
    <w:rsid w:val="003A0138"/>
    <w:rsid w:val="003A0170"/>
    <w:rsid w:val="003A0676"/>
    <w:rsid w:val="003A0C13"/>
    <w:rsid w:val="003A0E67"/>
    <w:rsid w:val="003A2B38"/>
    <w:rsid w:val="003A2C76"/>
    <w:rsid w:val="003A36D9"/>
    <w:rsid w:val="003A3846"/>
    <w:rsid w:val="003A3EDF"/>
    <w:rsid w:val="003A4A59"/>
    <w:rsid w:val="003A4F64"/>
    <w:rsid w:val="003A517D"/>
    <w:rsid w:val="003A57CD"/>
    <w:rsid w:val="003A6481"/>
    <w:rsid w:val="003A6716"/>
    <w:rsid w:val="003A6C86"/>
    <w:rsid w:val="003A6F31"/>
    <w:rsid w:val="003A711B"/>
    <w:rsid w:val="003A72F9"/>
    <w:rsid w:val="003A7BE1"/>
    <w:rsid w:val="003A7C0E"/>
    <w:rsid w:val="003B0205"/>
    <w:rsid w:val="003B081B"/>
    <w:rsid w:val="003B0B0E"/>
    <w:rsid w:val="003B0BBA"/>
    <w:rsid w:val="003B10E9"/>
    <w:rsid w:val="003B1496"/>
    <w:rsid w:val="003B1636"/>
    <w:rsid w:val="003B21FB"/>
    <w:rsid w:val="003B2251"/>
    <w:rsid w:val="003B272B"/>
    <w:rsid w:val="003B2FD6"/>
    <w:rsid w:val="003B30A7"/>
    <w:rsid w:val="003B3445"/>
    <w:rsid w:val="003B3542"/>
    <w:rsid w:val="003B35A8"/>
    <w:rsid w:val="003B3F0D"/>
    <w:rsid w:val="003B449D"/>
    <w:rsid w:val="003B4AE2"/>
    <w:rsid w:val="003B4F57"/>
    <w:rsid w:val="003B6741"/>
    <w:rsid w:val="003B6A7A"/>
    <w:rsid w:val="003B6BA9"/>
    <w:rsid w:val="003B745F"/>
    <w:rsid w:val="003B784B"/>
    <w:rsid w:val="003B7A8E"/>
    <w:rsid w:val="003B7D11"/>
    <w:rsid w:val="003C069A"/>
    <w:rsid w:val="003C0CC5"/>
    <w:rsid w:val="003C1564"/>
    <w:rsid w:val="003C170A"/>
    <w:rsid w:val="003C1813"/>
    <w:rsid w:val="003C1874"/>
    <w:rsid w:val="003C18B2"/>
    <w:rsid w:val="003C1984"/>
    <w:rsid w:val="003C1A96"/>
    <w:rsid w:val="003C1DE7"/>
    <w:rsid w:val="003C1F18"/>
    <w:rsid w:val="003C2038"/>
    <w:rsid w:val="003C2B00"/>
    <w:rsid w:val="003C2D9F"/>
    <w:rsid w:val="003C3426"/>
    <w:rsid w:val="003C3968"/>
    <w:rsid w:val="003C405B"/>
    <w:rsid w:val="003C43EC"/>
    <w:rsid w:val="003C4D5C"/>
    <w:rsid w:val="003C584F"/>
    <w:rsid w:val="003C5B13"/>
    <w:rsid w:val="003C61F3"/>
    <w:rsid w:val="003C6422"/>
    <w:rsid w:val="003C6BA3"/>
    <w:rsid w:val="003C7036"/>
    <w:rsid w:val="003C70F1"/>
    <w:rsid w:val="003C7181"/>
    <w:rsid w:val="003C7183"/>
    <w:rsid w:val="003C7664"/>
    <w:rsid w:val="003C7F67"/>
    <w:rsid w:val="003D00DD"/>
    <w:rsid w:val="003D0327"/>
    <w:rsid w:val="003D0ABE"/>
    <w:rsid w:val="003D16DB"/>
    <w:rsid w:val="003D1CF7"/>
    <w:rsid w:val="003D262C"/>
    <w:rsid w:val="003D2FD7"/>
    <w:rsid w:val="003D3DB1"/>
    <w:rsid w:val="003D432F"/>
    <w:rsid w:val="003D4F0A"/>
    <w:rsid w:val="003D5113"/>
    <w:rsid w:val="003D5293"/>
    <w:rsid w:val="003D5CC0"/>
    <w:rsid w:val="003D636F"/>
    <w:rsid w:val="003D63E6"/>
    <w:rsid w:val="003D6B81"/>
    <w:rsid w:val="003D7455"/>
    <w:rsid w:val="003D771B"/>
    <w:rsid w:val="003D79DC"/>
    <w:rsid w:val="003D7A65"/>
    <w:rsid w:val="003D7A78"/>
    <w:rsid w:val="003E0019"/>
    <w:rsid w:val="003E0179"/>
    <w:rsid w:val="003E0188"/>
    <w:rsid w:val="003E080A"/>
    <w:rsid w:val="003E094A"/>
    <w:rsid w:val="003E148B"/>
    <w:rsid w:val="003E1FA0"/>
    <w:rsid w:val="003E2206"/>
    <w:rsid w:val="003E225C"/>
    <w:rsid w:val="003E264F"/>
    <w:rsid w:val="003E32AD"/>
    <w:rsid w:val="003E3625"/>
    <w:rsid w:val="003E3B88"/>
    <w:rsid w:val="003E3C65"/>
    <w:rsid w:val="003E3E99"/>
    <w:rsid w:val="003E4B2E"/>
    <w:rsid w:val="003E5154"/>
    <w:rsid w:val="003E52B4"/>
    <w:rsid w:val="003E535B"/>
    <w:rsid w:val="003E5390"/>
    <w:rsid w:val="003E6046"/>
    <w:rsid w:val="003E6113"/>
    <w:rsid w:val="003E6311"/>
    <w:rsid w:val="003E6319"/>
    <w:rsid w:val="003E63BE"/>
    <w:rsid w:val="003E6DDE"/>
    <w:rsid w:val="003E784B"/>
    <w:rsid w:val="003E7978"/>
    <w:rsid w:val="003E7CC8"/>
    <w:rsid w:val="003E7DAA"/>
    <w:rsid w:val="003F0869"/>
    <w:rsid w:val="003F08B8"/>
    <w:rsid w:val="003F0F28"/>
    <w:rsid w:val="003F16F7"/>
    <w:rsid w:val="003F1887"/>
    <w:rsid w:val="003F1AB9"/>
    <w:rsid w:val="003F1B77"/>
    <w:rsid w:val="003F2A5F"/>
    <w:rsid w:val="003F3ABD"/>
    <w:rsid w:val="003F4148"/>
    <w:rsid w:val="003F45D0"/>
    <w:rsid w:val="003F51DC"/>
    <w:rsid w:val="003F532C"/>
    <w:rsid w:val="003F54FA"/>
    <w:rsid w:val="003F5832"/>
    <w:rsid w:val="003F5A0E"/>
    <w:rsid w:val="003F6416"/>
    <w:rsid w:val="003F6634"/>
    <w:rsid w:val="003F69BB"/>
    <w:rsid w:val="003F6A84"/>
    <w:rsid w:val="003F6D3F"/>
    <w:rsid w:val="003F7678"/>
    <w:rsid w:val="003F7845"/>
    <w:rsid w:val="00400989"/>
    <w:rsid w:val="00400EF4"/>
    <w:rsid w:val="0040123A"/>
    <w:rsid w:val="00401468"/>
    <w:rsid w:val="00401774"/>
    <w:rsid w:val="00401B30"/>
    <w:rsid w:val="00402195"/>
    <w:rsid w:val="00402282"/>
    <w:rsid w:val="0040264B"/>
    <w:rsid w:val="004026D4"/>
    <w:rsid w:val="00402C7F"/>
    <w:rsid w:val="004036CD"/>
    <w:rsid w:val="00403D69"/>
    <w:rsid w:val="00403EDB"/>
    <w:rsid w:val="004045D4"/>
    <w:rsid w:val="00404A4B"/>
    <w:rsid w:val="004051A1"/>
    <w:rsid w:val="004051D3"/>
    <w:rsid w:val="00405519"/>
    <w:rsid w:val="0040615E"/>
    <w:rsid w:val="00406964"/>
    <w:rsid w:val="00406B35"/>
    <w:rsid w:val="00406BAE"/>
    <w:rsid w:val="00406E35"/>
    <w:rsid w:val="004075DB"/>
    <w:rsid w:val="0041050B"/>
    <w:rsid w:val="00410867"/>
    <w:rsid w:val="00410ECC"/>
    <w:rsid w:val="00411407"/>
    <w:rsid w:val="00411C97"/>
    <w:rsid w:val="00412A4E"/>
    <w:rsid w:val="004130F9"/>
    <w:rsid w:val="004145FF"/>
    <w:rsid w:val="00414BAC"/>
    <w:rsid w:val="00414C04"/>
    <w:rsid w:val="004151D3"/>
    <w:rsid w:val="00415B7E"/>
    <w:rsid w:val="00415F60"/>
    <w:rsid w:val="00416AD3"/>
    <w:rsid w:val="00416F48"/>
    <w:rsid w:val="004175FC"/>
    <w:rsid w:val="00417AAF"/>
    <w:rsid w:val="0042004B"/>
    <w:rsid w:val="004206E4"/>
    <w:rsid w:val="00420BA1"/>
    <w:rsid w:val="0042149E"/>
    <w:rsid w:val="00421948"/>
    <w:rsid w:val="00421AF9"/>
    <w:rsid w:val="00422C45"/>
    <w:rsid w:val="00423241"/>
    <w:rsid w:val="004232C4"/>
    <w:rsid w:val="00423A77"/>
    <w:rsid w:val="00424025"/>
    <w:rsid w:val="0042468A"/>
    <w:rsid w:val="004247EF"/>
    <w:rsid w:val="00424F51"/>
    <w:rsid w:val="00425655"/>
    <w:rsid w:val="00425A7A"/>
    <w:rsid w:val="004263F1"/>
    <w:rsid w:val="00426892"/>
    <w:rsid w:val="00426D6B"/>
    <w:rsid w:val="00426E7F"/>
    <w:rsid w:val="00427488"/>
    <w:rsid w:val="00427849"/>
    <w:rsid w:val="00427BE2"/>
    <w:rsid w:val="00427F6A"/>
    <w:rsid w:val="0043010B"/>
    <w:rsid w:val="004303DC"/>
    <w:rsid w:val="004316F6"/>
    <w:rsid w:val="004317E8"/>
    <w:rsid w:val="00431B6C"/>
    <w:rsid w:val="00431D23"/>
    <w:rsid w:val="0043267C"/>
    <w:rsid w:val="0043280E"/>
    <w:rsid w:val="00432965"/>
    <w:rsid w:val="00432A24"/>
    <w:rsid w:val="00434649"/>
    <w:rsid w:val="00434753"/>
    <w:rsid w:val="00435109"/>
    <w:rsid w:val="00435357"/>
    <w:rsid w:val="00435AE8"/>
    <w:rsid w:val="00435E30"/>
    <w:rsid w:val="00435FFC"/>
    <w:rsid w:val="00436394"/>
    <w:rsid w:val="004369D8"/>
    <w:rsid w:val="00436ACA"/>
    <w:rsid w:val="004373FA"/>
    <w:rsid w:val="004401B7"/>
    <w:rsid w:val="004403CF"/>
    <w:rsid w:val="00440D26"/>
    <w:rsid w:val="00440DA5"/>
    <w:rsid w:val="00442265"/>
    <w:rsid w:val="0044229F"/>
    <w:rsid w:val="004427E7"/>
    <w:rsid w:val="00442D08"/>
    <w:rsid w:val="00443B40"/>
    <w:rsid w:val="00443D53"/>
    <w:rsid w:val="0044416B"/>
    <w:rsid w:val="00444193"/>
    <w:rsid w:val="0044489F"/>
    <w:rsid w:val="00445622"/>
    <w:rsid w:val="00445CD6"/>
    <w:rsid w:val="004460A6"/>
    <w:rsid w:val="00446716"/>
    <w:rsid w:val="00446BB7"/>
    <w:rsid w:val="00446D8E"/>
    <w:rsid w:val="00446ED8"/>
    <w:rsid w:val="00446F7E"/>
    <w:rsid w:val="0044729A"/>
    <w:rsid w:val="00447896"/>
    <w:rsid w:val="004478F7"/>
    <w:rsid w:val="00447D80"/>
    <w:rsid w:val="0045002E"/>
    <w:rsid w:val="004500FD"/>
    <w:rsid w:val="00450628"/>
    <w:rsid w:val="00450760"/>
    <w:rsid w:val="00450A01"/>
    <w:rsid w:val="00450A61"/>
    <w:rsid w:val="00450A91"/>
    <w:rsid w:val="00450C9C"/>
    <w:rsid w:val="00450E6B"/>
    <w:rsid w:val="0045114C"/>
    <w:rsid w:val="00451423"/>
    <w:rsid w:val="004518B7"/>
    <w:rsid w:val="0045196C"/>
    <w:rsid w:val="00451A68"/>
    <w:rsid w:val="00451F51"/>
    <w:rsid w:val="00451F92"/>
    <w:rsid w:val="00452006"/>
    <w:rsid w:val="00452727"/>
    <w:rsid w:val="00453222"/>
    <w:rsid w:val="00453691"/>
    <w:rsid w:val="00453E53"/>
    <w:rsid w:val="00453E67"/>
    <w:rsid w:val="004545D3"/>
    <w:rsid w:val="00454A50"/>
    <w:rsid w:val="00454A64"/>
    <w:rsid w:val="00455199"/>
    <w:rsid w:val="00455502"/>
    <w:rsid w:val="00455F6F"/>
    <w:rsid w:val="00456BA7"/>
    <w:rsid w:val="00456E19"/>
    <w:rsid w:val="00456EAA"/>
    <w:rsid w:val="004571E6"/>
    <w:rsid w:val="0045744B"/>
    <w:rsid w:val="00457593"/>
    <w:rsid w:val="00457F39"/>
    <w:rsid w:val="00460406"/>
    <w:rsid w:val="00460CC0"/>
    <w:rsid w:val="0046118B"/>
    <w:rsid w:val="004611EC"/>
    <w:rsid w:val="00461541"/>
    <w:rsid w:val="00461884"/>
    <w:rsid w:val="00461DB7"/>
    <w:rsid w:val="00461DD1"/>
    <w:rsid w:val="00462A8B"/>
    <w:rsid w:val="00462C8B"/>
    <w:rsid w:val="00462FD2"/>
    <w:rsid w:val="0046347B"/>
    <w:rsid w:val="00463A75"/>
    <w:rsid w:val="00463C96"/>
    <w:rsid w:val="00463D14"/>
    <w:rsid w:val="004648AF"/>
    <w:rsid w:val="00464D40"/>
    <w:rsid w:val="00464E43"/>
    <w:rsid w:val="00465355"/>
    <w:rsid w:val="0046540F"/>
    <w:rsid w:val="00465929"/>
    <w:rsid w:val="004659BC"/>
    <w:rsid w:val="00465DAA"/>
    <w:rsid w:val="00466338"/>
    <w:rsid w:val="004665C7"/>
    <w:rsid w:val="0046698F"/>
    <w:rsid w:val="00466C0C"/>
    <w:rsid w:val="004673E2"/>
    <w:rsid w:val="004679AE"/>
    <w:rsid w:val="00467C24"/>
    <w:rsid w:val="0046B44A"/>
    <w:rsid w:val="0047063B"/>
    <w:rsid w:val="00470A91"/>
    <w:rsid w:val="00470DF7"/>
    <w:rsid w:val="00470F13"/>
    <w:rsid w:val="00470FFE"/>
    <w:rsid w:val="0047124A"/>
    <w:rsid w:val="00471476"/>
    <w:rsid w:val="004715F1"/>
    <w:rsid w:val="00472082"/>
    <w:rsid w:val="0047241B"/>
    <w:rsid w:val="00472627"/>
    <w:rsid w:val="00472910"/>
    <w:rsid w:val="00472C84"/>
    <w:rsid w:val="004734E6"/>
    <w:rsid w:val="004740AD"/>
    <w:rsid w:val="00474876"/>
    <w:rsid w:val="004763FC"/>
    <w:rsid w:val="004768F3"/>
    <w:rsid w:val="00477395"/>
    <w:rsid w:val="004775C0"/>
    <w:rsid w:val="0048032D"/>
    <w:rsid w:val="004807F2"/>
    <w:rsid w:val="00480BDC"/>
    <w:rsid w:val="0048176B"/>
    <w:rsid w:val="004818B1"/>
    <w:rsid w:val="0048272F"/>
    <w:rsid w:val="004827CA"/>
    <w:rsid w:val="00482BA1"/>
    <w:rsid w:val="00482E7A"/>
    <w:rsid w:val="00483A4F"/>
    <w:rsid w:val="00483CCE"/>
    <w:rsid w:val="00484271"/>
    <w:rsid w:val="00484690"/>
    <w:rsid w:val="004847C6"/>
    <w:rsid w:val="0048480A"/>
    <w:rsid w:val="004849A8"/>
    <w:rsid w:val="00484B8F"/>
    <w:rsid w:val="00484D2E"/>
    <w:rsid w:val="00484DAF"/>
    <w:rsid w:val="00484EDB"/>
    <w:rsid w:val="0048561E"/>
    <w:rsid w:val="0048576E"/>
    <w:rsid w:val="004857EE"/>
    <w:rsid w:val="00485ABE"/>
    <w:rsid w:val="00485E23"/>
    <w:rsid w:val="00485F90"/>
    <w:rsid w:val="0048604C"/>
    <w:rsid w:val="004869F1"/>
    <w:rsid w:val="00486A9C"/>
    <w:rsid w:val="00490182"/>
    <w:rsid w:val="0049063C"/>
    <w:rsid w:val="00490726"/>
    <w:rsid w:val="00490A0A"/>
    <w:rsid w:val="00490BED"/>
    <w:rsid w:val="00491091"/>
    <w:rsid w:val="004914E1"/>
    <w:rsid w:val="0049193F"/>
    <w:rsid w:val="0049236B"/>
    <w:rsid w:val="00493303"/>
    <w:rsid w:val="00493711"/>
    <w:rsid w:val="00493D85"/>
    <w:rsid w:val="00493F03"/>
    <w:rsid w:val="004945BC"/>
    <w:rsid w:val="0049490E"/>
    <w:rsid w:val="00495A0C"/>
    <w:rsid w:val="00495D6A"/>
    <w:rsid w:val="00496022"/>
    <w:rsid w:val="0049633F"/>
    <w:rsid w:val="004964F0"/>
    <w:rsid w:val="00496862"/>
    <w:rsid w:val="00497778"/>
    <w:rsid w:val="00497A52"/>
    <w:rsid w:val="00497B98"/>
    <w:rsid w:val="00497DBF"/>
    <w:rsid w:val="00497FB3"/>
    <w:rsid w:val="004A1776"/>
    <w:rsid w:val="004A19BE"/>
    <w:rsid w:val="004A1AA3"/>
    <w:rsid w:val="004A30E6"/>
    <w:rsid w:val="004A34EA"/>
    <w:rsid w:val="004A39E7"/>
    <w:rsid w:val="004A42D5"/>
    <w:rsid w:val="004A4A52"/>
    <w:rsid w:val="004A5AD7"/>
    <w:rsid w:val="004A6069"/>
    <w:rsid w:val="004A6150"/>
    <w:rsid w:val="004A6267"/>
    <w:rsid w:val="004A6548"/>
    <w:rsid w:val="004A681D"/>
    <w:rsid w:val="004A6986"/>
    <w:rsid w:val="004A6CF4"/>
    <w:rsid w:val="004A75BC"/>
    <w:rsid w:val="004A77C0"/>
    <w:rsid w:val="004A7F8D"/>
    <w:rsid w:val="004B0DF4"/>
    <w:rsid w:val="004B1362"/>
    <w:rsid w:val="004B13C7"/>
    <w:rsid w:val="004B140A"/>
    <w:rsid w:val="004B1C14"/>
    <w:rsid w:val="004B265C"/>
    <w:rsid w:val="004B290A"/>
    <w:rsid w:val="004B2E7A"/>
    <w:rsid w:val="004B3145"/>
    <w:rsid w:val="004B3A0B"/>
    <w:rsid w:val="004B3B79"/>
    <w:rsid w:val="004B3D95"/>
    <w:rsid w:val="004B3DA9"/>
    <w:rsid w:val="004B46B8"/>
    <w:rsid w:val="004B4787"/>
    <w:rsid w:val="004B4793"/>
    <w:rsid w:val="004B60C8"/>
    <w:rsid w:val="004B617F"/>
    <w:rsid w:val="004B61CF"/>
    <w:rsid w:val="004B647A"/>
    <w:rsid w:val="004B65D0"/>
    <w:rsid w:val="004B6649"/>
    <w:rsid w:val="004B687C"/>
    <w:rsid w:val="004B7378"/>
    <w:rsid w:val="004B7685"/>
    <w:rsid w:val="004B76C7"/>
    <w:rsid w:val="004B79A2"/>
    <w:rsid w:val="004B7B1A"/>
    <w:rsid w:val="004B7B50"/>
    <w:rsid w:val="004C0A10"/>
    <w:rsid w:val="004C0D74"/>
    <w:rsid w:val="004C0E62"/>
    <w:rsid w:val="004C10FD"/>
    <w:rsid w:val="004C1AB5"/>
    <w:rsid w:val="004C1C18"/>
    <w:rsid w:val="004C1CA3"/>
    <w:rsid w:val="004C1E3F"/>
    <w:rsid w:val="004C1FAB"/>
    <w:rsid w:val="004C2355"/>
    <w:rsid w:val="004C2415"/>
    <w:rsid w:val="004C260B"/>
    <w:rsid w:val="004C26C0"/>
    <w:rsid w:val="004C34BE"/>
    <w:rsid w:val="004C34CD"/>
    <w:rsid w:val="004C39C8"/>
    <w:rsid w:val="004C3E66"/>
    <w:rsid w:val="004C3E97"/>
    <w:rsid w:val="004C47EE"/>
    <w:rsid w:val="004C4B3A"/>
    <w:rsid w:val="004C633A"/>
    <w:rsid w:val="004C6D3D"/>
    <w:rsid w:val="004C70AC"/>
    <w:rsid w:val="004C795E"/>
    <w:rsid w:val="004C7AA3"/>
    <w:rsid w:val="004C7D32"/>
    <w:rsid w:val="004C7E64"/>
    <w:rsid w:val="004D021F"/>
    <w:rsid w:val="004D06E4"/>
    <w:rsid w:val="004D0BDE"/>
    <w:rsid w:val="004D0C5A"/>
    <w:rsid w:val="004D157A"/>
    <w:rsid w:val="004D18BB"/>
    <w:rsid w:val="004D1B36"/>
    <w:rsid w:val="004D1BFE"/>
    <w:rsid w:val="004D1DC0"/>
    <w:rsid w:val="004D2BD4"/>
    <w:rsid w:val="004D3826"/>
    <w:rsid w:val="004D3BA6"/>
    <w:rsid w:val="004D3FB2"/>
    <w:rsid w:val="004D42C5"/>
    <w:rsid w:val="004D478B"/>
    <w:rsid w:val="004D48C3"/>
    <w:rsid w:val="004D4ADC"/>
    <w:rsid w:val="004D4B54"/>
    <w:rsid w:val="004D4EA6"/>
    <w:rsid w:val="004D5080"/>
    <w:rsid w:val="004D51E0"/>
    <w:rsid w:val="004D52CD"/>
    <w:rsid w:val="004D5A4A"/>
    <w:rsid w:val="004D5AF9"/>
    <w:rsid w:val="004D5B04"/>
    <w:rsid w:val="004D6B7A"/>
    <w:rsid w:val="004D6B7D"/>
    <w:rsid w:val="004D6CBA"/>
    <w:rsid w:val="004D6E13"/>
    <w:rsid w:val="004D717D"/>
    <w:rsid w:val="004D7924"/>
    <w:rsid w:val="004D7DC6"/>
    <w:rsid w:val="004D7FA2"/>
    <w:rsid w:val="004E0110"/>
    <w:rsid w:val="004E0515"/>
    <w:rsid w:val="004E051D"/>
    <w:rsid w:val="004E05CD"/>
    <w:rsid w:val="004E0B13"/>
    <w:rsid w:val="004E0DB5"/>
    <w:rsid w:val="004E0F13"/>
    <w:rsid w:val="004E19B8"/>
    <w:rsid w:val="004E2562"/>
    <w:rsid w:val="004E2B56"/>
    <w:rsid w:val="004E2E23"/>
    <w:rsid w:val="004E3021"/>
    <w:rsid w:val="004E3112"/>
    <w:rsid w:val="004E32E4"/>
    <w:rsid w:val="004E330C"/>
    <w:rsid w:val="004E33BA"/>
    <w:rsid w:val="004E3C2C"/>
    <w:rsid w:val="004E47E9"/>
    <w:rsid w:val="004E4E1A"/>
    <w:rsid w:val="004E5DA6"/>
    <w:rsid w:val="004E5E23"/>
    <w:rsid w:val="004E61CE"/>
    <w:rsid w:val="004E6272"/>
    <w:rsid w:val="004E636C"/>
    <w:rsid w:val="004E654F"/>
    <w:rsid w:val="004E71BC"/>
    <w:rsid w:val="004E7530"/>
    <w:rsid w:val="004E79D2"/>
    <w:rsid w:val="004E7A85"/>
    <w:rsid w:val="004E7B0F"/>
    <w:rsid w:val="004F05FC"/>
    <w:rsid w:val="004F0BBF"/>
    <w:rsid w:val="004F0E48"/>
    <w:rsid w:val="004F1059"/>
    <w:rsid w:val="004F122E"/>
    <w:rsid w:val="004F1523"/>
    <w:rsid w:val="004F19E6"/>
    <w:rsid w:val="004F1A4E"/>
    <w:rsid w:val="004F1C86"/>
    <w:rsid w:val="004F1E31"/>
    <w:rsid w:val="004F1F76"/>
    <w:rsid w:val="004F218B"/>
    <w:rsid w:val="004F2386"/>
    <w:rsid w:val="004F3B93"/>
    <w:rsid w:val="004F49C9"/>
    <w:rsid w:val="004F49FC"/>
    <w:rsid w:val="004F52B5"/>
    <w:rsid w:val="004F5C2E"/>
    <w:rsid w:val="004F613D"/>
    <w:rsid w:val="004F63ED"/>
    <w:rsid w:val="004F6782"/>
    <w:rsid w:val="004F67DB"/>
    <w:rsid w:val="004F6E69"/>
    <w:rsid w:val="004F6EC9"/>
    <w:rsid w:val="004F725F"/>
    <w:rsid w:val="004FC48E"/>
    <w:rsid w:val="00500028"/>
    <w:rsid w:val="00500264"/>
    <w:rsid w:val="005003EC"/>
    <w:rsid w:val="00500768"/>
    <w:rsid w:val="00500D53"/>
    <w:rsid w:val="005019B4"/>
    <w:rsid w:val="00501AC0"/>
    <w:rsid w:val="00501AE6"/>
    <w:rsid w:val="00501BDA"/>
    <w:rsid w:val="00501E97"/>
    <w:rsid w:val="00501EFB"/>
    <w:rsid w:val="00501F65"/>
    <w:rsid w:val="005024BF"/>
    <w:rsid w:val="00502746"/>
    <w:rsid w:val="00502887"/>
    <w:rsid w:val="00503148"/>
    <w:rsid w:val="005032C6"/>
    <w:rsid w:val="005035FE"/>
    <w:rsid w:val="00503706"/>
    <w:rsid w:val="00503807"/>
    <w:rsid w:val="0050428D"/>
    <w:rsid w:val="005049DF"/>
    <w:rsid w:val="005057D8"/>
    <w:rsid w:val="00505B99"/>
    <w:rsid w:val="005075B2"/>
    <w:rsid w:val="00507E50"/>
    <w:rsid w:val="00511300"/>
    <w:rsid w:val="0051158C"/>
    <w:rsid w:val="00511925"/>
    <w:rsid w:val="0051232A"/>
    <w:rsid w:val="0051279D"/>
    <w:rsid w:val="00513184"/>
    <w:rsid w:val="005131C5"/>
    <w:rsid w:val="005136CA"/>
    <w:rsid w:val="00513771"/>
    <w:rsid w:val="005143DD"/>
    <w:rsid w:val="005148B0"/>
    <w:rsid w:val="00514B3A"/>
    <w:rsid w:val="00514E19"/>
    <w:rsid w:val="00515B14"/>
    <w:rsid w:val="00515C58"/>
    <w:rsid w:val="00515EF0"/>
    <w:rsid w:val="005160BC"/>
    <w:rsid w:val="005161F0"/>
    <w:rsid w:val="00516B19"/>
    <w:rsid w:val="00516F77"/>
    <w:rsid w:val="00517492"/>
    <w:rsid w:val="005177D5"/>
    <w:rsid w:val="00517813"/>
    <w:rsid w:val="005204E6"/>
    <w:rsid w:val="00520602"/>
    <w:rsid w:val="0052066D"/>
    <w:rsid w:val="00520D92"/>
    <w:rsid w:val="00521493"/>
    <w:rsid w:val="005214A2"/>
    <w:rsid w:val="0052151A"/>
    <w:rsid w:val="00521588"/>
    <w:rsid w:val="00521703"/>
    <w:rsid w:val="00521840"/>
    <w:rsid w:val="005220D6"/>
    <w:rsid w:val="00522414"/>
    <w:rsid w:val="0052259D"/>
    <w:rsid w:val="00522910"/>
    <w:rsid w:val="00522DC4"/>
    <w:rsid w:val="005232E4"/>
    <w:rsid w:val="005236C2"/>
    <w:rsid w:val="00523DEC"/>
    <w:rsid w:val="00523F5A"/>
    <w:rsid w:val="005243E0"/>
    <w:rsid w:val="00524508"/>
    <w:rsid w:val="00526140"/>
    <w:rsid w:val="00526486"/>
    <w:rsid w:val="00526C9A"/>
    <w:rsid w:val="00526EB9"/>
    <w:rsid w:val="00526F36"/>
    <w:rsid w:val="005271A7"/>
    <w:rsid w:val="00527A2D"/>
    <w:rsid w:val="00527C2F"/>
    <w:rsid w:val="00530CA1"/>
    <w:rsid w:val="00530D52"/>
    <w:rsid w:val="00530EF4"/>
    <w:rsid w:val="00530EF8"/>
    <w:rsid w:val="0053151D"/>
    <w:rsid w:val="005319B7"/>
    <w:rsid w:val="00531BF8"/>
    <w:rsid w:val="00531C90"/>
    <w:rsid w:val="00531F5A"/>
    <w:rsid w:val="00532585"/>
    <w:rsid w:val="00532853"/>
    <w:rsid w:val="0053285B"/>
    <w:rsid w:val="00532890"/>
    <w:rsid w:val="0053297D"/>
    <w:rsid w:val="00532A89"/>
    <w:rsid w:val="00532F99"/>
    <w:rsid w:val="00533EBF"/>
    <w:rsid w:val="00534543"/>
    <w:rsid w:val="0053459F"/>
    <w:rsid w:val="00534ABF"/>
    <w:rsid w:val="00534EE9"/>
    <w:rsid w:val="0053535D"/>
    <w:rsid w:val="005353BB"/>
    <w:rsid w:val="00535539"/>
    <w:rsid w:val="00535A59"/>
    <w:rsid w:val="005361D8"/>
    <w:rsid w:val="00536288"/>
    <w:rsid w:val="00536642"/>
    <w:rsid w:val="00536CC9"/>
    <w:rsid w:val="00536CD1"/>
    <w:rsid w:val="00537419"/>
    <w:rsid w:val="00537699"/>
    <w:rsid w:val="00537A76"/>
    <w:rsid w:val="00537BF9"/>
    <w:rsid w:val="00541A5C"/>
    <w:rsid w:val="00541FEE"/>
    <w:rsid w:val="0054323D"/>
    <w:rsid w:val="0054346D"/>
    <w:rsid w:val="00543499"/>
    <w:rsid w:val="00543689"/>
    <w:rsid w:val="00543698"/>
    <w:rsid w:val="00543D35"/>
    <w:rsid w:val="00544431"/>
    <w:rsid w:val="00544B76"/>
    <w:rsid w:val="00545161"/>
    <w:rsid w:val="00545E31"/>
    <w:rsid w:val="00546263"/>
    <w:rsid w:val="00546730"/>
    <w:rsid w:val="00546A60"/>
    <w:rsid w:val="00546EDA"/>
    <w:rsid w:val="00547586"/>
    <w:rsid w:val="00547595"/>
    <w:rsid w:val="0055020F"/>
    <w:rsid w:val="005504AB"/>
    <w:rsid w:val="00550797"/>
    <w:rsid w:val="005507B5"/>
    <w:rsid w:val="005512F7"/>
    <w:rsid w:val="005516FE"/>
    <w:rsid w:val="00552380"/>
    <w:rsid w:val="0055251E"/>
    <w:rsid w:val="005531F0"/>
    <w:rsid w:val="005538CC"/>
    <w:rsid w:val="00553D98"/>
    <w:rsid w:val="00553EEE"/>
    <w:rsid w:val="00554418"/>
    <w:rsid w:val="00554611"/>
    <w:rsid w:val="005548AF"/>
    <w:rsid w:val="0055493F"/>
    <w:rsid w:val="00554C8D"/>
    <w:rsid w:val="00554D82"/>
    <w:rsid w:val="0055535B"/>
    <w:rsid w:val="00555637"/>
    <w:rsid w:val="005563DC"/>
    <w:rsid w:val="00556D57"/>
    <w:rsid w:val="0055721E"/>
    <w:rsid w:val="00557221"/>
    <w:rsid w:val="005577E3"/>
    <w:rsid w:val="005578B9"/>
    <w:rsid w:val="00557981"/>
    <w:rsid w:val="005602D4"/>
    <w:rsid w:val="005603A5"/>
    <w:rsid w:val="0056044D"/>
    <w:rsid w:val="005608F2"/>
    <w:rsid w:val="005608FF"/>
    <w:rsid w:val="00560930"/>
    <w:rsid w:val="0056141E"/>
    <w:rsid w:val="0056170A"/>
    <w:rsid w:val="00561845"/>
    <w:rsid w:val="00561DE4"/>
    <w:rsid w:val="00561EB9"/>
    <w:rsid w:val="0056206D"/>
    <w:rsid w:val="00562595"/>
    <w:rsid w:val="00563566"/>
    <w:rsid w:val="00564A03"/>
    <w:rsid w:val="00564C70"/>
    <w:rsid w:val="005656E2"/>
    <w:rsid w:val="00565D97"/>
    <w:rsid w:val="00565F79"/>
    <w:rsid w:val="005672E0"/>
    <w:rsid w:val="00567462"/>
    <w:rsid w:val="00567BEB"/>
    <w:rsid w:val="005702BE"/>
    <w:rsid w:val="00571835"/>
    <w:rsid w:val="0057241D"/>
    <w:rsid w:val="005724D8"/>
    <w:rsid w:val="005725FC"/>
    <w:rsid w:val="0057301D"/>
    <w:rsid w:val="00573173"/>
    <w:rsid w:val="005731B3"/>
    <w:rsid w:val="00574D66"/>
    <w:rsid w:val="0057513C"/>
    <w:rsid w:val="0057518A"/>
    <w:rsid w:val="005752F8"/>
    <w:rsid w:val="005755F9"/>
    <w:rsid w:val="00575A1D"/>
    <w:rsid w:val="00575B08"/>
    <w:rsid w:val="00575C5D"/>
    <w:rsid w:val="0057692A"/>
    <w:rsid w:val="00577405"/>
    <w:rsid w:val="00577737"/>
    <w:rsid w:val="00577A95"/>
    <w:rsid w:val="0058006C"/>
    <w:rsid w:val="005800EB"/>
    <w:rsid w:val="005815A3"/>
    <w:rsid w:val="00581CD2"/>
    <w:rsid w:val="0058204C"/>
    <w:rsid w:val="0058249C"/>
    <w:rsid w:val="00582534"/>
    <w:rsid w:val="00582806"/>
    <w:rsid w:val="00583090"/>
    <w:rsid w:val="0058370E"/>
    <w:rsid w:val="00583CD3"/>
    <w:rsid w:val="00584095"/>
    <w:rsid w:val="005841E5"/>
    <w:rsid w:val="00584FAF"/>
    <w:rsid w:val="00585A85"/>
    <w:rsid w:val="0058606A"/>
    <w:rsid w:val="005861D5"/>
    <w:rsid w:val="00586516"/>
    <w:rsid w:val="0058723D"/>
    <w:rsid w:val="00587C8F"/>
    <w:rsid w:val="005908B9"/>
    <w:rsid w:val="00591565"/>
    <w:rsid w:val="005918C1"/>
    <w:rsid w:val="00591950"/>
    <w:rsid w:val="00592332"/>
    <w:rsid w:val="00592365"/>
    <w:rsid w:val="005924C0"/>
    <w:rsid w:val="005927C6"/>
    <w:rsid w:val="005927CA"/>
    <w:rsid w:val="0059282C"/>
    <w:rsid w:val="00592918"/>
    <w:rsid w:val="005929A3"/>
    <w:rsid w:val="00592B4F"/>
    <w:rsid w:val="00592FA9"/>
    <w:rsid w:val="00593178"/>
    <w:rsid w:val="00593A57"/>
    <w:rsid w:val="00593D46"/>
    <w:rsid w:val="00593DA4"/>
    <w:rsid w:val="0059416B"/>
    <w:rsid w:val="005943C4"/>
    <w:rsid w:val="00594937"/>
    <w:rsid w:val="00594E6B"/>
    <w:rsid w:val="00595239"/>
    <w:rsid w:val="005959F3"/>
    <w:rsid w:val="00595AAA"/>
    <w:rsid w:val="005960B8"/>
    <w:rsid w:val="005964A2"/>
    <w:rsid w:val="005967EF"/>
    <w:rsid w:val="005969A8"/>
    <w:rsid w:val="0059714F"/>
    <w:rsid w:val="005A0BE7"/>
    <w:rsid w:val="005A161F"/>
    <w:rsid w:val="005A1983"/>
    <w:rsid w:val="005A1FAF"/>
    <w:rsid w:val="005A20B7"/>
    <w:rsid w:val="005A2165"/>
    <w:rsid w:val="005A31EB"/>
    <w:rsid w:val="005A3888"/>
    <w:rsid w:val="005A3A60"/>
    <w:rsid w:val="005A40EE"/>
    <w:rsid w:val="005A48A3"/>
    <w:rsid w:val="005A4916"/>
    <w:rsid w:val="005A51C2"/>
    <w:rsid w:val="005A52E3"/>
    <w:rsid w:val="005A53A0"/>
    <w:rsid w:val="005A6381"/>
    <w:rsid w:val="005A6581"/>
    <w:rsid w:val="005A6AD5"/>
    <w:rsid w:val="005A6DF0"/>
    <w:rsid w:val="005A6EFA"/>
    <w:rsid w:val="005A7FCB"/>
    <w:rsid w:val="005B0E10"/>
    <w:rsid w:val="005B1120"/>
    <w:rsid w:val="005B1291"/>
    <w:rsid w:val="005B14ED"/>
    <w:rsid w:val="005B17C9"/>
    <w:rsid w:val="005B277A"/>
    <w:rsid w:val="005B2C5C"/>
    <w:rsid w:val="005B2CE6"/>
    <w:rsid w:val="005B3228"/>
    <w:rsid w:val="005B3C5E"/>
    <w:rsid w:val="005B3C97"/>
    <w:rsid w:val="005B4279"/>
    <w:rsid w:val="005B432B"/>
    <w:rsid w:val="005B4494"/>
    <w:rsid w:val="005B4BE6"/>
    <w:rsid w:val="005B525B"/>
    <w:rsid w:val="005B5552"/>
    <w:rsid w:val="005B5FD0"/>
    <w:rsid w:val="005B692D"/>
    <w:rsid w:val="005B6FFF"/>
    <w:rsid w:val="005B73E7"/>
    <w:rsid w:val="005B7EEF"/>
    <w:rsid w:val="005C0219"/>
    <w:rsid w:val="005C0889"/>
    <w:rsid w:val="005C10C2"/>
    <w:rsid w:val="005C14E2"/>
    <w:rsid w:val="005C157F"/>
    <w:rsid w:val="005C1906"/>
    <w:rsid w:val="005C26DD"/>
    <w:rsid w:val="005C2930"/>
    <w:rsid w:val="005C314B"/>
    <w:rsid w:val="005C32AA"/>
    <w:rsid w:val="005C358C"/>
    <w:rsid w:val="005C38C4"/>
    <w:rsid w:val="005C3E0D"/>
    <w:rsid w:val="005C3E93"/>
    <w:rsid w:val="005C4065"/>
    <w:rsid w:val="005C4DBF"/>
    <w:rsid w:val="005C561C"/>
    <w:rsid w:val="005C589B"/>
    <w:rsid w:val="005C5AE8"/>
    <w:rsid w:val="005C5D34"/>
    <w:rsid w:val="005C600A"/>
    <w:rsid w:val="005C651D"/>
    <w:rsid w:val="005C69EE"/>
    <w:rsid w:val="005C6BD9"/>
    <w:rsid w:val="005C70DF"/>
    <w:rsid w:val="005C7543"/>
    <w:rsid w:val="005C7853"/>
    <w:rsid w:val="005C785B"/>
    <w:rsid w:val="005C7FA5"/>
    <w:rsid w:val="005D0130"/>
    <w:rsid w:val="005D03D6"/>
    <w:rsid w:val="005D0975"/>
    <w:rsid w:val="005D0C0F"/>
    <w:rsid w:val="005D129E"/>
    <w:rsid w:val="005D158A"/>
    <w:rsid w:val="005D1759"/>
    <w:rsid w:val="005D1A43"/>
    <w:rsid w:val="005D24B0"/>
    <w:rsid w:val="005D2958"/>
    <w:rsid w:val="005D2A58"/>
    <w:rsid w:val="005D3018"/>
    <w:rsid w:val="005D3CF4"/>
    <w:rsid w:val="005D4590"/>
    <w:rsid w:val="005D49EA"/>
    <w:rsid w:val="005D5543"/>
    <w:rsid w:val="005D59CF"/>
    <w:rsid w:val="005D5F0D"/>
    <w:rsid w:val="005D614A"/>
    <w:rsid w:val="005D6151"/>
    <w:rsid w:val="005D6284"/>
    <w:rsid w:val="005D6342"/>
    <w:rsid w:val="005D63D6"/>
    <w:rsid w:val="005D6477"/>
    <w:rsid w:val="005D662C"/>
    <w:rsid w:val="005D6932"/>
    <w:rsid w:val="005D6A8D"/>
    <w:rsid w:val="005D6CCA"/>
    <w:rsid w:val="005D6D67"/>
    <w:rsid w:val="005D6DE3"/>
    <w:rsid w:val="005D751E"/>
    <w:rsid w:val="005D7635"/>
    <w:rsid w:val="005D7BF5"/>
    <w:rsid w:val="005E0124"/>
    <w:rsid w:val="005E0508"/>
    <w:rsid w:val="005E064C"/>
    <w:rsid w:val="005E07BB"/>
    <w:rsid w:val="005E0A8C"/>
    <w:rsid w:val="005E0C6E"/>
    <w:rsid w:val="005E0FE2"/>
    <w:rsid w:val="005E128E"/>
    <w:rsid w:val="005E1429"/>
    <w:rsid w:val="005E1594"/>
    <w:rsid w:val="005E25C4"/>
    <w:rsid w:val="005E291A"/>
    <w:rsid w:val="005E29FD"/>
    <w:rsid w:val="005E2AAE"/>
    <w:rsid w:val="005E35BD"/>
    <w:rsid w:val="005E36BC"/>
    <w:rsid w:val="005E3979"/>
    <w:rsid w:val="005E4801"/>
    <w:rsid w:val="005E5188"/>
    <w:rsid w:val="005E53F5"/>
    <w:rsid w:val="005E58AA"/>
    <w:rsid w:val="005E6E13"/>
    <w:rsid w:val="005E7DAD"/>
    <w:rsid w:val="005E7FF2"/>
    <w:rsid w:val="005F01E3"/>
    <w:rsid w:val="005F0B35"/>
    <w:rsid w:val="005F105B"/>
    <w:rsid w:val="005F10DB"/>
    <w:rsid w:val="005F190E"/>
    <w:rsid w:val="005F203A"/>
    <w:rsid w:val="005F2271"/>
    <w:rsid w:val="005F2320"/>
    <w:rsid w:val="005F2D20"/>
    <w:rsid w:val="005F30D2"/>
    <w:rsid w:val="005F3C02"/>
    <w:rsid w:val="005F4FC3"/>
    <w:rsid w:val="005F531C"/>
    <w:rsid w:val="005F5E6B"/>
    <w:rsid w:val="005F6955"/>
    <w:rsid w:val="005F6D19"/>
    <w:rsid w:val="005F71AC"/>
    <w:rsid w:val="005F7554"/>
    <w:rsid w:val="005F7ACD"/>
    <w:rsid w:val="005F7D74"/>
    <w:rsid w:val="005F7F5E"/>
    <w:rsid w:val="006001ED"/>
    <w:rsid w:val="00600E3C"/>
    <w:rsid w:val="00600F41"/>
    <w:rsid w:val="00601557"/>
    <w:rsid w:val="00601804"/>
    <w:rsid w:val="00602AE6"/>
    <w:rsid w:val="00602C5C"/>
    <w:rsid w:val="00602CDA"/>
    <w:rsid w:val="006030E4"/>
    <w:rsid w:val="006031A1"/>
    <w:rsid w:val="00603239"/>
    <w:rsid w:val="006043DA"/>
    <w:rsid w:val="006045C4"/>
    <w:rsid w:val="00604C8E"/>
    <w:rsid w:val="00605161"/>
    <w:rsid w:val="006056A5"/>
    <w:rsid w:val="00605918"/>
    <w:rsid w:val="00605E89"/>
    <w:rsid w:val="006064D2"/>
    <w:rsid w:val="00606EDB"/>
    <w:rsid w:val="00606F3C"/>
    <w:rsid w:val="00610353"/>
    <w:rsid w:val="006106D3"/>
    <w:rsid w:val="00610980"/>
    <w:rsid w:val="00610DFD"/>
    <w:rsid w:val="00611A8F"/>
    <w:rsid w:val="00611D49"/>
    <w:rsid w:val="00611FAF"/>
    <w:rsid w:val="0061230E"/>
    <w:rsid w:val="006123B5"/>
    <w:rsid w:val="0061257F"/>
    <w:rsid w:val="00612FC1"/>
    <w:rsid w:val="00613042"/>
    <w:rsid w:val="0061308B"/>
    <w:rsid w:val="00613AC4"/>
    <w:rsid w:val="00613DE6"/>
    <w:rsid w:val="00614512"/>
    <w:rsid w:val="00614B6C"/>
    <w:rsid w:val="006159DA"/>
    <w:rsid w:val="00615CE2"/>
    <w:rsid w:val="00616AC6"/>
    <w:rsid w:val="00617058"/>
    <w:rsid w:val="006170E1"/>
    <w:rsid w:val="00617165"/>
    <w:rsid w:val="00617530"/>
    <w:rsid w:val="00620263"/>
    <w:rsid w:val="00620F04"/>
    <w:rsid w:val="0062115D"/>
    <w:rsid w:val="006218FC"/>
    <w:rsid w:val="00621A8F"/>
    <w:rsid w:val="00621B4A"/>
    <w:rsid w:val="006222D7"/>
    <w:rsid w:val="00622B75"/>
    <w:rsid w:val="00622EB6"/>
    <w:rsid w:val="00622F8D"/>
    <w:rsid w:val="00623105"/>
    <w:rsid w:val="0062332A"/>
    <w:rsid w:val="0062337F"/>
    <w:rsid w:val="0062417A"/>
    <w:rsid w:val="00624250"/>
    <w:rsid w:val="00624465"/>
    <w:rsid w:val="006245E9"/>
    <w:rsid w:val="00624BE6"/>
    <w:rsid w:val="00624C48"/>
    <w:rsid w:val="0062515B"/>
    <w:rsid w:val="00626668"/>
    <w:rsid w:val="0062731B"/>
    <w:rsid w:val="0062756A"/>
    <w:rsid w:val="00627725"/>
    <w:rsid w:val="00627A00"/>
    <w:rsid w:val="00627EA7"/>
    <w:rsid w:val="00630597"/>
    <w:rsid w:val="00630C2F"/>
    <w:rsid w:val="00630F37"/>
    <w:rsid w:val="00631447"/>
    <w:rsid w:val="0063186E"/>
    <w:rsid w:val="006319DB"/>
    <w:rsid w:val="0063206D"/>
    <w:rsid w:val="00632762"/>
    <w:rsid w:val="00632B1E"/>
    <w:rsid w:val="00632BD1"/>
    <w:rsid w:val="0063306C"/>
    <w:rsid w:val="00634058"/>
    <w:rsid w:val="006345A6"/>
    <w:rsid w:val="0063479A"/>
    <w:rsid w:val="00634DE5"/>
    <w:rsid w:val="00634EE2"/>
    <w:rsid w:val="00635193"/>
    <w:rsid w:val="006351CC"/>
    <w:rsid w:val="0063628E"/>
    <w:rsid w:val="0063630F"/>
    <w:rsid w:val="00636982"/>
    <w:rsid w:val="00636FCF"/>
    <w:rsid w:val="006370E2"/>
    <w:rsid w:val="00637383"/>
    <w:rsid w:val="00637E6E"/>
    <w:rsid w:val="0064023A"/>
    <w:rsid w:val="006407D0"/>
    <w:rsid w:val="00640846"/>
    <w:rsid w:val="00640C7A"/>
    <w:rsid w:val="00640CFB"/>
    <w:rsid w:val="006414B1"/>
    <w:rsid w:val="00641D12"/>
    <w:rsid w:val="0064334C"/>
    <w:rsid w:val="00643911"/>
    <w:rsid w:val="00643957"/>
    <w:rsid w:val="00643C7D"/>
    <w:rsid w:val="00644301"/>
    <w:rsid w:val="00644510"/>
    <w:rsid w:val="0064616C"/>
    <w:rsid w:val="00646AAC"/>
    <w:rsid w:val="00646D0C"/>
    <w:rsid w:val="006479BC"/>
    <w:rsid w:val="00650ADD"/>
    <w:rsid w:val="00651187"/>
    <w:rsid w:val="00651228"/>
    <w:rsid w:val="00651B34"/>
    <w:rsid w:val="006520E4"/>
    <w:rsid w:val="00652218"/>
    <w:rsid w:val="00652B92"/>
    <w:rsid w:val="006538BA"/>
    <w:rsid w:val="00653F84"/>
    <w:rsid w:val="00654725"/>
    <w:rsid w:val="0065552B"/>
    <w:rsid w:val="00655AC3"/>
    <w:rsid w:val="00656009"/>
    <w:rsid w:val="0065606F"/>
    <w:rsid w:val="006562EB"/>
    <w:rsid w:val="0065687B"/>
    <w:rsid w:val="006568DE"/>
    <w:rsid w:val="0065691D"/>
    <w:rsid w:val="00657374"/>
    <w:rsid w:val="0065740C"/>
    <w:rsid w:val="00657759"/>
    <w:rsid w:val="0065799B"/>
    <w:rsid w:val="0065FDBA"/>
    <w:rsid w:val="00660F2C"/>
    <w:rsid w:val="006614DB"/>
    <w:rsid w:val="00661548"/>
    <w:rsid w:val="00661961"/>
    <w:rsid w:val="00661E4D"/>
    <w:rsid w:val="00662074"/>
    <w:rsid w:val="006620B3"/>
    <w:rsid w:val="0066241A"/>
    <w:rsid w:val="0066268E"/>
    <w:rsid w:val="0066279E"/>
    <w:rsid w:val="00662929"/>
    <w:rsid w:val="00662FA0"/>
    <w:rsid w:val="006631A5"/>
    <w:rsid w:val="0066358F"/>
    <w:rsid w:val="00663A06"/>
    <w:rsid w:val="00663A53"/>
    <w:rsid w:val="00663ADD"/>
    <w:rsid w:val="0066418C"/>
    <w:rsid w:val="00664CBD"/>
    <w:rsid w:val="00664FB3"/>
    <w:rsid w:val="0066551B"/>
    <w:rsid w:val="00665F0B"/>
    <w:rsid w:val="00665F4E"/>
    <w:rsid w:val="0066694D"/>
    <w:rsid w:val="00666C45"/>
    <w:rsid w:val="006672B9"/>
    <w:rsid w:val="006672BF"/>
    <w:rsid w:val="006673E6"/>
    <w:rsid w:val="006679AA"/>
    <w:rsid w:val="00667BE7"/>
    <w:rsid w:val="00667EE1"/>
    <w:rsid w:val="00667FCC"/>
    <w:rsid w:val="0067075B"/>
    <w:rsid w:val="00670837"/>
    <w:rsid w:val="00670A93"/>
    <w:rsid w:val="006714DA"/>
    <w:rsid w:val="0067177F"/>
    <w:rsid w:val="00673020"/>
    <w:rsid w:val="0067308C"/>
    <w:rsid w:val="0067318D"/>
    <w:rsid w:val="006731C2"/>
    <w:rsid w:val="006731D0"/>
    <w:rsid w:val="006738FE"/>
    <w:rsid w:val="00673CCB"/>
    <w:rsid w:val="00673DE1"/>
    <w:rsid w:val="00673F3D"/>
    <w:rsid w:val="00674343"/>
    <w:rsid w:val="006743C5"/>
    <w:rsid w:val="006743E0"/>
    <w:rsid w:val="00674BA6"/>
    <w:rsid w:val="00675152"/>
    <w:rsid w:val="006752C8"/>
    <w:rsid w:val="0067535B"/>
    <w:rsid w:val="00675660"/>
    <w:rsid w:val="00675881"/>
    <w:rsid w:val="00676C27"/>
    <w:rsid w:val="00677AF6"/>
    <w:rsid w:val="006800BC"/>
    <w:rsid w:val="0068032C"/>
    <w:rsid w:val="006803BE"/>
    <w:rsid w:val="006804CB"/>
    <w:rsid w:val="00680A55"/>
    <w:rsid w:val="00681707"/>
    <w:rsid w:val="00681B1A"/>
    <w:rsid w:val="00681EC6"/>
    <w:rsid w:val="00682A24"/>
    <w:rsid w:val="00682F5A"/>
    <w:rsid w:val="006831E8"/>
    <w:rsid w:val="006839D9"/>
    <w:rsid w:val="00683A21"/>
    <w:rsid w:val="00683B4C"/>
    <w:rsid w:val="00684961"/>
    <w:rsid w:val="00685028"/>
    <w:rsid w:val="006852BC"/>
    <w:rsid w:val="00685600"/>
    <w:rsid w:val="00685B02"/>
    <w:rsid w:val="00685B8B"/>
    <w:rsid w:val="00686864"/>
    <w:rsid w:val="00686B3E"/>
    <w:rsid w:val="00686FA8"/>
    <w:rsid w:val="00687424"/>
    <w:rsid w:val="00687511"/>
    <w:rsid w:val="0068771B"/>
    <w:rsid w:val="00687B50"/>
    <w:rsid w:val="00687BC2"/>
    <w:rsid w:val="00687E34"/>
    <w:rsid w:val="00690392"/>
    <w:rsid w:val="00690492"/>
    <w:rsid w:val="00690BEB"/>
    <w:rsid w:val="00691872"/>
    <w:rsid w:val="00692166"/>
    <w:rsid w:val="006927B1"/>
    <w:rsid w:val="00693052"/>
    <w:rsid w:val="006931F9"/>
    <w:rsid w:val="0069332E"/>
    <w:rsid w:val="0069370C"/>
    <w:rsid w:val="00693F63"/>
    <w:rsid w:val="0069435F"/>
    <w:rsid w:val="00694722"/>
    <w:rsid w:val="006952A4"/>
    <w:rsid w:val="0069551B"/>
    <w:rsid w:val="00695741"/>
    <w:rsid w:val="00695982"/>
    <w:rsid w:val="0069617C"/>
    <w:rsid w:val="0069673E"/>
    <w:rsid w:val="0069694C"/>
    <w:rsid w:val="00696B16"/>
    <w:rsid w:val="00696B5C"/>
    <w:rsid w:val="00696BC1"/>
    <w:rsid w:val="00697461"/>
    <w:rsid w:val="00697926"/>
    <w:rsid w:val="00697A9C"/>
    <w:rsid w:val="006A04C2"/>
    <w:rsid w:val="006A0512"/>
    <w:rsid w:val="006A06BA"/>
    <w:rsid w:val="006A07F5"/>
    <w:rsid w:val="006A08C2"/>
    <w:rsid w:val="006A08CA"/>
    <w:rsid w:val="006A0DDF"/>
    <w:rsid w:val="006A1341"/>
    <w:rsid w:val="006A155E"/>
    <w:rsid w:val="006A1E77"/>
    <w:rsid w:val="006A2117"/>
    <w:rsid w:val="006A3177"/>
    <w:rsid w:val="006A3E3C"/>
    <w:rsid w:val="006A4371"/>
    <w:rsid w:val="006A46E2"/>
    <w:rsid w:val="006A47EA"/>
    <w:rsid w:val="006A49B2"/>
    <w:rsid w:val="006A4F7F"/>
    <w:rsid w:val="006A502C"/>
    <w:rsid w:val="006A520B"/>
    <w:rsid w:val="006A5D02"/>
    <w:rsid w:val="006A624B"/>
    <w:rsid w:val="006A689F"/>
    <w:rsid w:val="006A703B"/>
    <w:rsid w:val="006A72C9"/>
    <w:rsid w:val="006A762B"/>
    <w:rsid w:val="006A7B5F"/>
    <w:rsid w:val="006A7D30"/>
    <w:rsid w:val="006A7D45"/>
    <w:rsid w:val="006A7FAE"/>
    <w:rsid w:val="006B0B87"/>
    <w:rsid w:val="006B0F0E"/>
    <w:rsid w:val="006B129F"/>
    <w:rsid w:val="006B139A"/>
    <w:rsid w:val="006B151A"/>
    <w:rsid w:val="006B172C"/>
    <w:rsid w:val="006B1828"/>
    <w:rsid w:val="006B1D1C"/>
    <w:rsid w:val="006B2F16"/>
    <w:rsid w:val="006B36CB"/>
    <w:rsid w:val="006B38DB"/>
    <w:rsid w:val="006B3974"/>
    <w:rsid w:val="006B40A4"/>
    <w:rsid w:val="006B444C"/>
    <w:rsid w:val="006B4524"/>
    <w:rsid w:val="006B475D"/>
    <w:rsid w:val="006B50AF"/>
    <w:rsid w:val="006B50E4"/>
    <w:rsid w:val="006B5802"/>
    <w:rsid w:val="006B5E18"/>
    <w:rsid w:val="006B5E41"/>
    <w:rsid w:val="006B5EDE"/>
    <w:rsid w:val="006B60FB"/>
    <w:rsid w:val="006B62DB"/>
    <w:rsid w:val="006B654E"/>
    <w:rsid w:val="006B6657"/>
    <w:rsid w:val="006B6679"/>
    <w:rsid w:val="006B7215"/>
    <w:rsid w:val="006B758A"/>
    <w:rsid w:val="006B79A2"/>
    <w:rsid w:val="006B7AF3"/>
    <w:rsid w:val="006B7B35"/>
    <w:rsid w:val="006B7E3C"/>
    <w:rsid w:val="006C08C7"/>
    <w:rsid w:val="006C09A0"/>
    <w:rsid w:val="006C0AB3"/>
    <w:rsid w:val="006C16D3"/>
    <w:rsid w:val="006C1877"/>
    <w:rsid w:val="006C219A"/>
    <w:rsid w:val="006C22E0"/>
    <w:rsid w:val="006C26FA"/>
    <w:rsid w:val="006C2D21"/>
    <w:rsid w:val="006C2D67"/>
    <w:rsid w:val="006C2D69"/>
    <w:rsid w:val="006C380B"/>
    <w:rsid w:val="006C3AAE"/>
    <w:rsid w:val="006C3C85"/>
    <w:rsid w:val="006C42A4"/>
    <w:rsid w:val="006C4370"/>
    <w:rsid w:val="006C47FA"/>
    <w:rsid w:val="006C491F"/>
    <w:rsid w:val="006C496A"/>
    <w:rsid w:val="006C4D6E"/>
    <w:rsid w:val="006C5259"/>
    <w:rsid w:val="006C5E95"/>
    <w:rsid w:val="006C6118"/>
    <w:rsid w:val="006C6167"/>
    <w:rsid w:val="006C6D69"/>
    <w:rsid w:val="006C7285"/>
    <w:rsid w:val="006C7458"/>
    <w:rsid w:val="006C7F93"/>
    <w:rsid w:val="006D0017"/>
    <w:rsid w:val="006D0228"/>
    <w:rsid w:val="006D041E"/>
    <w:rsid w:val="006D0578"/>
    <w:rsid w:val="006D0B7B"/>
    <w:rsid w:val="006D0F15"/>
    <w:rsid w:val="006D17EB"/>
    <w:rsid w:val="006D1F11"/>
    <w:rsid w:val="006D21B6"/>
    <w:rsid w:val="006D26AE"/>
    <w:rsid w:val="006D2868"/>
    <w:rsid w:val="006D298E"/>
    <w:rsid w:val="006D2A11"/>
    <w:rsid w:val="006D2C4A"/>
    <w:rsid w:val="006D3189"/>
    <w:rsid w:val="006D34E7"/>
    <w:rsid w:val="006D3779"/>
    <w:rsid w:val="006D3C6D"/>
    <w:rsid w:val="006D3E6E"/>
    <w:rsid w:val="006D427F"/>
    <w:rsid w:val="006D52D4"/>
    <w:rsid w:val="006D6384"/>
    <w:rsid w:val="006D6950"/>
    <w:rsid w:val="006D6A7B"/>
    <w:rsid w:val="006D6BAA"/>
    <w:rsid w:val="006D734F"/>
    <w:rsid w:val="006E0416"/>
    <w:rsid w:val="006E051C"/>
    <w:rsid w:val="006E0547"/>
    <w:rsid w:val="006E0752"/>
    <w:rsid w:val="006E0A6E"/>
    <w:rsid w:val="006E0CA8"/>
    <w:rsid w:val="006E0FF2"/>
    <w:rsid w:val="006E159F"/>
    <w:rsid w:val="006E1DA0"/>
    <w:rsid w:val="006E1F3D"/>
    <w:rsid w:val="006E1FFC"/>
    <w:rsid w:val="006E308E"/>
    <w:rsid w:val="006E4636"/>
    <w:rsid w:val="006E4938"/>
    <w:rsid w:val="006E4B96"/>
    <w:rsid w:val="006E5547"/>
    <w:rsid w:val="006E5AB0"/>
    <w:rsid w:val="006E5BE4"/>
    <w:rsid w:val="006E5D4B"/>
    <w:rsid w:val="006E606E"/>
    <w:rsid w:val="006E6CC6"/>
    <w:rsid w:val="006E6D63"/>
    <w:rsid w:val="006E7746"/>
    <w:rsid w:val="006E7EE5"/>
    <w:rsid w:val="006F02CA"/>
    <w:rsid w:val="006F0B48"/>
    <w:rsid w:val="006F0D18"/>
    <w:rsid w:val="006F1A22"/>
    <w:rsid w:val="006F1C0D"/>
    <w:rsid w:val="006F1E04"/>
    <w:rsid w:val="006F20A1"/>
    <w:rsid w:val="006F2BC7"/>
    <w:rsid w:val="006F36C1"/>
    <w:rsid w:val="006F3AC9"/>
    <w:rsid w:val="006F4592"/>
    <w:rsid w:val="006F4AA7"/>
    <w:rsid w:val="006F4B0F"/>
    <w:rsid w:val="006F4CB8"/>
    <w:rsid w:val="006F5394"/>
    <w:rsid w:val="006F64C0"/>
    <w:rsid w:val="006F64FB"/>
    <w:rsid w:val="006F65B0"/>
    <w:rsid w:val="006F67A5"/>
    <w:rsid w:val="006F698E"/>
    <w:rsid w:val="006F6E39"/>
    <w:rsid w:val="006F708C"/>
    <w:rsid w:val="006F7D2F"/>
    <w:rsid w:val="00701256"/>
    <w:rsid w:val="007014BE"/>
    <w:rsid w:val="00701A09"/>
    <w:rsid w:val="007021F1"/>
    <w:rsid w:val="007022D5"/>
    <w:rsid w:val="00702FB5"/>
    <w:rsid w:val="007031C7"/>
    <w:rsid w:val="00703258"/>
    <w:rsid w:val="00703621"/>
    <w:rsid w:val="00704228"/>
    <w:rsid w:val="0070435B"/>
    <w:rsid w:val="00704405"/>
    <w:rsid w:val="00704A93"/>
    <w:rsid w:val="0070564C"/>
    <w:rsid w:val="00705CF2"/>
    <w:rsid w:val="00705DA0"/>
    <w:rsid w:val="00705E10"/>
    <w:rsid w:val="00707239"/>
    <w:rsid w:val="00707F3E"/>
    <w:rsid w:val="0071071F"/>
    <w:rsid w:val="007108FE"/>
    <w:rsid w:val="00710FB5"/>
    <w:rsid w:val="007111B4"/>
    <w:rsid w:val="00712099"/>
    <w:rsid w:val="007120CD"/>
    <w:rsid w:val="0071227C"/>
    <w:rsid w:val="00712326"/>
    <w:rsid w:val="007124E9"/>
    <w:rsid w:val="0071295C"/>
    <w:rsid w:val="00712A23"/>
    <w:rsid w:val="00712F72"/>
    <w:rsid w:val="00713B26"/>
    <w:rsid w:val="00713DCA"/>
    <w:rsid w:val="0071442E"/>
    <w:rsid w:val="00714936"/>
    <w:rsid w:val="00714B3F"/>
    <w:rsid w:val="00714C89"/>
    <w:rsid w:val="00715CBB"/>
    <w:rsid w:val="007163D9"/>
    <w:rsid w:val="00716FD6"/>
    <w:rsid w:val="007174AA"/>
    <w:rsid w:val="00717886"/>
    <w:rsid w:val="007179B2"/>
    <w:rsid w:val="007204AF"/>
    <w:rsid w:val="00720944"/>
    <w:rsid w:val="00720DD2"/>
    <w:rsid w:val="007210DD"/>
    <w:rsid w:val="0072186F"/>
    <w:rsid w:val="00721FB7"/>
    <w:rsid w:val="007227DB"/>
    <w:rsid w:val="00722CC2"/>
    <w:rsid w:val="007236D1"/>
    <w:rsid w:val="00723726"/>
    <w:rsid w:val="007238CC"/>
    <w:rsid w:val="00723B82"/>
    <w:rsid w:val="00723DAA"/>
    <w:rsid w:val="007244BE"/>
    <w:rsid w:val="00724AB7"/>
    <w:rsid w:val="00724BAF"/>
    <w:rsid w:val="00724C21"/>
    <w:rsid w:val="00724D96"/>
    <w:rsid w:val="0072554D"/>
    <w:rsid w:val="00725561"/>
    <w:rsid w:val="00725B6E"/>
    <w:rsid w:val="0072688C"/>
    <w:rsid w:val="007268EE"/>
    <w:rsid w:val="00726A43"/>
    <w:rsid w:val="00726B01"/>
    <w:rsid w:val="007279B6"/>
    <w:rsid w:val="00727D7C"/>
    <w:rsid w:val="00727D8C"/>
    <w:rsid w:val="00727FAA"/>
    <w:rsid w:val="0073012B"/>
    <w:rsid w:val="00730342"/>
    <w:rsid w:val="00730C0C"/>
    <w:rsid w:val="00730EB0"/>
    <w:rsid w:val="00730F96"/>
    <w:rsid w:val="00731214"/>
    <w:rsid w:val="00731297"/>
    <w:rsid w:val="0073172A"/>
    <w:rsid w:val="00731A61"/>
    <w:rsid w:val="007320AA"/>
    <w:rsid w:val="0073236E"/>
    <w:rsid w:val="0073272F"/>
    <w:rsid w:val="0073290A"/>
    <w:rsid w:val="00732B21"/>
    <w:rsid w:val="00732C5C"/>
    <w:rsid w:val="007332AD"/>
    <w:rsid w:val="0073355D"/>
    <w:rsid w:val="007338BA"/>
    <w:rsid w:val="007342F3"/>
    <w:rsid w:val="00734420"/>
    <w:rsid w:val="007349D6"/>
    <w:rsid w:val="00734E3A"/>
    <w:rsid w:val="00734E7A"/>
    <w:rsid w:val="00735362"/>
    <w:rsid w:val="007358F1"/>
    <w:rsid w:val="00735BC7"/>
    <w:rsid w:val="00736404"/>
    <w:rsid w:val="0073699E"/>
    <w:rsid w:val="00736ADE"/>
    <w:rsid w:val="00736C66"/>
    <w:rsid w:val="00736E74"/>
    <w:rsid w:val="00736E8E"/>
    <w:rsid w:val="00736EF1"/>
    <w:rsid w:val="0073715E"/>
    <w:rsid w:val="00740539"/>
    <w:rsid w:val="00741567"/>
    <w:rsid w:val="0074195D"/>
    <w:rsid w:val="007425F2"/>
    <w:rsid w:val="00742747"/>
    <w:rsid w:val="00742B5C"/>
    <w:rsid w:val="00743D08"/>
    <w:rsid w:val="00744096"/>
    <w:rsid w:val="0074500A"/>
    <w:rsid w:val="0074552C"/>
    <w:rsid w:val="0074575E"/>
    <w:rsid w:val="007462C5"/>
    <w:rsid w:val="007466CA"/>
    <w:rsid w:val="007466CF"/>
    <w:rsid w:val="00746CD6"/>
    <w:rsid w:val="007470FB"/>
    <w:rsid w:val="00747363"/>
    <w:rsid w:val="00747A76"/>
    <w:rsid w:val="00747F1D"/>
    <w:rsid w:val="00750229"/>
    <w:rsid w:val="007508F7"/>
    <w:rsid w:val="007510A6"/>
    <w:rsid w:val="007512BF"/>
    <w:rsid w:val="00751382"/>
    <w:rsid w:val="00751661"/>
    <w:rsid w:val="00752019"/>
    <w:rsid w:val="0075211A"/>
    <w:rsid w:val="0075219E"/>
    <w:rsid w:val="0075278D"/>
    <w:rsid w:val="007528CB"/>
    <w:rsid w:val="007534E7"/>
    <w:rsid w:val="00753FDF"/>
    <w:rsid w:val="0075400F"/>
    <w:rsid w:val="00754016"/>
    <w:rsid w:val="007545B5"/>
    <w:rsid w:val="007546FC"/>
    <w:rsid w:val="00754CE2"/>
    <w:rsid w:val="00754DFA"/>
    <w:rsid w:val="007551B7"/>
    <w:rsid w:val="00755A58"/>
    <w:rsid w:val="00755D3A"/>
    <w:rsid w:val="00755E57"/>
    <w:rsid w:val="007568FE"/>
    <w:rsid w:val="00756C31"/>
    <w:rsid w:val="0075733D"/>
    <w:rsid w:val="00757814"/>
    <w:rsid w:val="0075790A"/>
    <w:rsid w:val="0075793E"/>
    <w:rsid w:val="00757D7B"/>
    <w:rsid w:val="00757D81"/>
    <w:rsid w:val="00757DE3"/>
    <w:rsid w:val="00757EB3"/>
    <w:rsid w:val="007609DE"/>
    <w:rsid w:val="00761B11"/>
    <w:rsid w:val="00761C9C"/>
    <w:rsid w:val="00761CB0"/>
    <w:rsid w:val="00762131"/>
    <w:rsid w:val="00762228"/>
    <w:rsid w:val="00762753"/>
    <w:rsid w:val="00762AFF"/>
    <w:rsid w:val="00762F21"/>
    <w:rsid w:val="007630DE"/>
    <w:rsid w:val="007638DB"/>
    <w:rsid w:val="00763F4C"/>
    <w:rsid w:val="00764469"/>
    <w:rsid w:val="0076476B"/>
    <w:rsid w:val="00764A5C"/>
    <w:rsid w:val="00764DDF"/>
    <w:rsid w:val="0076707E"/>
    <w:rsid w:val="007675CB"/>
    <w:rsid w:val="00770245"/>
    <w:rsid w:val="007702AD"/>
    <w:rsid w:val="007707D6"/>
    <w:rsid w:val="00770842"/>
    <w:rsid w:val="00770C22"/>
    <w:rsid w:val="00770C82"/>
    <w:rsid w:val="007716D2"/>
    <w:rsid w:val="0077201E"/>
    <w:rsid w:val="007727BB"/>
    <w:rsid w:val="00773094"/>
    <w:rsid w:val="00773282"/>
    <w:rsid w:val="00773923"/>
    <w:rsid w:val="00773FFE"/>
    <w:rsid w:val="00774029"/>
    <w:rsid w:val="00774423"/>
    <w:rsid w:val="00774A52"/>
    <w:rsid w:val="00774F6C"/>
    <w:rsid w:val="007753EA"/>
    <w:rsid w:val="0077583E"/>
    <w:rsid w:val="00775FEC"/>
    <w:rsid w:val="00776689"/>
    <w:rsid w:val="007767AC"/>
    <w:rsid w:val="007769B5"/>
    <w:rsid w:val="00776C2D"/>
    <w:rsid w:val="00776C55"/>
    <w:rsid w:val="007770DC"/>
    <w:rsid w:val="0077718F"/>
    <w:rsid w:val="007771D9"/>
    <w:rsid w:val="007771E9"/>
    <w:rsid w:val="007778AA"/>
    <w:rsid w:val="00777B7B"/>
    <w:rsid w:val="00777C06"/>
    <w:rsid w:val="00777E46"/>
    <w:rsid w:val="0078016C"/>
    <w:rsid w:val="0078045E"/>
    <w:rsid w:val="00780853"/>
    <w:rsid w:val="00780ADF"/>
    <w:rsid w:val="00780CF9"/>
    <w:rsid w:val="0078125F"/>
    <w:rsid w:val="0078149A"/>
    <w:rsid w:val="00781560"/>
    <w:rsid w:val="007818D4"/>
    <w:rsid w:val="00781990"/>
    <w:rsid w:val="00781E6C"/>
    <w:rsid w:val="007821D9"/>
    <w:rsid w:val="00782388"/>
    <w:rsid w:val="00783D15"/>
    <w:rsid w:val="007842C7"/>
    <w:rsid w:val="007848F6"/>
    <w:rsid w:val="00784D9B"/>
    <w:rsid w:val="0078503E"/>
    <w:rsid w:val="007851BD"/>
    <w:rsid w:val="00785A0B"/>
    <w:rsid w:val="00785AC2"/>
    <w:rsid w:val="00785EAE"/>
    <w:rsid w:val="00786951"/>
    <w:rsid w:val="00786DC7"/>
    <w:rsid w:val="007871AD"/>
    <w:rsid w:val="00787D98"/>
    <w:rsid w:val="00790661"/>
    <w:rsid w:val="007906EC"/>
    <w:rsid w:val="00790856"/>
    <w:rsid w:val="00790973"/>
    <w:rsid w:val="007915F9"/>
    <w:rsid w:val="00791624"/>
    <w:rsid w:val="00792190"/>
    <w:rsid w:val="0079285C"/>
    <w:rsid w:val="007928AE"/>
    <w:rsid w:val="00792BD6"/>
    <w:rsid w:val="007933E2"/>
    <w:rsid w:val="0079372E"/>
    <w:rsid w:val="00793828"/>
    <w:rsid w:val="007940D8"/>
    <w:rsid w:val="0079466B"/>
    <w:rsid w:val="00794E1B"/>
    <w:rsid w:val="0079511C"/>
    <w:rsid w:val="00795236"/>
    <w:rsid w:val="007955A9"/>
    <w:rsid w:val="0079580F"/>
    <w:rsid w:val="007959AB"/>
    <w:rsid w:val="00795BA2"/>
    <w:rsid w:val="00795BFD"/>
    <w:rsid w:val="00796198"/>
    <w:rsid w:val="0079656D"/>
    <w:rsid w:val="00797746"/>
    <w:rsid w:val="00797B3A"/>
    <w:rsid w:val="00797E62"/>
    <w:rsid w:val="007A0B2E"/>
    <w:rsid w:val="007A0BB6"/>
    <w:rsid w:val="007A0DF0"/>
    <w:rsid w:val="007A0FD8"/>
    <w:rsid w:val="007A11AA"/>
    <w:rsid w:val="007A12AE"/>
    <w:rsid w:val="007A19AB"/>
    <w:rsid w:val="007A21D0"/>
    <w:rsid w:val="007A3D2D"/>
    <w:rsid w:val="007A43C4"/>
    <w:rsid w:val="007A4885"/>
    <w:rsid w:val="007A49F9"/>
    <w:rsid w:val="007A4A3B"/>
    <w:rsid w:val="007A4EE1"/>
    <w:rsid w:val="007A4EEE"/>
    <w:rsid w:val="007A6B4B"/>
    <w:rsid w:val="007A76C8"/>
    <w:rsid w:val="007A79E2"/>
    <w:rsid w:val="007A7AB0"/>
    <w:rsid w:val="007A7AE6"/>
    <w:rsid w:val="007A7C66"/>
    <w:rsid w:val="007A7D31"/>
    <w:rsid w:val="007A7F54"/>
    <w:rsid w:val="007B00A6"/>
    <w:rsid w:val="007B0181"/>
    <w:rsid w:val="007B026B"/>
    <w:rsid w:val="007B044A"/>
    <w:rsid w:val="007B1D78"/>
    <w:rsid w:val="007B1EB3"/>
    <w:rsid w:val="007B21EF"/>
    <w:rsid w:val="007B22A5"/>
    <w:rsid w:val="007B2A8C"/>
    <w:rsid w:val="007B2AA0"/>
    <w:rsid w:val="007B2E55"/>
    <w:rsid w:val="007B3A94"/>
    <w:rsid w:val="007B4119"/>
    <w:rsid w:val="007B4727"/>
    <w:rsid w:val="007B4737"/>
    <w:rsid w:val="007B4BB4"/>
    <w:rsid w:val="007B4D3B"/>
    <w:rsid w:val="007B4D4B"/>
    <w:rsid w:val="007B5590"/>
    <w:rsid w:val="007B5E23"/>
    <w:rsid w:val="007B6470"/>
    <w:rsid w:val="007B67E5"/>
    <w:rsid w:val="007B6B04"/>
    <w:rsid w:val="007B7476"/>
    <w:rsid w:val="007B78C9"/>
    <w:rsid w:val="007B7C48"/>
    <w:rsid w:val="007B7D34"/>
    <w:rsid w:val="007C13E6"/>
    <w:rsid w:val="007C16EA"/>
    <w:rsid w:val="007C1A5D"/>
    <w:rsid w:val="007C1AB2"/>
    <w:rsid w:val="007C1D6F"/>
    <w:rsid w:val="007C2109"/>
    <w:rsid w:val="007C23BE"/>
    <w:rsid w:val="007C263E"/>
    <w:rsid w:val="007C2704"/>
    <w:rsid w:val="007C2D23"/>
    <w:rsid w:val="007C2E78"/>
    <w:rsid w:val="007C2F08"/>
    <w:rsid w:val="007C3269"/>
    <w:rsid w:val="007C327F"/>
    <w:rsid w:val="007C368C"/>
    <w:rsid w:val="007C3F46"/>
    <w:rsid w:val="007C4156"/>
    <w:rsid w:val="007C448C"/>
    <w:rsid w:val="007C4B9B"/>
    <w:rsid w:val="007C52DE"/>
    <w:rsid w:val="007C5489"/>
    <w:rsid w:val="007C5B7F"/>
    <w:rsid w:val="007C5C06"/>
    <w:rsid w:val="007C5FE5"/>
    <w:rsid w:val="007C6029"/>
    <w:rsid w:val="007C6532"/>
    <w:rsid w:val="007C685F"/>
    <w:rsid w:val="007C6C3C"/>
    <w:rsid w:val="007C763F"/>
    <w:rsid w:val="007C78DC"/>
    <w:rsid w:val="007D0471"/>
    <w:rsid w:val="007D08BF"/>
    <w:rsid w:val="007D0C52"/>
    <w:rsid w:val="007D0DB1"/>
    <w:rsid w:val="007D1236"/>
    <w:rsid w:val="007D2704"/>
    <w:rsid w:val="007D29DC"/>
    <w:rsid w:val="007D353D"/>
    <w:rsid w:val="007D3B2E"/>
    <w:rsid w:val="007D4111"/>
    <w:rsid w:val="007D4257"/>
    <w:rsid w:val="007D43DC"/>
    <w:rsid w:val="007D44FE"/>
    <w:rsid w:val="007D4533"/>
    <w:rsid w:val="007D4A47"/>
    <w:rsid w:val="007D4DCA"/>
    <w:rsid w:val="007D5004"/>
    <w:rsid w:val="007D5095"/>
    <w:rsid w:val="007D5164"/>
    <w:rsid w:val="007D5928"/>
    <w:rsid w:val="007D646C"/>
    <w:rsid w:val="007D701E"/>
    <w:rsid w:val="007D71FD"/>
    <w:rsid w:val="007D74FC"/>
    <w:rsid w:val="007D791F"/>
    <w:rsid w:val="007E104E"/>
    <w:rsid w:val="007E196E"/>
    <w:rsid w:val="007E1E70"/>
    <w:rsid w:val="007E1EFA"/>
    <w:rsid w:val="007E2724"/>
    <w:rsid w:val="007E2888"/>
    <w:rsid w:val="007E2C01"/>
    <w:rsid w:val="007E2E3F"/>
    <w:rsid w:val="007E2FAE"/>
    <w:rsid w:val="007E30EB"/>
    <w:rsid w:val="007E3FE5"/>
    <w:rsid w:val="007E43D5"/>
    <w:rsid w:val="007E4677"/>
    <w:rsid w:val="007E48FF"/>
    <w:rsid w:val="007E5035"/>
    <w:rsid w:val="007E50E1"/>
    <w:rsid w:val="007E5590"/>
    <w:rsid w:val="007E5594"/>
    <w:rsid w:val="007E61B9"/>
    <w:rsid w:val="007E61F4"/>
    <w:rsid w:val="007E6564"/>
    <w:rsid w:val="007E6B9F"/>
    <w:rsid w:val="007E7146"/>
    <w:rsid w:val="007E71FC"/>
    <w:rsid w:val="007F005B"/>
    <w:rsid w:val="007F05A3"/>
    <w:rsid w:val="007F0767"/>
    <w:rsid w:val="007F0AFB"/>
    <w:rsid w:val="007F0D93"/>
    <w:rsid w:val="007F1535"/>
    <w:rsid w:val="007F15C1"/>
    <w:rsid w:val="007F1C7A"/>
    <w:rsid w:val="007F1F56"/>
    <w:rsid w:val="007F20C0"/>
    <w:rsid w:val="007F2469"/>
    <w:rsid w:val="007F27F9"/>
    <w:rsid w:val="007F2A80"/>
    <w:rsid w:val="007F35CA"/>
    <w:rsid w:val="007F35D6"/>
    <w:rsid w:val="007F371B"/>
    <w:rsid w:val="007F3F54"/>
    <w:rsid w:val="007F40BA"/>
    <w:rsid w:val="007F49B6"/>
    <w:rsid w:val="007F4C4B"/>
    <w:rsid w:val="007F4CE1"/>
    <w:rsid w:val="007F57CA"/>
    <w:rsid w:val="007F5C75"/>
    <w:rsid w:val="007F61D2"/>
    <w:rsid w:val="007F6882"/>
    <w:rsid w:val="007F6A11"/>
    <w:rsid w:val="007F6A7D"/>
    <w:rsid w:val="007F6C5A"/>
    <w:rsid w:val="007F72E4"/>
    <w:rsid w:val="007F7494"/>
    <w:rsid w:val="007F75EF"/>
    <w:rsid w:val="00800B53"/>
    <w:rsid w:val="008011FB"/>
    <w:rsid w:val="00802148"/>
    <w:rsid w:val="00802421"/>
    <w:rsid w:val="00802861"/>
    <w:rsid w:val="00802965"/>
    <w:rsid w:val="00803109"/>
    <w:rsid w:val="00803351"/>
    <w:rsid w:val="00803534"/>
    <w:rsid w:val="0080357A"/>
    <w:rsid w:val="0080425F"/>
    <w:rsid w:val="00804626"/>
    <w:rsid w:val="00804869"/>
    <w:rsid w:val="00804B00"/>
    <w:rsid w:val="0080670C"/>
    <w:rsid w:val="00806B77"/>
    <w:rsid w:val="00806B94"/>
    <w:rsid w:val="00806D00"/>
    <w:rsid w:val="00806D1E"/>
    <w:rsid w:val="008077D6"/>
    <w:rsid w:val="00807943"/>
    <w:rsid w:val="0081005C"/>
    <w:rsid w:val="008104FE"/>
    <w:rsid w:val="0081076C"/>
    <w:rsid w:val="00810CB0"/>
    <w:rsid w:val="00810D6E"/>
    <w:rsid w:val="00810F97"/>
    <w:rsid w:val="008112FF"/>
    <w:rsid w:val="00811891"/>
    <w:rsid w:val="00811C18"/>
    <w:rsid w:val="00811CC2"/>
    <w:rsid w:val="00811DFB"/>
    <w:rsid w:val="00812782"/>
    <w:rsid w:val="008129F1"/>
    <w:rsid w:val="00812A00"/>
    <w:rsid w:val="00812AD3"/>
    <w:rsid w:val="00812AFD"/>
    <w:rsid w:val="00812CC7"/>
    <w:rsid w:val="00813070"/>
    <w:rsid w:val="008135C2"/>
    <w:rsid w:val="0081396B"/>
    <w:rsid w:val="00813E2C"/>
    <w:rsid w:val="00814DAF"/>
    <w:rsid w:val="00815004"/>
    <w:rsid w:val="00815A6E"/>
    <w:rsid w:val="00815D1A"/>
    <w:rsid w:val="0081628B"/>
    <w:rsid w:val="00816873"/>
    <w:rsid w:val="00816AD3"/>
    <w:rsid w:val="00816BFC"/>
    <w:rsid w:val="00816F95"/>
    <w:rsid w:val="00816FF0"/>
    <w:rsid w:val="008176F1"/>
    <w:rsid w:val="008178AF"/>
    <w:rsid w:val="00817B1C"/>
    <w:rsid w:val="00817EF6"/>
    <w:rsid w:val="00820001"/>
    <w:rsid w:val="00820374"/>
    <w:rsid w:val="0082066C"/>
    <w:rsid w:val="0082066E"/>
    <w:rsid w:val="00820E78"/>
    <w:rsid w:val="00821FE6"/>
    <w:rsid w:val="008223BE"/>
    <w:rsid w:val="00822589"/>
    <w:rsid w:val="008227DD"/>
    <w:rsid w:val="00822C43"/>
    <w:rsid w:val="00822F5C"/>
    <w:rsid w:val="008236A9"/>
    <w:rsid w:val="008237A2"/>
    <w:rsid w:val="00823B2D"/>
    <w:rsid w:val="00824538"/>
    <w:rsid w:val="008246BC"/>
    <w:rsid w:val="00825806"/>
    <w:rsid w:val="00826170"/>
    <w:rsid w:val="008276E7"/>
    <w:rsid w:val="008277E2"/>
    <w:rsid w:val="00827C47"/>
    <w:rsid w:val="00830613"/>
    <w:rsid w:val="008307F6"/>
    <w:rsid w:val="00830C87"/>
    <w:rsid w:val="00830E64"/>
    <w:rsid w:val="008313B4"/>
    <w:rsid w:val="00831CD2"/>
    <w:rsid w:val="00831E88"/>
    <w:rsid w:val="00831EF5"/>
    <w:rsid w:val="00831F53"/>
    <w:rsid w:val="00831FC3"/>
    <w:rsid w:val="008321DA"/>
    <w:rsid w:val="00832ADC"/>
    <w:rsid w:val="00833134"/>
    <w:rsid w:val="00833805"/>
    <w:rsid w:val="008339E8"/>
    <w:rsid w:val="00834343"/>
    <w:rsid w:val="00834989"/>
    <w:rsid w:val="00834B62"/>
    <w:rsid w:val="00834B97"/>
    <w:rsid w:val="008354FC"/>
    <w:rsid w:val="008357FD"/>
    <w:rsid w:val="00835836"/>
    <w:rsid w:val="00835873"/>
    <w:rsid w:val="00836585"/>
    <w:rsid w:val="00836621"/>
    <w:rsid w:val="00836C65"/>
    <w:rsid w:val="0083763B"/>
    <w:rsid w:val="00837889"/>
    <w:rsid w:val="008378F6"/>
    <w:rsid w:val="00837F9C"/>
    <w:rsid w:val="00840464"/>
    <w:rsid w:val="0084056D"/>
    <w:rsid w:val="00841316"/>
    <w:rsid w:val="00841571"/>
    <w:rsid w:val="00841ACA"/>
    <w:rsid w:val="008424DD"/>
    <w:rsid w:val="008427D9"/>
    <w:rsid w:val="00842AAE"/>
    <w:rsid w:val="00842F1A"/>
    <w:rsid w:val="00842FA8"/>
    <w:rsid w:val="008438C8"/>
    <w:rsid w:val="008439EE"/>
    <w:rsid w:val="00843ABF"/>
    <w:rsid w:val="00843DE3"/>
    <w:rsid w:val="00843EB6"/>
    <w:rsid w:val="00844017"/>
    <w:rsid w:val="00844142"/>
    <w:rsid w:val="00844FF9"/>
    <w:rsid w:val="008451A9"/>
    <w:rsid w:val="00845CD7"/>
    <w:rsid w:val="0084612C"/>
    <w:rsid w:val="00846B15"/>
    <w:rsid w:val="00846C2A"/>
    <w:rsid w:val="00847366"/>
    <w:rsid w:val="008500D0"/>
    <w:rsid w:val="008505A2"/>
    <w:rsid w:val="00850759"/>
    <w:rsid w:val="008508F3"/>
    <w:rsid w:val="00850B1F"/>
    <w:rsid w:val="00850B2C"/>
    <w:rsid w:val="008510D9"/>
    <w:rsid w:val="00851A50"/>
    <w:rsid w:val="00851CA8"/>
    <w:rsid w:val="00852151"/>
    <w:rsid w:val="00852276"/>
    <w:rsid w:val="0085251C"/>
    <w:rsid w:val="00852542"/>
    <w:rsid w:val="008532EC"/>
    <w:rsid w:val="0085354C"/>
    <w:rsid w:val="008537B8"/>
    <w:rsid w:val="00853A92"/>
    <w:rsid w:val="00854369"/>
    <w:rsid w:val="008549F8"/>
    <w:rsid w:val="00854C08"/>
    <w:rsid w:val="00854F00"/>
    <w:rsid w:val="0085504E"/>
    <w:rsid w:val="00855E6D"/>
    <w:rsid w:val="00856369"/>
    <w:rsid w:val="008563FE"/>
    <w:rsid w:val="00856877"/>
    <w:rsid w:val="00856A2E"/>
    <w:rsid w:val="0085716E"/>
    <w:rsid w:val="00857EF9"/>
    <w:rsid w:val="00860780"/>
    <w:rsid w:val="00860DA6"/>
    <w:rsid w:val="00861700"/>
    <w:rsid w:val="00862E69"/>
    <w:rsid w:val="00862F1D"/>
    <w:rsid w:val="008643AC"/>
    <w:rsid w:val="00864568"/>
    <w:rsid w:val="00864640"/>
    <w:rsid w:val="0086493F"/>
    <w:rsid w:val="00865B3B"/>
    <w:rsid w:val="00865CF2"/>
    <w:rsid w:val="00865E3E"/>
    <w:rsid w:val="0086617D"/>
    <w:rsid w:val="0086643D"/>
    <w:rsid w:val="00866895"/>
    <w:rsid w:val="00866977"/>
    <w:rsid w:val="00866B0B"/>
    <w:rsid w:val="00867336"/>
    <w:rsid w:val="00867820"/>
    <w:rsid w:val="00867B2A"/>
    <w:rsid w:val="00867B6B"/>
    <w:rsid w:val="00867E4D"/>
    <w:rsid w:val="00870087"/>
    <w:rsid w:val="0087017B"/>
    <w:rsid w:val="0087069B"/>
    <w:rsid w:val="00870869"/>
    <w:rsid w:val="00870959"/>
    <w:rsid w:val="008713F0"/>
    <w:rsid w:val="00871B67"/>
    <w:rsid w:val="00871D34"/>
    <w:rsid w:val="00871EAD"/>
    <w:rsid w:val="0087235F"/>
    <w:rsid w:val="00872B57"/>
    <w:rsid w:val="008731F2"/>
    <w:rsid w:val="0087326C"/>
    <w:rsid w:val="008737B1"/>
    <w:rsid w:val="00874093"/>
    <w:rsid w:val="008747ED"/>
    <w:rsid w:val="008748DE"/>
    <w:rsid w:val="0087533E"/>
    <w:rsid w:val="00875B1B"/>
    <w:rsid w:val="00875DA5"/>
    <w:rsid w:val="00876087"/>
    <w:rsid w:val="0087630B"/>
    <w:rsid w:val="00876515"/>
    <w:rsid w:val="00876ACA"/>
    <w:rsid w:val="00876E55"/>
    <w:rsid w:val="00877108"/>
    <w:rsid w:val="008779FB"/>
    <w:rsid w:val="00880158"/>
    <w:rsid w:val="008802DD"/>
    <w:rsid w:val="008802FA"/>
    <w:rsid w:val="0088059C"/>
    <w:rsid w:val="00880953"/>
    <w:rsid w:val="00880CFF"/>
    <w:rsid w:val="008810E9"/>
    <w:rsid w:val="0088119F"/>
    <w:rsid w:val="008812DB"/>
    <w:rsid w:val="00881A02"/>
    <w:rsid w:val="00881B2D"/>
    <w:rsid w:val="00882199"/>
    <w:rsid w:val="0088226B"/>
    <w:rsid w:val="00883318"/>
    <w:rsid w:val="0088350B"/>
    <w:rsid w:val="00883766"/>
    <w:rsid w:val="00883800"/>
    <w:rsid w:val="0088391F"/>
    <w:rsid w:val="00883A68"/>
    <w:rsid w:val="00883A8F"/>
    <w:rsid w:val="00883D0D"/>
    <w:rsid w:val="0088451E"/>
    <w:rsid w:val="00884F6F"/>
    <w:rsid w:val="00885322"/>
    <w:rsid w:val="0088576A"/>
    <w:rsid w:val="00885F7B"/>
    <w:rsid w:val="008863F4"/>
    <w:rsid w:val="00886558"/>
    <w:rsid w:val="00886C07"/>
    <w:rsid w:val="00886C99"/>
    <w:rsid w:val="00886CED"/>
    <w:rsid w:val="00887010"/>
    <w:rsid w:val="008870E8"/>
    <w:rsid w:val="008871B6"/>
    <w:rsid w:val="008874BC"/>
    <w:rsid w:val="00887904"/>
    <w:rsid w:val="00890011"/>
    <w:rsid w:val="0089026D"/>
    <w:rsid w:val="0089086B"/>
    <w:rsid w:val="00890AC3"/>
    <w:rsid w:val="00890D9C"/>
    <w:rsid w:val="00891D45"/>
    <w:rsid w:val="00892984"/>
    <w:rsid w:val="00892C64"/>
    <w:rsid w:val="0089366E"/>
    <w:rsid w:val="00893D2C"/>
    <w:rsid w:val="008944A0"/>
    <w:rsid w:val="00894942"/>
    <w:rsid w:val="00894BED"/>
    <w:rsid w:val="00894C61"/>
    <w:rsid w:val="0089530B"/>
    <w:rsid w:val="00896949"/>
    <w:rsid w:val="00896964"/>
    <w:rsid w:val="00896AC5"/>
    <w:rsid w:val="00896C4C"/>
    <w:rsid w:val="00896F18"/>
    <w:rsid w:val="0089741D"/>
    <w:rsid w:val="008975CD"/>
    <w:rsid w:val="00897602"/>
    <w:rsid w:val="0089781D"/>
    <w:rsid w:val="00897ABB"/>
    <w:rsid w:val="00897D15"/>
    <w:rsid w:val="008A00F8"/>
    <w:rsid w:val="008A078E"/>
    <w:rsid w:val="008A0F17"/>
    <w:rsid w:val="008A12B3"/>
    <w:rsid w:val="008A20EF"/>
    <w:rsid w:val="008A242D"/>
    <w:rsid w:val="008A3C26"/>
    <w:rsid w:val="008A4896"/>
    <w:rsid w:val="008A4AB6"/>
    <w:rsid w:val="008A56D8"/>
    <w:rsid w:val="008A59D5"/>
    <w:rsid w:val="008A5A5B"/>
    <w:rsid w:val="008A5E00"/>
    <w:rsid w:val="008A5FB3"/>
    <w:rsid w:val="008A6C56"/>
    <w:rsid w:val="008B0B5E"/>
    <w:rsid w:val="008B0C5D"/>
    <w:rsid w:val="008B0C8A"/>
    <w:rsid w:val="008B142F"/>
    <w:rsid w:val="008B1A7C"/>
    <w:rsid w:val="008B1DE0"/>
    <w:rsid w:val="008B210D"/>
    <w:rsid w:val="008B2F06"/>
    <w:rsid w:val="008B31BB"/>
    <w:rsid w:val="008B3316"/>
    <w:rsid w:val="008B3C2D"/>
    <w:rsid w:val="008B442F"/>
    <w:rsid w:val="008B4A02"/>
    <w:rsid w:val="008B5522"/>
    <w:rsid w:val="008B55A1"/>
    <w:rsid w:val="008B56AB"/>
    <w:rsid w:val="008B57A9"/>
    <w:rsid w:val="008B5C61"/>
    <w:rsid w:val="008B5DE1"/>
    <w:rsid w:val="008B5EF4"/>
    <w:rsid w:val="008B6062"/>
    <w:rsid w:val="008B6BA3"/>
    <w:rsid w:val="008B6C73"/>
    <w:rsid w:val="008B6F1A"/>
    <w:rsid w:val="008B7699"/>
    <w:rsid w:val="008B7C49"/>
    <w:rsid w:val="008C0299"/>
    <w:rsid w:val="008C03CD"/>
    <w:rsid w:val="008C05D2"/>
    <w:rsid w:val="008C094B"/>
    <w:rsid w:val="008C0D16"/>
    <w:rsid w:val="008C0ECC"/>
    <w:rsid w:val="008C13C6"/>
    <w:rsid w:val="008C1BD3"/>
    <w:rsid w:val="008C25BF"/>
    <w:rsid w:val="008C2961"/>
    <w:rsid w:val="008C2AC2"/>
    <w:rsid w:val="008C2CD1"/>
    <w:rsid w:val="008C2D99"/>
    <w:rsid w:val="008C362F"/>
    <w:rsid w:val="008C394B"/>
    <w:rsid w:val="008C40CD"/>
    <w:rsid w:val="008C4624"/>
    <w:rsid w:val="008C4D0C"/>
    <w:rsid w:val="008C513F"/>
    <w:rsid w:val="008C53D0"/>
    <w:rsid w:val="008C5459"/>
    <w:rsid w:val="008C55E6"/>
    <w:rsid w:val="008C55E8"/>
    <w:rsid w:val="008C55F0"/>
    <w:rsid w:val="008C5D3F"/>
    <w:rsid w:val="008C7827"/>
    <w:rsid w:val="008C7EA7"/>
    <w:rsid w:val="008C7EE0"/>
    <w:rsid w:val="008D05CD"/>
    <w:rsid w:val="008D120D"/>
    <w:rsid w:val="008D15DD"/>
    <w:rsid w:val="008D2638"/>
    <w:rsid w:val="008D2817"/>
    <w:rsid w:val="008D2C31"/>
    <w:rsid w:val="008D3496"/>
    <w:rsid w:val="008D3577"/>
    <w:rsid w:val="008D3860"/>
    <w:rsid w:val="008D3904"/>
    <w:rsid w:val="008D46EC"/>
    <w:rsid w:val="008D548D"/>
    <w:rsid w:val="008D549A"/>
    <w:rsid w:val="008D57F7"/>
    <w:rsid w:val="008D619B"/>
    <w:rsid w:val="008D666A"/>
    <w:rsid w:val="008D69CD"/>
    <w:rsid w:val="008D6ACE"/>
    <w:rsid w:val="008D6D38"/>
    <w:rsid w:val="008D6D77"/>
    <w:rsid w:val="008D6F3F"/>
    <w:rsid w:val="008D7352"/>
    <w:rsid w:val="008D74FD"/>
    <w:rsid w:val="008D752A"/>
    <w:rsid w:val="008D7F1C"/>
    <w:rsid w:val="008D7F23"/>
    <w:rsid w:val="008E0032"/>
    <w:rsid w:val="008E04ED"/>
    <w:rsid w:val="008E050C"/>
    <w:rsid w:val="008E0A62"/>
    <w:rsid w:val="008E0B4F"/>
    <w:rsid w:val="008E0C0E"/>
    <w:rsid w:val="008E1286"/>
    <w:rsid w:val="008E173A"/>
    <w:rsid w:val="008E23B4"/>
    <w:rsid w:val="008E25C2"/>
    <w:rsid w:val="008E2E3F"/>
    <w:rsid w:val="008E3517"/>
    <w:rsid w:val="008E479B"/>
    <w:rsid w:val="008E4929"/>
    <w:rsid w:val="008E494B"/>
    <w:rsid w:val="008E4D91"/>
    <w:rsid w:val="008E569A"/>
    <w:rsid w:val="008E612E"/>
    <w:rsid w:val="008E691A"/>
    <w:rsid w:val="008E6A66"/>
    <w:rsid w:val="008E6B6D"/>
    <w:rsid w:val="008E6C00"/>
    <w:rsid w:val="008E7419"/>
    <w:rsid w:val="008E7A7A"/>
    <w:rsid w:val="008E7B70"/>
    <w:rsid w:val="008E7BD7"/>
    <w:rsid w:val="008F021E"/>
    <w:rsid w:val="008F0235"/>
    <w:rsid w:val="008F055B"/>
    <w:rsid w:val="008F05FB"/>
    <w:rsid w:val="008F0766"/>
    <w:rsid w:val="008F135C"/>
    <w:rsid w:val="008F1C28"/>
    <w:rsid w:val="008F22D6"/>
    <w:rsid w:val="008F3C36"/>
    <w:rsid w:val="008F3D15"/>
    <w:rsid w:val="008F46B4"/>
    <w:rsid w:val="008F4899"/>
    <w:rsid w:val="008F4E4B"/>
    <w:rsid w:val="008F5541"/>
    <w:rsid w:val="008F56BB"/>
    <w:rsid w:val="008F57F7"/>
    <w:rsid w:val="008F595E"/>
    <w:rsid w:val="008F5F8D"/>
    <w:rsid w:val="008F660F"/>
    <w:rsid w:val="008F6C4C"/>
    <w:rsid w:val="008F6ED4"/>
    <w:rsid w:val="008F7275"/>
    <w:rsid w:val="008F78CE"/>
    <w:rsid w:val="008F7F3D"/>
    <w:rsid w:val="009002EE"/>
    <w:rsid w:val="00900EA5"/>
    <w:rsid w:val="00901914"/>
    <w:rsid w:val="00901D20"/>
    <w:rsid w:val="00901EB0"/>
    <w:rsid w:val="00903C36"/>
    <w:rsid w:val="00905308"/>
    <w:rsid w:val="0090557B"/>
    <w:rsid w:val="00905A83"/>
    <w:rsid w:val="00905C7D"/>
    <w:rsid w:val="009064B3"/>
    <w:rsid w:val="00906A8B"/>
    <w:rsid w:val="00906FE1"/>
    <w:rsid w:val="00907058"/>
    <w:rsid w:val="009072D0"/>
    <w:rsid w:val="00907438"/>
    <w:rsid w:val="00907667"/>
    <w:rsid w:val="00907913"/>
    <w:rsid w:val="00907C65"/>
    <w:rsid w:val="00907E8A"/>
    <w:rsid w:val="00907EE2"/>
    <w:rsid w:val="009100BE"/>
    <w:rsid w:val="00910179"/>
    <w:rsid w:val="00910421"/>
    <w:rsid w:val="00910F4B"/>
    <w:rsid w:val="00911CE7"/>
    <w:rsid w:val="009123E8"/>
    <w:rsid w:val="00912C51"/>
    <w:rsid w:val="00913375"/>
    <w:rsid w:val="009140AB"/>
    <w:rsid w:val="00914242"/>
    <w:rsid w:val="009145AA"/>
    <w:rsid w:val="009145B8"/>
    <w:rsid w:val="00914684"/>
    <w:rsid w:val="00914754"/>
    <w:rsid w:val="00914D93"/>
    <w:rsid w:val="009152F7"/>
    <w:rsid w:val="0091548A"/>
    <w:rsid w:val="009157B6"/>
    <w:rsid w:val="00915F87"/>
    <w:rsid w:val="009164C2"/>
    <w:rsid w:val="00917542"/>
    <w:rsid w:val="009176CF"/>
    <w:rsid w:val="009179E1"/>
    <w:rsid w:val="009208FE"/>
    <w:rsid w:val="0092099E"/>
    <w:rsid w:val="00920B9C"/>
    <w:rsid w:val="00921F2A"/>
    <w:rsid w:val="009222B0"/>
    <w:rsid w:val="00922BAF"/>
    <w:rsid w:val="00922C24"/>
    <w:rsid w:val="00923C38"/>
    <w:rsid w:val="00923F67"/>
    <w:rsid w:val="00923F75"/>
    <w:rsid w:val="00925358"/>
    <w:rsid w:val="009256CF"/>
    <w:rsid w:val="00925930"/>
    <w:rsid w:val="00925E3F"/>
    <w:rsid w:val="00925F7D"/>
    <w:rsid w:val="00926171"/>
    <w:rsid w:val="00926365"/>
    <w:rsid w:val="00926B70"/>
    <w:rsid w:val="00926EB5"/>
    <w:rsid w:val="00927DA9"/>
    <w:rsid w:val="009303F0"/>
    <w:rsid w:val="009309C0"/>
    <w:rsid w:val="00930FF2"/>
    <w:rsid w:val="00931436"/>
    <w:rsid w:val="009320DB"/>
    <w:rsid w:val="00932BF9"/>
    <w:rsid w:val="00932E61"/>
    <w:rsid w:val="009331E8"/>
    <w:rsid w:val="0093330D"/>
    <w:rsid w:val="009340B6"/>
    <w:rsid w:val="0093438A"/>
    <w:rsid w:val="00934876"/>
    <w:rsid w:val="00934EB9"/>
    <w:rsid w:val="009351BB"/>
    <w:rsid w:val="00935727"/>
    <w:rsid w:val="009359E1"/>
    <w:rsid w:val="00935A49"/>
    <w:rsid w:val="00935FE0"/>
    <w:rsid w:val="0093689E"/>
    <w:rsid w:val="00937D7B"/>
    <w:rsid w:val="0094020C"/>
    <w:rsid w:val="00940D62"/>
    <w:rsid w:val="009435BC"/>
    <w:rsid w:val="00943834"/>
    <w:rsid w:val="0094484E"/>
    <w:rsid w:val="00944889"/>
    <w:rsid w:val="00944E3C"/>
    <w:rsid w:val="00945293"/>
    <w:rsid w:val="009454AB"/>
    <w:rsid w:val="00945F5D"/>
    <w:rsid w:val="00945FF2"/>
    <w:rsid w:val="00946664"/>
    <w:rsid w:val="00946EB7"/>
    <w:rsid w:val="00946F25"/>
    <w:rsid w:val="00946FB4"/>
    <w:rsid w:val="00947EBD"/>
    <w:rsid w:val="009500ED"/>
    <w:rsid w:val="00950251"/>
    <w:rsid w:val="0095042A"/>
    <w:rsid w:val="00950449"/>
    <w:rsid w:val="0095057F"/>
    <w:rsid w:val="00950584"/>
    <w:rsid w:val="009509D5"/>
    <w:rsid w:val="00950DD2"/>
    <w:rsid w:val="00951904"/>
    <w:rsid w:val="00951EC2"/>
    <w:rsid w:val="0095205F"/>
    <w:rsid w:val="00952489"/>
    <w:rsid w:val="00952546"/>
    <w:rsid w:val="00953267"/>
    <w:rsid w:val="00953A2C"/>
    <w:rsid w:val="00953CAC"/>
    <w:rsid w:val="00954140"/>
    <w:rsid w:val="00954624"/>
    <w:rsid w:val="00955654"/>
    <w:rsid w:val="009560F5"/>
    <w:rsid w:val="009563AB"/>
    <w:rsid w:val="0095698B"/>
    <w:rsid w:val="0095699E"/>
    <w:rsid w:val="00960C80"/>
    <w:rsid w:val="00960C9A"/>
    <w:rsid w:val="00960D46"/>
    <w:rsid w:val="00960EF9"/>
    <w:rsid w:val="009610CF"/>
    <w:rsid w:val="0096143E"/>
    <w:rsid w:val="009614C9"/>
    <w:rsid w:val="0096206B"/>
    <w:rsid w:val="00962273"/>
    <w:rsid w:val="009622D9"/>
    <w:rsid w:val="0096235B"/>
    <w:rsid w:val="0096245B"/>
    <w:rsid w:val="0096332E"/>
    <w:rsid w:val="00963A05"/>
    <w:rsid w:val="00963FA9"/>
    <w:rsid w:val="00963FB8"/>
    <w:rsid w:val="00964199"/>
    <w:rsid w:val="00964C4E"/>
    <w:rsid w:val="00964DCD"/>
    <w:rsid w:val="00964FBC"/>
    <w:rsid w:val="00965EA3"/>
    <w:rsid w:val="00965F20"/>
    <w:rsid w:val="00966FA8"/>
    <w:rsid w:val="00967653"/>
    <w:rsid w:val="009676E5"/>
    <w:rsid w:val="00967B47"/>
    <w:rsid w:val="0097034E"/>
    <w:rsid w:val="00970439"/>
    <w:rsid w:val="00970746"/>
    <w:rsid w:val="00970D83"/>
    <w:rsid w:val="00971344"/>
    <w:rsid w:val="009718BA"/>
    <w:rsid w:val="0097196E"/>
    <w:rsid w:val="00971B59"/>
    <w:rsid w:val="00971D78"/>
    <w:rsid w:val="00971D7F"/>
    <w:rsid w:val="00972536"/>
    <w:rsid w:val="00972CF4"/>
    <w:rsid w:val="00972D6B"/>
    <w:rsid w:val="00972DEC"/>
    <w:rsid w:val="0097319B"/>
    <w:rsid w:val="00973402"/>
    <w:rsid w:val="00973C17"/>
    <w:rsid w:val="00973E4C"/>
    <w:rsid w:val="00974364"/>
    <w:rsid w:val="00974BD0"/>
    <w:rsid w:val="00974DB6"/>
    <w:rsid w:val="00974E71"/>
    <w:rsid w:val="009754F5"/>
    <w:rsid w:val="00975E24"/>
    <w:rsid w:val="00976417"/>
    <w:rsid w:val="009767C6"/>
    <w:rsid w:val="0097757E"/>
    <w:rsid w:val="0097763A"/>
    <w:rsid w:val="00977DE3"/>
    <w:rsid w:val="009802B9"/>
    <w:rsid w:val="00980677"/>
    <w:rsid w:val="00981085"/>
    <w:rsid w:val="00981A01"/>
    <w:rsid w:val="00981A63"/>
    <w:rsid w:val="00981B91"/>
    <w:rsid w:val="00981D0E"/>
    <w:rsid w:val="0098283C"/>
    <w:rsid w:val="00983735"/>
    <w:rsid w:val="00984475"/>
    <w:rsid w:val="0098527F"/>
    <w:rsid w:val="0098543F"/>
    <w:rsid w:val="00985FBF"/>
    <w:rsid w:val="00985FE4"/>
    <w:rsid w:val="009861FE"/>
    <w:rsid w:val="0098627E"/>
    <w:rsid w:val="00986CC6"/>
    <w:rsid w:val="00986CE8"/>
    <w:rsid w:val="00987380"/>
    <w:rsid w:val="0098748A"/>
    <w:rsid w:val="00987F20"/>
    <w:rsid w:val="00987F54"/>
    <w:rsid w:val="0099040C"/>
    <w:rsid w:val="00990773"/>
    <w:rsid w:val="0099091F"/>
    <w:rsid w:val="00990C40"/>
    <w:rsid w:val="00990CF8"/>
    <w:rsid w:val="0099122B"/>
    <w:rsid w:val="00991573"/>
    <w:rsid w:val="00991C59"/>
    <w:rsid w:val="00991FDD"/>
    <w:rsid w:val="00992518"/>
    <w:rsid w:val="0099285C"/>
    <w:rsid w:val="00992BF7"/>
    <w:rsid w:val="00992BFB"/>
    <w:rsid w:val="00992F16"/>
    <w:rsid w:val="00993587"/>
    <w:rsid w:val="00993769"/>
    <w:rsid w:val="009945F4"/>
    <w:rsid w:val="0099508A"/>
    <w:rsid w:val="009958E9"/>
    <w:rsid w:val="00996017"/>
    <w:rsid w:val="009960F0"/>
    <w:rsid w:val="0099611F"/>
    <w:rsid w:val="00996131"/>
    <w:rsid w:val="009961CF"/>
    <w:rsid w:val="00996805"/>
    <w:rsid w:val="00996BC6"/>
    <w:rsid w:val="00996DFA"/>
    <w:rsid w:val="00996E84"/>
    <w:rsid w:val="00997245"/>
    <w:rsid w:val="009974F7"/>
    <w:rsid w:val="00997C4B"/>
    <w:rsid w:val="00997E0B"/>
    <w:rsid w:val="009A00AC"/>
    <w:rsid w:val="009A066F"/>
    <w:rsid w:val="009A0F00"/>
    <w:rsid w:val="009A18C3"/>
    <w:rsid w:val="009A1985"/>
    <w:rsid w:val="009A1B4B"/>
    <w:rsid w:val="009A2214"/>
    <w:rsid w:val="009A29D3"/>
    <w:rsid w:val="009A2E2C"/>
    <w:rsid w:val="009A318F"/>
    <w:rsid w:val="009A3229"/>
    <w:rsid w:val="009A3579"/>
    <w:rsid w:val="009A36EE"/>
    <w:rsid w:val="009A3BE1"/>
    <w:rsid w:val="009A3CC2"/>
    <w:rsid w:val="009A4294"/>
    <w:rsid w:val="009A466F"/>
    <w:rsid w:val="009A5558"/>
    <w:rsid w:val="009A5ABA"/>
    <w:rsid w:val="009A5FA5"/>
    <w:rsid w:val="009A6068"/>
    <w:rsid w:val="009A62AF"/>
    <w:rsid w:val="009A694A"/>
    <w:rsid w:val="009A6BCF"/>
    <w:rsid w:val="009A77C0"/>
    <w:rsid w:val="009A7EB4"/>
    <w:rsid w:val="009B089D"/>
    <w:rsid w:val="009B0C57"/>
    <w:rsid w:val="009B1527"/>
    <w:rsid w:val="009B2031"/>
    <w:rsid w:val="009B23C8"/>
    <w:rsid w:val="009B25D6"/>
    <w:rsid w:val="009B38D3"/>
    <w:rsid w:val="009B398D"/>
    <w:rsid w:val="009B3CFC"/>
    <w:rsid w:val="009B3D90"/>
    <w:rsid w:val="009B3FAD"/>
    <w:rsid w:val="009B44C9"/>
    <w:rsid w:val="009B499B"/>
    <w:rsid w:val="009B52E9"/>
    <w:rsid w:val="009B5350"/>
    <w:rsid w:val="009B5369"/>
    <w:rsid w:val="009B5AE7"/>
    <w:rsid w:val="009B5D79"/>
    <w:rsid w:val="009B6042"/>
    <w:rsid w:val="009B60B0"/>
    <w:rsid w:val="009B6A85"/>
    <w:rsid w:val="009B752E"/>
    <w:rsid w:val="009B7F79"/>
    <w:rsid w:val="009C011A"/>
    <w:rsid w:val="009C0219"/>
    <w:rsid w:val="009C0447"/>
    <w:rsid w:val="009C0564"/>
    <w:rsid w:val="009C0828"/>
    <w:rsid w:val="009C1099"/>
    <w:rsid w:val="009C16CF"/>
    <w:rsid w:val="009C1954"/>
    <w:rsid w:val="009C19C3"/>
    <w:rsid w:val="009C1C75"/>
    <w:rsid w:val="009C1C7D"/>
    <w:rsid w:val="009C260C"/>
    <w:rsid w:val="009C274D"/>
    <w:rsid w:val="009C2E6D"/>
    <w:rsid w:val="009C2FF0"/>
    <w:rsid w:val="009C3669"/>
    <w:rsid w:val="009C4361"/>
    <w:rsid w:val="009C440D"/>
    <w:rsid w:val="009C4AE8"/>
    <w:rsid w:val="009C4FB5"/>
    <w:rsid w:val="009C54BF"/>
    <w:rsid w:val="009C582B"/>
    <w:rsid w:val="009C655C"/>
    <w:rsid w:val="009C6969"/>
    <w:rsid w:val="009C7A91"/>
    <w:rsid w:val="009D00C4"/>
    <w:rsid w:val="009D16A2"/>
    <w:rsid w:val="009D1758"/>
    <w:rsid w:val="009D17A6"/>
    <w:rsid w:val="009D1B5C"/>
    <w:rsid w:val="009D20ED"/>
    <w:rsid w:val="009D2241"/>
    <w:rsid w:val="009D2AF8"/>
    <w:rsid w:val="009D2DE0"/>
    <w:rsid w:val="009D319F"/>
    <w:rsid w:val="009D360A"/>
    <w:rsid w:val="009D4E79"/>
    <w:rsid w:val="009D4F52"/>
    <w:rsid w:val="009D612B"/>
    <w:rsid w:val="009D63E3"/>
    <w:rsid w:val="009D7A9B"/>
    <w:rsid w:val="009D7B78"/>
    <w:rsid w:val="009D7C45"/>
    <w:rsid w:val="009E182F"/>
    <w:rsid w:val="009E19DD"/>
    <w:rsid w:val="009E245D"/>
    <w:rsid w:val="009E247F"/>
    <w:rsid w:val="009E2E38"/>
    <w:rsid w:val="009E2EC5"/>
    <w:rsid w:val="009E3586"/>
    <w:rsid w:val="009E37EF"/>
    <w:rsid w:val="009E38C3"/>
    <w:rsid w:val="009E38DE"/>
    <w:rsid w:val="009E38F4"/>
    <w:rsid w:val="009E4422"/>
    <w:rsid w:val="009E463F"/>
    <w:rsid w:val="009E48E7"/>
    <w:rsid w:val="009E556B"/>
    <w:rsid w:val="009E5606"/>
    <w:rsid w:val="009E5AB6"/>
    <w:rsid w:val="009E6852"/>
    <w:rsid w:val="009E6DAE"/>
    <w:rsid w:val="009E78E6"/>
    <w:rsid w:val="009F073C"/>
    <w:rsid w:val="009F07CD"/>
    <w:rsid w:val="009F0C21"/>
    <w:rsid w:val="009F1408"/>
    <w:rsid w:val="009F1616"/>
    <w:rsid w:val="009F1A3B"/>
    <w:rsid w:val="009F1DFA"/>
    <w:rsid w:val="009F296B"/>
    <w:rsid w:val="009F339A"/>
    <w:rsid w:val="009F34CE"/>
    <w:rsid w:val="009F3991"/>
    <w:rsid w:val="009F3C64"/>
    <w:rsid w:val="009F3F4F"/>
    <w:rsid w:val="009F419D"/>
    <w:rsid w:val="009F425C"/>
    <w:rsid w:val="009F492B"/>
    <w:rsid w:val="009F4C30"/>
    <w:rsid w:val="009F5457"/>
    <w:rsid w:val="009F5AD4"/>
    <w:rsid w:val="009F6365"/>
    <w:rsid w:val="009F6BC5"/>
    <w:rsid w:val="009F6DE1"/>
    <w:rsid w:val="009F7043"/>
    <w:rsid w:val="009F7639"/>
    <w:rsid w:val="009F778F"/>
    <w:rsid w:val="009F7ACD"/>
    <w:rsid w:val="009F7C9B"/>
    <w:rsid w:val="00A0010D"/>
    <w:rsid w:val="00A006D0"/>
    <w:rsid w:val="00A00727"/>
    <w:rsid w:val="00A00C3F"/>
    <w:rsid w:val="00A01446"/>
    <w:rsid w:val="00A015DC"/>
    <w:rsid w:val="00A01F51"/>
    <w:rsid w:val="00A02218"/>
    <w:rsid w:val="00A02BA6"/>
    <w:rsid w:val="00A02D33"/>
    <w:rsid w:val="00A031C4"/>
    <w:rsid w:val="00A03B5B"/>
    <w:rsid w:val="00A044C7"/>
    <w:rsid w:val="00A04AE1"/>
    <w:rsid w:val="00A04C59"/>
    <w:rsid w:val="00A04DE1"/>
    <w:rsid w:val="00A04F45"/>
    <w:rsid w:val="00A05711"/>
    <w:rsid w:val="00A05BA9"/>
    <w:rsid w:val="00A05D21"/>
    <w:rsid w:val="00A06693"/>
    <w:rsid w:val="00A0676F"/>
    <w:rsid w:val="00A06BE8"/>
    <w:rsid w:val="00A07FE4"/>
    <w:rsid w:val="00A10B6A"/>
    <w:rsid w:val="00A10B95"/>
    <w:rsid w:val="00A10C7E"/>
    <w:rsid w:val="00A11435"/>
    <w:rsid w:val="00A11C97"/>
    <w:rsid w:val="00A127A9"/>
    <w:rsid w:val="00A12F21"/>
    <w:rsid w:val="00A12F4D"/>
    <w:rsid w:val="00A13DD9"/>
    <w:rsid w:val="00A1451D"/>
    <w:rsid w:val="00A14828"/>
    <w:rsid w:val="00A1488A"/>
    <w:rsid w:val="00A14DE4"/>
    <w:rsid w:val="00A14F97"/>
    <w:rsid w:val="00A15FA8"/>
    <w:rsid w:val="00A1618D"/>
    <w:rsid w:val="00A161A7"/>
    <w:rsid w:val="00A16248"/>
    <w:rsid w:val="00A1682C"/>
    <w:rsid w:val="00A16D7C"/>
    <w:rsid w:val="00A16DDC"/>
    <w:rsid w:val="00A172D1"/>
    <w:rsid w:val="00A17773"/>
    <w:rsid w:val="00A177EF"/>
    <w:rsid w:val="00A17A71"/>
    <w:rsid w:val="00A20A9E"/>
    <w:rsid w:val="00A20AD4"/>
    <w:rsid w:val="00A20F37"/>
    <w:rsid w:val="00A21728"/>
    <w:rsid w:val="00A21C42"/>
    <w:rsid w:val="00A21CB6"/>
    <w:rsid w:val="00A22996"/>
    <w:rsid w:val="00A22C4F"/>
    <w:rsid w:val="00A22F93"/>
    <w:rsid w:val="00A23097"/>
    <w:rsid w:val="00A2327F"/>
    <w:rsid w:val="00A24876"/>
    <w:rsid w:val="00A248E7"/>
    <w:rsid w:val="00A24968"/>
    <w:rsid w:val="00A24A08"/>
    <w:rsid w:val="00A24A99"/>
    <w:rsid w:val="00A251F8"/>
    <w:rsid w:val="00A25368"/>
    <w:rsid w:val="00A25DB8"/>
    <w:rsid w:val="00A266D5"/>
    <w:rsid w:val="00A266EB"/>
    <w:rsid w:val="00A2676B"/>
    <w:rsid w:val="00A26BBC"/>
    <w:rsid w:val="00A2715F"/>
    <w:rsid w:val="00A27796"/>
    <w:rsid w:val="00A27E05"/>
    <w:rsid w:val="00A27FA2"/>
    <w:rsid w:val="00A301E1"/>
    <w:rsid w:val="00A305F5"/>
    <w:rsid w:val="00A308D5"/>
    <w:rsid w:val="00A308D7"/>
    <w:rsid w:val="00A30A2E"/>
    <w:rsid w:val="00A30E8D"/>
    <w:rsid w:val="00A30EA5"/>
    <w:rsid w:val="00A31232"/>
    <w:rsid w:val="00A31876"/>
    <w:rsid w:val="00A319FA"/>
    <w:rsid w:val="00A3201C"/>
    <w:rsid w:val="00A32077"/>
    <w:rsid w:val="00A331E7"/>
    <w:rsid w:val="00A334B7"/>
    <w:rsid w:val="00A33AB3"/>
    <w:rsid w:val="00A33AEF"/>
    <w:rsid w:val="00A34426"/>
    <w:rsid w:val="00A34491"/>
    <w:rsid w:val="00A3451D"/>
    <w:rsid w:val="00A34922"/>
    <w:rsid w:val="00A349D0"/>
    <w:rsid w:val="00A35438"/>
    <w:rsid w:val="00A35E2A"/>
    <w:rsid w:val="00A3609A"/>
    <w:rsid w:val="00A360F8"/>
    <w:rsid w:val="00A36A6A"/>
    <w:rsid w:val="00A36BAB"/>
    <w:rsid w:val="00A3768D"/>
    <w:rsid w:val="00A40712"/>
    <w:rsid w:val="00A40A78"/>
    <w:rsid w:val="00A40A7C"/>
    <w:rsid w:val="00A40BB9"/>
    <w:rsid w:val="00A40CE9"/>
    <w:rsid w:val="00A40F2A"/>
    <w:rsid w:val="00A4190D"/>
    <w:rsid w:val="00A4191A"/>
    <w:rsid w:val="00A41CFD"/>
    <w:rsid w:val="00A4247F"/>
    <w:rsid w:val="00A425A2"/>
    <w:rsid w:val="00A4281E"/>
    <w:rsid w:val="00A4297B"/>
    <w:rsid w:val="00A42A15"/>
    <w:rsid w:val="00A42A23"/>
    <w:rsid w:val="00A43A72"/>
    <w:rsid w:val="00A446E6"/>
    <w:rsid w:val="00A44BAD"/>
    <w:rsid w:val="00A44CC5"/>
    <w:rsid w:val="00A45BCD"/>
    <w:rsid w:val="00A46511"/>
    <w:rsid w:val="00A46541"/>
    <w:rsid w:val="00A4753E"/>
    <w:rsid w:val="00A47605"/>
    <w:rsid w:val="00A50234"/>
    <w:rsid w:val="00A509AF"/>
    <w:rsid w:val="00A50A49"/>
    <w:rsid w:val="00A51614"/>
    <w:rsid w:val="00A516B0"/>
    <w:rsid w:val="00A516F4"/>
    <w:rsid w:val="00A525CC"/>
    <w:rsid w:val="00A527C7"/>
    <w:rsid w:val="00A52B9F"/>
    <w:rsid w:val="00A5346C"/>
    <w:rsid w:val="00A53771"/>
    <w:rsid w:val="00A53BBD"/>
    <w:rsid w:val="00A53E27"/>
    <w:rsid w:val="00A54409"/>
    <w:rsid w:val="00A55272"/>
    <w:rsid w:val="00A55F40"/>
    <w:rsid w:val="00A56153"/>
    <w:rsid w:val="00A56408"/>
    <w:rsid w:val="00A565B0"/>
    <w:rsid w:val="00A5678C"/>
    <w:rsid w:val="00A567B8"/>
    <w:rsid w:val="00A569C3"/>
    <w:rsid w:val="00A56F40"/>
    <w:rsid w:val="00A57537"/>
    <w:rsid w:val="00A57AF3"/>
    <w:rsid w:val="00A57BE8"/>
    <w:rsid w:val="00A60224"/>
    <w:rsid w:val="00A610D4"/>
    <w:rsid w:val="00A614DD"/>
    <w:rsid w:val="00A619BA"/>
    <w:rsid w:val="00A61FFA"/>
    <w:rsid w:val="00A620ED"/>
    <w:rsid w:val="00A62A38"/>
    <w:rsid w:val="00A63266"/>
    <w:rsid w:val="00A63670"/>
    <w:rsid w:val="00A639C9"/>
    <w:rsid w:val="00A63C37"/>
    <w:rsid w:val="00A64BA0"/>
    <w:rsid w:val="00A650A1"/>
    <w:rsid w:val="00A6567F"/>
    <w:rsid w:val="00A67096"/>
    <w:rsid w:val="00A67352"/>
    <w:rsid w:val="00A67A03"/>
    <w:rsid w:val="00A67D6E"/>
    <w:rsid w:val="00A67EAC"/>
    <w:rsid w:val="00A70029"/>
    <w:rsid w:val="00A700FE"/>
    <w:rsid w:val="00A704ED"/>
    <w:rsid w:val="00A70F61"/>
    <w:rsid w:val="00A7146A"/>
    <w:rsid w:val="00A714E4"/>
    <w:rsid w:val="00A717BD"/>
    <w:rsid w:val="00A717E0"/>
    <w:rsid w:val="00A71828"/>
    <w:rsid w:val="00A71845"/>
    <w:rsid w:val="00A71BEC"/>
    <w:rsid w:val="00A71E05"/>
    <w:rsid w:val="00A71FF8"/>
    <w:rsid w:val="00A730E4"/>
    <w:rsid w:val="00A73191"/>
    <w:rsid w:val="00A731FA"/>
    <w:rsid w:val="00A735C0"/>
    <w:rsid w:val="00A73D46"/>
    <w:rsid w:val="00A74191"/>
    <w:rsid w:val="00A747D6"/>
    <w:rsid w:val="00A74AF3"/>
    <w:rsid w:val="00A74AFA"/>
    <w:rsid w:val="00A74B06"/>
    <w:rsid w:val="00A74B5E"/>
    <w:rsid w:val="00A751DA"/>
    <w:rsid w:val="00A757B1"/>
    <w:rsid w:val="00A76AB0"/>
    <w:rsid w:val="00A76C3D"/>
    <w:rsid w:val="00A76FEE"/>
    <w:rsid w:val="00A77A5A"/>
    <w:rsid w:val="00A77D81"/>
    <w:rsid w:val="00A80166"/>
    <w:rsid w:val="00A817EC"/>
    <w:rsid w:val="00A81880"/>
    <w:rsid w:val="00A827CB"/>
    <w:rsid w:val="00A835D5"/>
    <w:rsid w:val="00A83891"/>
    <w:rsid w:val="00A83A53"/>
    <w:rsid w:val="00A84027"/>
    <w:rsid w:val="00A841EF"/>
    <w:rsid w:val="00A84282"/>
    <w:rsid w:val="00A848A6"/>
    <w:rsid w:val="00A848F7"/>
    <w:rsid w:val="00A84AA7"/>
    <w:rsid w:val="00A84EF1"/>
    <w:rsid w:val="00A85BA9"/>
    <w:rsid w:val="00A85DF7"/>
    <w:rsid w:val="00A860E3"/>
    <w:rsid w:val="00A86143"/>
    <w:rsid w:val="00A865E6"/>
    <w:rsid w:val="00A86D8F"/>
    <w:rsid w:val="00A86FC0"/>
    <w:rsid w:val="00A8758A"/>
    <w:rsid w:val="00A87B94"/>
    <w:rsid w:val="00A87D07"/>
    <w:rsid w:val="00A905B0"/>
    <w:rsid w:val="00A90A8D"/>
    <w:rsid w:val="00A90F09"/>
    <w:rsid w:val="00A9116E"/>
    <w:rsid w:val="00A91484"/>
    <w:rsid w:val="00A923B7"/>
    <w:rsid w:val="00A9263F"/>
    <w:rsid w:val="00A931A1"/>
    <w:rsid w:val="00A93681"/>
    <w:rsid w:val="00A946A7"/>
    <w:rsid w:val="00A95390"/>
    <w:rsid w:val="00A95BF4"/>
    <w:rsid w:val="00A96099"/>
    <w:rsid w:val="00A96D7E"/>
    <w:rsid w:val="00A97AB6"/>
    <w:rsid w:val="00A97BED"/>
    <w:rsid w:val="00A97CD0"/>
    <w:rsid w:val="00AA01F9"/>
    <w:rsid w:val="00AA1C51"/>
    <w:rsid w:val="00AA24A9"/>
    <w:rsid w:val="00AA2B8A"/>
    <w:rsid w:val="00AA321A"/>
    <w:rsid w:val="00AA3AC1"/>
    <w:rsid w:val="00AA3D38"/>
    <w:rsid w:val="00AA3F68"/>
    <w:rsid w:val="00AA4057"/>
    <w:rsid w:val="00AA4C38"/>
    <w:rsid w:val="00AA56C6"/>
    <w:rsid w:val="00AA5A67"/>
    <w:rsid w:val="00AA5BDC"/>
    <w:rsid w:val="00AA5FAC"/>
    <w:rsid w:val="00AA6772"/>
    <w:rsid w:val="00AA6A5E"/>
    <w:rsid w:val="00AA6BEB"/>
    <w:rsid w:val="00AA709E"/>
    <w:rsid w:val="00AA7239"/>
    <w:rsid w:val="00AA7C62"/>
    <w:rsid w:val="00AA7D70"/>
    <w:rsid w:val="00AA7DDA"/>
    <w:rsid w:val="00AA7DEC"/>
    <w:rsid w:val="00AA7F7F"/>
    <w:rsid w:val="00AB0038"/>
    <w:rsid w:val="00AB03C8"/>
    <w:rsid w:val="00AB131F"/>
    <w:rsid w:val="00AB15E1"/>
    <w:rsid w:val="00AB1A36"/>
    <w:rsid w:val="00AB1E7A"/>
    <w:rsid w:val="00AB2AFD"/>
    <w:rsid w:val="00AB3379"/>
    <w:rsid w:val="00AB38CA"/>
    <w:rsid w:val="00AB3A4D"/>
    <w:rsid w:val="00AB3EF8"/>
    <w:rsid w:val="00AB410E"/>
    <w:rsid w:val="00AB4872"/>
    <w:rsid w:val="00AB4AB1"/>
    <w:rsid w:val="00AB54EA"/>
    <w:rsid w:val="00AB615C"/>
    <w:rsid w:val="00AB6207"/>
    <w:rsid w:val="00AB64C3"/>
    <w:rsid w:val="00AB6EB0"/>
    <w:rsid w:val="00AB7022"/>
    <w:rsid w:val="00AB70CB"/>
    <w:rsid w:val="00AB7421"/>
    <w:rsid w:val="00AB78DA"/>
    <w:rsid w:val="00AB7D17"/>
    <w:rsid w:val="00AC01F5"/>
    <w:rsid w:val="00AC0461"/>
    <w:rsid w:val="00AC091A"/>
    <w:rsid w:val="00AC09C1"/>
    <w:rsid w:val="00AC1430"/>
    <w:rsid w:val="00AC15A8"/>
    <w:rsid w:val="00AC16C4"/>
    <w:rsid w:val="00AC1A36"/>
    <w:rsid w:val="00AC261F"/>
    <w:rsid w:val="00AC2D2B"/>
    <w:rsid w:val="00AC2F4E"/>
    <w:rsid w:val="00AC2F89"/>
    <w:rsid w:val="00AC35FD"/>
    <w:rsid w:val="00AC576A"/>
    <w:rsid w:val="00AC58A5"/>
    <w:rsid w:val="00AC5DAF"/>
    <w:rsid w:val="00AC6BF1"/>
    <w:rsid w:val="00AC6F96"/>
    <w:rsid w:val="00AC716E"/>
    <w:rsid w:val="00AC7265"/>
    <w:rsid w:val="00AC77B7"/>
    <w:rsid w:val="00AC79E9"/>
    <w:rsid w:val="00AC7A2C"/>
    <w:rsid w:val="00AC7AA6"/>
    <w:rsid w:val="00AD05DF"/>
    <w:rsid w:val="00AD0BE2"/>
    <w:rsid w:val="00AD0D52"/>
    <w:rsid w:val="00AD10C7"/>
    <w:rsid w:val="00AD11E2"/>
    <w:rsid w:val="00AD180B"/>
    <w:rsid w:val="00AD1B48"/>
    <w:rsid w:val="00AD21CD"/>
    <w:rsid w:val="00AD241B"/>
    <w:rsid w:val="00AD2F2A"/>
    <w:rsid w:val="00AD334C"/>
    <w:rsid w:val="00AD340F"/>
    <w:rsid w:val="00AD37AE"/>
    <w:rsid w:val="00AD3F45"/>
    <w:rsid w:val="00AD4160"/>
    <w:rsid w:val="00AD4727"/>
    <w:rsid w:val="00AD49B0"/>
    <w:rsid w:val="00AD5142"/>
    <w:rsid w:val="00AD5163"/>
    <w:rsid w:val="00AD552F"/>
    <w:rsid w:val="00AD6460"/>
    <w:rsid w:val="00AD6FD9"/>
    <w:rsid w:val="00AD72F1"/>
    <w:rsid w:val="00AD79C0"/>
    <w:rsid w:val="00AD7EDE"/>
    <w:rsid w:val="00AE00E4"/>
    <w:rsid w:val="00AE028E"/>
    <w:rsid w:val="00AE02F4"/>
    <w:rsid w:val="00AE0556"/>
    <w:rsid w:val="00AE068D"/>
    <w:rsid w:val="00AE087C"/>
    <w:rsid w:val="00AE093D"/>
    <w:rsid w:val="00AE0F7D"/>
    <w:rsid w:val="00AE107D"/>
    <w:rsid w:val="00AE1176"/>
    <w:rsid w:val="00AE12B5"/>
    <w:rsid w:val="00AE17CF"/>
    <w:rsid w:val="00AE199F"/>
    <w:rsid w:val="00AE1E0F"/>
    <w:rsid w:val="00AE1EFA"/>
    <w:rsid w:val="00AE364D"/>
    <w:rsid w:val="00AE4105"/>
    <w:rsid w:val="00AE4485"/>
    <w:rsid w:val="00AE45E0"/>
    <w:rsid w:val="00AE46E0"/>
    <w:rsid w:val="00AE4781"/>
    <w:rsid w:val="00AE4B16"/>
    <w:rsid w:val="00AE4D03"/>
    <w:rsid w:val="00AE4D29"/>
    <w:rsid w:val="00AE4FFF"/>
    <w:rsid w:val="00AE50D3"/>
    <w:rsid w:val="00AE5684"/>
    <w:rsid w:val="00AE65DA"/>
    <w:rsid w:val="00AE666E"/>
    <w:rsid w:val="00AE7137"/>
    <w:rsid w:val="00AE7559"/>
    <w:rsid w:val="00AE7A13"/>
    <w:rsid w:val="00AE7A1E"/>
    <w:rsid w:val="00AE7AE0"/>
    <w:rsid w:val="00AF0CD4"/>
    <w:rsid w:val="00AF0D1C"/>
    <w:rsid w:val="00AF1058"/>
    <w:rsid w:val="00AF11AD"/>
    <w:rsid w:val="00AF147D"/>
    <w:rsid w:val="00AF16E9"/>
    <w:rsid w:val="00AF19D3"/>
    <w:rsid w:val="00AF1C4E"/>
    <w:rsid w:val="00AF2071"/>
    <w:rsid w:val="00AF2089"/>
    <w:rsid w:val="00AF2572"/>
    <w:rsid w:val="00AF2743"/>
    <w:rsid w:val="00AF2F3C"/>
    <w:rsid w:val="00AF37CA"/>
    <w:rsid w:val="00AF3B92"/>
    <w:rsid w:val="00AF3E5D"/>
    <w:rsid w:val="00AF427E"/>
    <w:rsid w:val="00AF45C7"/>
    <w:rsid w:val="00AF4678"/>
    <w:rsid w:val="00AF46E3"/>
    <w:rsid w:val="00AF52FB"/>
    <w:rsid w:val="00AF5EE7"/>
    <w:rsid w:val="00AF5F4F"/>
    <w:rsid w:val="00AF63E7"/>
    <w:rsid w:val="00AF66A2"/>
    <w:rsid w:val="00AF6A96"/>
    <w:rsid w:val="00AF6C1B"/>
    <w:rsid w:val="00AF6F10"/>
    <w:rsid w:val="00AF7229"/>
    <w:rsid w:val="00AF7984"/>
    <w:rsid w:val="00AF7BAF"/>
    <w:rsid w:val="00B00050"/>
    <w:rsid w:val="00B000B3"/>
    <w:rsid w:val="00B011F0"/>
    <w:rsid w:val="00B0189F"/>
    <w:rsid w:val="00B01AB5"/>
    <w:rsid w:val="00B01D63"/>
    <w:rsid w:val="00B01E13"/>
    <w:rsid w:val="00B0270B"/>
    <w:rsid w:val="00B03D63"/>
    <w:rsid w:val="00B03DD4"/>
    <w:rsid w:val="00B03E5D"/>
    <w:rsid w:val="00B03E9B"/>
    <w:rsid w:val="00B0496B"/>
    <w:rsid w:val="00B050D4"/>
    <w:rsid w:val="00B052AB"/>
    <w:rsid w:val="00B05B15"/>
    <w:rsid w:val="00B06BA1"/>
    <w:rsid w:val="00B06D89"/>
    <w:rsid w:val="00B0722B"/>
    <w:rsid w:val="00B072B4"/>
    <w:rsid w:val="00B07A7C"/>
    <w:rsid w:val="00B07D77"/>
    <w:rsid w:val="00B10B67"/>
    <w:rsid w:val="00B124C1"/>
    <w:rsid w:val="00B12CFF"/>
    <w:rsid w:val="00B131FC"/>
    <w:rsid w:val="00B137F7"/>
    <w:rsid w:val="00B1477F"/>
    <w:rsid w:val="00B14E18"/>
    <w:rsid w:val="00B15D26"/>
    <w:rsid w:val="00B16A8C"/>
    <w:rsid w:val="00B16AF7"/>
    <w:rsid w:val="00B17877"/>
    <w:rsid w:val="00B17CE6"/>
    <w:rsid w:val="00B17D16"/>
    <w:rsid w:val="00B20378"/>
    <w:rsid w:val="00B208A8"/>
    <w:rsid w:val="00B20E2C"/>
    <w:rsid w:val="00B20EC6"/>
    <w:rsid w:val="00B210D6"/>
    <w:rsid w:val="00B2153E"/>
    <w:rsid w:val="00B21544"/>
    <w:rsid w:val="00B2184A"/>
    <w:rsid w:val="00B21C74"/>
    <w:rsid w:val="00B21D72"/>
    <w:rsid w:val="00B2208C"/>
    <w:rsid w:val="00B22810"/>
    <w:rsid w:val="00B230E1"/>
    <w:rsid w:val="00B232CB"/>
    <w:rsid w:val="00B23945"/>
    <w:rsid w:val="00B23B03"/>
    <w:rsid w:val="00B24588"/>
    <w:rsid w:val="00B251E1"/>
    <w:rsid w:val="00B25350"/>
    <w:rsid w:val="00B258CF"/>
    <w:rsid w:val="00B25D82"/>
    <w:rsid w:val="00B26EF0"/>
    <w:rsid w:val="00B273B6"/>
    <w:rsid w:val="00B274F1"/>
    <w:rsid w:val="00B27E62"/>
    <w:rsid w:val="00B3001E"/>
    <w:rsid w:val="00B30046"/>
    <w:rsid w:val="00B302B8"/>
    <w:rsid w:val="00B3058A"/>
    <w:rsid w:val="00B30A31"/>
    <w:rsid w:val="00B3155C"/>
    <w:rsid w:val="00B31B4D"/>
    <w:rsid w:val="00B32937"/>
    <w:rsid w:val="00B32D85"/>
    <w:rsid w:val="00B32FDC"/>
    <w:rsid w:val="00B32FF5"/>
    <w:rsid w:val="00B34048"/>
    <w:rsid w:val="00B34106"/>
    <w:rsid w:val="00B34241"/>
    <w:rsid w:val="00B34F9C"/>
    <w:rsid w:val="00B351D9"/>
    <w:rsid w:val="00B3534C"/>
    <w:rsid w:val="00B35BBC"/>
    <w:rsid w:val="00B35D94"/>
    <w:rsid w:val="00B35EAD"/>
    <w:rsid w:val="00B364D2"/>
    <w:rsid w:val="00B36A72"/>
    <w:rsid w:val="00B36E11"/>
    <w:rsid w:val="00B37061"/>
    <w:rsid w:val="00B4003B"/>
    <w:rsid w:val="00B400E9"/>
    <w:rsid w:val="00B409A1"/>
    <w:rsid w:val="00B40D94"/>
    <w:rsid w:val="00B4196C"/>
    <w:rsid w:val="00B41C10"/>
    <w:rsid w:val="00B4209F"/>
    <w:rsid w:val="00B42ADC"/>
    <w:rsid w:val="00B432C7"/>
    <w:rsid w:val="00B43CD9"/>
    <w:rsid w:val="00B44681"/>
    <w:rsid w:val="00B45034"/>
    <w:rsid w:val="00B45172"/>
    <w:rsid w:val="00B45AB1"/>
    <w:rsid w:val="00B45CB5"/>
    <w:rsid w:val="00B460B0"/>
    <w:rsid w:val="00B469C9"/>
    <w:rsid w:val="00B47BD1"/>
    <w:rsid w:val="00B47BD8"/>
    <w:rsid w:val="00B504B2"/>
    <w:rsid w:val="00B516AE"/>
    <w:rsid w:val="00B5174A"/>
    <w:rsid w:val="00B517C9"/>
    <w:rsid w:val="00B51A5B"/>
    <w:rsid w:val="00B51FF6"/>
    <w:rsid w:val="00B52096"/>
    <w:rsid w:val="00B52522"/>
    <w:rsid w:val="00B5275B"/>
    <w:rsid w:val="00B5287A"/>
    <w:rsid w:val="00B528D7"/>
    <w:rsid w:val="00B5372A"/>
    <w:rsid w:val="00B53A52"/>
    <w:rsid w:val="00B53F5A"/>
    <w:rsid w:val="00B5400A"/>
    <w:rsid w:val="00B5418D"/>
    <w:rsid w:val="00B544F3"/>
    <w:rsid w:val="00B54540"/>
    <w:rsid w:val="00B54719"/>
    <w:rsid w:val="00B55104"/>
    <w:rsid w:val="00B55493"/>
    <w:rsid w:val="00B5555D"/>
    <w:rsid w:val="00B55B24"/>
    <w:rsid w:val="00B55E65"/>
    <w:rsid w:val="00B56D71"/>
    <w:rsid w:val="00B57800"/>
    <w:rsid w:val="00B57D5A"/>
    <w:rsid w:val="00B57F68"/>
    <w:rsid w:val="00B608B6"/>
    <w:rsid w:val="00B60D40"/>
    <w:rsid w:val="00B61488"/>
    <w:rsid w:val="00B61506"/>
    <w:rsid w:val="00B61539"/>
    <w:rsid w:val="00B61FC7"/>
    <w:rsid w:val="00B621E5"/>
    <w:rsid w:val="00B624FF"/>
    <w:rsid w:val="00B62851"/>
    <w:rsid w:val="00B633C6"/>
    <w:rsid w:val="00B63A55"/>
    <w:rsid w:val="00B6414F"/>
    <w:rsid w:val="00B648EF"/>
    <w:rsid w:val="00B64AAC"/>
    <w:rsid w:val="00B64B8F"/>
    <w:rsid w:val="00B64D36"/>
    <w:rsid w:val="00B64ED3"/>
    <w:rsid w:val="00B65950"/>
    <w:rsid w:val="00B66454"/>
    <w:rsid w:val="00B66DC2"/>
    <w:rsid w:val="00B67340"/>
    <w:rsid w:val="00B67342"/>
    <w:rsid w:val="00B67485"/>
    <w:rsid w:val="00B67A2E"/>
    <w:rsid w:val="00B67F00"/>
    <w:rsid w:val="00B7076B"/>
    <w:rsid w:val="00B70B56"/>
    <w:rsid w:val="00B70BFE"/>
    <w:rsid w:val="00B70D15"/>
    <w:rsid w:val="00B70D5F"/>
    <w:rsid w:val="00B7167D"/>
    <w:rsid w:val="00B71ED4"/>
    <w:rsid w:val="00B71F84"/>
    <w:rsid w:val="00B71FCA"/>
    <w:rsid w:val="00B72024"/>
    <w:rsid w:val="00B72446"/>
    <w:rsid w:val="00B72D6A"/>
    <w:rsid w:val="00B73679"/>
    <w:rsid w:val="00B743BD"/>
    <w:rsid w:val="00B745A2"/>
    <w:rsid w:val="00B749DC"/>
    <w:rsid w:val="00B752F6"/>
    <w:rsid w:val="00B7574D"/>
    <w:rsid w:val="00B7585C"/>
    <w:rsid w:val="00B75E5E"/>
    <w:rsid w:val="00B772B1"/>
    <w:rsid w:val="00B77614"/>
    <w:rsid w:val="00B7795A"/>
    <w:rsid w:val="00B77B3A"/>
    <w:rsid w:val="00B80950"/>
    <w:rsid w:val="00B80A3A"/>
    <w:rsid w:val="00B80B2E"/>
    <w:rsid w:val="00B8106B"/>
    <w:rsid w:val="00B810E3"/>
    <w:rsid w:val="00B82680"/>
    <w:rsid w:val="00B826CA"/>
    <w:rsid w:val="00B82A27"/>
    <w:rsid w:val="00B82F37"/>
    <w:rsid w:val="00B83087"/>
    <w:rsid w:val="00B830E2"/>
    <w:rsid w:val="00B837CC"/>
    <w:rsid w:val="00B83FCC"/>
    <w:rsid w:val="00B84154"/>
    <w:rsid w:val="00B8422E"/>
    <w:rsid w:val="00B84234"/>
    <w:rsid w:val="00B84916"/>
    <w:rsid w:val="00B84DC8"/>
    <w:rsid w:val="00B85408"/>
    <w:rsid w:val="00B856CD"/>
    <w:rsid w:val="00B86E1B"/>
    <w:rsid w:val="00B86EE6"/>
    <w:rsid w:val="00B87285"/>
    <w:rsid w:val="00B903F3"/>
    <w:rsid w:val="00B90781"/>
    <w:rsid w:val="00B90884"/>
    <w:rsid w:val="00B90908"/>
    <w:rsid w:val="00B912F8"/>
    <w:rsid w:val="00B925B9"/>
    <w:rsid w:val="00B92655"/>
    <w:rsid w:val="00B92A36"/>
    <w:rsid w:val="00B9319D"/>
    <w:rsid w:val="00B935D0"/>
    <w:rsid w:val="00B937DC"/>
    <w:rsid w:val="00B93987"/>
    <w:rsid w:val="00B93DA4"/>
    <w:rsid w:val="00B93FF4"/>
    <w:rsid w:val="00B9430E"/>
    <w:rsid w:val="00B9435F"/>
    <w:rsid w:val="00B94608"/>
    <w:rsid w:val="00B95DB3"/>
    <w:rsid w:val="00B960A3"/>
    <w:rsid w:val="00B965F6"/>
    <w:rsid w:val="00B9671C"/>
    <w:rsid w:val="00B9695E"/>
    <w:rsid w:val="00B96AA9"/>
    <w:rsid w:val="00B976DC"/>
    <w:rsid w:val="00B97705"/>
    <w:rsid w:val="00B97773"/>
    <w:rsid w:val="00B97F00"/>
    <w:rsid w:val="00BA0346"/>
    <w:rsid w:val="00BA036F"/>
    <w:rsid w:val="00BA1150"/>
    <w:rsid w:val="00BA19F7"/>
    <w:rsid w:val="00BA1FE4"/>
    <w:rsid w:val="00BA2029"/>
    <w:rsid w:val="00BA217C"/>
    <w:rsid w:val="00BA26AA"/>
    <w:rsid w:val="00BA27A3"/>
    <w:rsid w:val="00BA2A73"/>
    <w:rsid w:val="00BA2B55"/>
    <w:rsid w:val="00BA2E36"/>
    <w:rsid w:val="00BA3985"/>
    <w:rsid w:val="00BA3E25"/>
    <w:rsid w:val="00BA3EAC"/>
    <w:rsid w:val="00BA431C"/>
    <w:rsid w:val="00BA44D0"/>
    <w:rsid w:val="00BA4AFC"/>
    <w:rsid w:val="00BA504C"/>
    <w:rsid w:val="00BA508B"/>
    <w:rsid w:val="00BA58C1"/>
    <w:rsid w:val="00BA5F60"/>
    <w:rsid w:val="00BA6B55"/>
    <w:rsid w:val="00BA6C77"/>
    <w:rsid w:val="00BA7346"/>
    <w:rsid w:val="00BA773D"/>
    <w:rsid w:val="00BA7CB6"/>
    <w:rsid w:val="00BB0251"/>
    <w:rsid w:val="00BB0870"/>
    <w:rsid w:val="00BB093E"/>
    <w:rsid w:val="00BB16ED"/>
    <w:rsid w:val="00BB18C5"/>
    <w:rsid w:val="00BB192B"/>
    <w:rsid w:val="00BB1BB9"/>
    <w:rsid w:val="00BB2338"/>
    <w:rsid w:val="00BB2D45"/>
    <w:rsid w:val="00BB3A2D"/>
    <w:rsid w:val="00BB44E6"/>
    <w:rsid w:val="00BB48B0"/>
    <w:rsid w:val="00BB4A21"/>
    <w:rsid w:val="00BB4FF1"/>
    <w:rsid w:val="00BB5217"/>
    <w:rsid w:val="00BB5E4F"/>
    <w:rsid w:val="00BB63B3"/>
    <w:rsid w:val="00BB6463"/>
    <w:rsid w:val="00BB66C0"/>
    <w:rsid w:val="00BB66F0"/>
    <w:rsid w:val="00BB71AB"/>
    <w:rsid w:val="00BB7354"/>
    <w:rsid w:val="00BB75D0"/>
    <w:rsid w:val="00BB7841"/>
    <w:rsid w:val="00BC0186"/>
    <w:rsid w:val="00BC01DF"/>
    <w:rsid w:val="00BC0AB7"/>
    <w:rsid w:val="00BC0F28"/>
    <w:rsid w:val="00BC1571"/>
    <w:rsid w:val="00BC17BD"/>
    <w:rsid w:val="00BC1E18"/>
    <w:rsid w:val="00BC2150"/>
    <w:rsid w:val="00BC2203"/>
    <w:rsid w:val="00BC49AA"/>
    <w:rsid w:val="00BC5104"/>
    <w:rsid w:val="00BC54DB"/>
    <w:rsid w:val="00BC595F"/>
    <w:rsid w:val="00BC5AF6"/>
    <w:rsid w:val="00BC6C17"/>
    <w:rsid w:val="00BC7193"/>
    <w:rsid w:val="00BC7E04"/>
    <w:rsid w:val="00BD00B4"/>
    <w:rsid w:val="00BD073C"/>
    <w:rsid w:val="00BD0DBD"/>
    <w:rsid w:val="00BD0E82"/>
    <w:rsid w:val="00BD1506"/>
    <w:rsid w:val="00BD1F48"/>
    <w:rsid w:val="00BD20EE"/>
    <w:rsid w:val="00BD24F3"/>
    <w:rsid w:val="00BD27DC"/>
    <w:rsid w:val="00BD2D81"/>
    <w:rsid w:val="00BD2F06"/>
    <w:rsid w:val="00BD30C6"/>
    <w:rsid w:val="00BD35A7"/>
    <w:rsid w:val="00BD35DA"/>
    <w:rsid w:val="00BD367A"/>
    <w:rsid w:val="00BD3785"/>
    <w:rsid w:val="00BD3B7F"/>
    <w:rsid w:val="00BD4041"/>
    <w:rsid w:val="00BD434E"/>
    <w:rsid w:val="00BD4691"/>
    <w:rsid w:val="00BD4890"/>
    <w:rsid w:val="00BD4D09"/>
    <w:rsid w:val="00BD4DDB"/>
    <w:rsid w:val="00BD4E6E"/>
    <w:rsid w:val="00BD5A8F"/>
    <w:rsid w:val="00BD5FCE"/>
    <w:rsid w:val="00BD6459"/>
    <w:rsid w:val="00BD68B0"/>
    <w:rsid w:val="00BD6EB6"/>
    <w:rsid w:val="00BD7276"/>
    <w:rsid w:val="00BD7744"/>
    <w:rsid w:val="00BE0AD6"/>
    <w:rsid w:val="00BE0B19"/>
    <w:rsid w:val="00BE0C30"/>
    <w:rsid w:val="00BE0C62"/>
    <w:rsid w:val="00BE0EB9"/>
    <w:rsid w:val="00BE159E"/>
    <w:rsid w:val="00BE1D4B"/>
    <w:rsid w:val="00BE21B2"/>
    <w:rsid w:val="00BE3664"/>
    <w:rsid w:val="00BE3CEF"/>
    <w:rsid w:val="00BE3EEF"/>
    <w:rsid w:val="00BE40BB"/>
    <w:rsid w:val="00BE4C39"/>
    <w:rsid w:val="00BE4D86"/>
    <w:rsid w:val="00BE4E4B"/>
    <w:rsid w:val="00BE560A"/>
    <w:rsid w:val="00BE5630"/>
    <w:rsid w:val="00BE5E57"/>
    <w:rsid w:val="00BE64A2"/>
    <w:rsid w:val="00BE71B5"/>
    <w:rsid w:val="00BE72DA"/>
    <w:rsid w:val="00BE7468"/>
    <w:rsid w:val="00BE7755"/>
    <w:rsid w:val="00BE7799"/>
    <w:rsid w:val="00BE7806"/>
    <w:rsid w:val="00BE7A8D"/>
    <w:rsid w:val="00BF00CA"/>
    <w:rsid w:val="00BF0239"/>
    <w:rsid w:val="00BF02B1"/>
    <w:rsid w:val="00BF07BE"/>
    <w:rsid w:val="00BF0E63"/>
    <w:rsid w:val="00BF16A3"/>
    <w:rsid w:val="00BF16CA"/>
    <w:rsid w:val="00BF3440"/>
    <w:rsid w:val="00BF37CD"/>
    <w:rsid w:val="00BF3DC4"/>
    <w:rsid w:val="00BF3FBA"/>
    <w:rsid w:val="00BF4559"/>
    <w:rsid w:val="00BF4651"/>
    <w:rsid w:val="00BF48D7"/>
    <w:rsid w:val="00BF543F"/>
    <w:rsid w:val="00BF551E"/>
    <w:rsid w:val="00BF58F3"/>
    <w:rsid w:val="00BF5FF8"/>
    <w:rsid w:val="00BF61B1"/>
    <w:rsid w:val="00BF7165"/>
    <w:rsid w:val="00BF729E"/>
    <w:rsid w:val="00BF7BA9"/>
    <w:rsid w:val="00BF7E38"/>
    <w:rsid w:val="00C000EB"/>
    <w:rsid w:val="00C00C29"/>
    <w:rsid w:val="00C01E05"/>
    <w:rsid w:val="00C021E2"/>
    <w:rsid w:val="00C02AB8"/>
    <w:rsid w:val="00C02EE6"/>
    <w:rsid w:val="00C031A7"/>
    <w:rsid w:val="00C032E6"/>
    <w:rsid w:val="00C0426E"/>
    <w:rsid w:val="00C044F5"/>
    <w:rsid w:val="00C04C9B"/>
    <w:rsid w:val="00C067FC"/>
    <w:rsid w:val="00C06A48"/>
    <w:rsid w:val="00C06BD5"/>
    <w:rsid w:val="00C0700E"/>
    <w:rsid w:val="00C076B6"/>
    <w:rsid w:val="00C07E9D"/>
    <w:rsid w:val="00C10080"/>
    <w:rsid w:val="00C10101"/>
    <w:rsid w:val="00C10277"/>
    <w:rsid w:val="00C10514"/>
    <w:rsid w:val="00C105D5"/>
    <w:rsid w:val="00C10A30"/>
    <w:rsid w:val="00C1144B"/>
    <w:rsid w:val="00C11953"/>
    <w:rsid w:val="00C120F1"/>
    <w:rsid w:val="00C1295C"/>
    <w:rsid w:val="00C12C2B"/>
    <w:rsid w:val="00C12FFF"/>
    <w:rsid w:val="00C1399E"/>
    <w:rsid w:val="00C13AEC"/>
    <w:rsid w:val="00C14195"/>
    <w:rsid w:val="00C1433D"/>
    <w:rsid w:val="00C14E5C"/>
    <w:rsid w:val="00C1500B"/>
    <w:rsid w:val="00C15F7F"/>
    <w:rsid w:val="00C15FB8"/>
    <w:rsid w:val="00C15FFA"/>
    <w:rsid w:val="00C16858"/>
    <w:rsid w:val="00C16F99"/>
    <w:rsid w:val="00C17239"/>
    <w:rsid w:val="00C17388"/>
    <w:rsid w:val="00C2027B"/>
    <w:rsid w:val="00C202C5"/>
    <w:rsid w:val="00C202E8"/>
    <w:rsid w:val="00C2082C"/>
    <w:rsid w:val="00C20B8A"/>
    <w:rsid w:val="00C21215"/>
    <w:rsid w:val="00C220D3"/>
    <w:rsid w:val="00C22110"/>
    <w:rsid w:val="00C223BB"/>
    <w:rsid w:val="00C22953"/>
    <w:rsid w:val="00C2295C"/>
    <w:rsid w:val="00C22B50"/>
    <w:rsid w:val="00C233C6"/>
    <w:rsid w:val="00C239DF"/>
    <w:rsid w:val="00C239EA"/>
    <w:rsid w:val="00C240A6"/>
    <w:rsid w:val="00C243DD"/>
    <w:rsid w:val="00C247C3"/>
    <w:rsid w:val="00C2493A"/>
    <w:rsid w:val="00C2494F"/>
    <w:rsid w:val="00C249ED"/>
    <w:rsid w:val="00C250EA"/>
    <w:rsid w:val="00C2547A"/>
    <w:rsid w:val="00C2556D"/>
    <w:rsid w:val="00C25B03"/>
    <w:rsid w:val="00C25B59"/>
    <w:rsid w:val="00C26511"/>
    <w:rsid w:val="00C265CF"/>
    <w:rsid w:val="00C267E2"/>
    <w:rsid w:val="00C26B2D"/>
    <w:rsid w:val="00C27A3C"/>
    <w:rsid w:val="00C30481"/>
    <w:rsid w:val="00C30946"/>
    <w:rsid w:val="00C309C7"/>
    <w:rsid w:val="00C30EC3"/>
    <w:rsid w:val="00C30F87"/>
    <w:rsid w:val="00C31447"/>
    <w:rsid w:val="00C315F3"/>
    <w:rsid w:val="00C31EA5"/>
    <w:rsid w:val="00C32342"/>
    <w:rsid w:val="00C330FB"/>
    <w:rsid w:val="00C33A1B"/>
    <w:rsid w:val="00C33B98"/>
    <w:rsid w:val="00C33DB4"/>
    <w:rsid w:val="00C345E3"/>
    <w:rsid w:val="00C34642"/>
    <w:rsid w:val="00C34E37"/>
    <w:rsid w:val="00C35160"/>
    <w:rsid w:val="00C3552A"/>
    <w:rsid w:val="00C356DA"/>
    <w:rsid w:val="00C359A8"/>
    <w:rsid w:val="00C35B33"/>
    <w:rsid w:val="00C36288"/>
    <w:rsid w:val="00C398DF"/>
    <w:rsid w:val="00C4153A"/>
    <w:rsid w:val="00C41916"/>
    <w:rsid w:val="00C41E27"/>
    <w:rsid w:val="00C42840"/>
    <w:rsid w:val="00C42B58"/>
    <w:rsid w:val="00C42EB5"/>
    <w:rsid w:val="00C435EB"/>
    <w:rsid w:val="00C43638"/>
    <w:rsid w:val="00C448EB"/>
    <w:rsid w:val="00C45D04"/>
    <w:rsid w:val="00C45F0C"/>
    <w:rsid w:val="00C46F69"/>
    <w:rsid w:val="00C4713D"/>
    <w:rsid w:val="00C47624"/>
    <w:rsid w:val="00C50400"/>
    <w:rsid w:val="00C50415"/>
    <w:rsid w:val="00C507FB"/>
    <w:rsid w:val="00C5113F"/>
    <w:rsid w:val="00C512EA"/>
    <w:rsid w:val="00C51491"/>
    <w:rsid w:val="00C51BA2"/>
    <w:rsid w:val="00C51D70"/>
    <w:rsid w:val="00C51DA6"/>
    <w:rsid w:val="00C52117"/>
    <w:rsid w:val="00C53392"/>
    <w:rsid w:val="00C533B4"/>
    <w:rsid w:val="00C53C70"/>
    <w:rsid w:val="00C53D78"/>
    <w:rsid w:val="00C5422B"/>
    <w:rsid w:val="00C54801"/>
    <w:rsid w:val="00C54A6B"/>
    <w:rsid w:val="00C55297"/>
    <w:rsid w:val="00C55B1A"/>
    <w:rsid w:val="00C5686E"/>
    <w:rsid w:val="00C568D9"/>
    <w:rsid w:val="00C576C6"/>
    <w:rsid w:val="00C5790A"/>
    <w:rsid w:val="00C57B80"/>
    <w:rsid w:val="00C57C0B"/>
    <w:rsid w:val="00C601C7"/>
    <w:rsid w:val="00C60518"/>
    <w:rsid w:val="00C606F4"/>
    <w:rsid w:val="00C60B1B"/>
    <w:rsid w:val="00C615E8"/>
    <w:rsid w:val="00C61877"/>
    <w:rsid w:val="00C619CE"/>
    <w:rsid w:val="00C62008"/>
    <w:rsid w:val="00C6222E"/>
    <w:rsid w:val="00C62816"/>
    <w:rsid w:val="00C62889"/>
    <w:rsid w:val="00C628F1"/>
    <w:rsid w:val="00C62C24"/>
    <w:rsid w:val="00C62EB4"/>
    <w:rsid w:val="00C63BFB"/>
    <w:rsid w:val="00C63C84"/>
    <w:rsid w:val="00C63F85"/>
    <w:rsid w:val="00C646A7"/>
    <w:rsid w:val="00C648FC"/>
    <w:rsid w:val="00C64D09"/>
    <w:rsid w:val="00C64EE5"/>
    <w:rsid w:val="00C653DD"/>
    <w:rsid w:val="00C65482"/>
    <w:rsid w:val="00C6582B"/>
    <w:rsid w:val="00C66084"/>
    <w:rsid w:val="00C663C1"/>
    <w:rsid w:val="00C66400"/>
    <w:rsid w:val="00C66443"/>
    <w:rsid w:val="00C6759D"/>
    <w:rsid w:val="00C675E9"/>
    <w:rsid w:val="00C678D7"/>
    <w:rsid w:val="00C67BEB"/>
    <w:rsid w:val="00C70517"/>
    <w:rsid w:val="00C70683"/>
    <w:rsid w:val="00C707F0"/>
    <w:rsid w:val="00C70939"/>
    <w:rsid w:val="00C71031"/>
    <w:rsid w:val="00C71545"/>
    <w:rsid w:val="00C71E6D"/>
    <w:rsid w:val="00C71FAC"/>
    <w:rsid w:val="00C72366"/>
    <w:rsid w:val="00C7286E"/>
    <w:rsid w:val="00C736B5"/>
    <w:rsid w:val="00C73950"/>
    <w:rsid w:val="00C7486A"/>
    <w:rsid w:val="00C74DCF"/>
    <w:rsid w:val="00C74E2A"/>
    <w:rsid w:val="00C74F50"/>
    <w:rsid w:val="00C75BBC"/>
    <w:rsid w:val="00C75F16"/>
    <w:rsid w:val="00C77099"/>
    <w:rsid w:val="00C77445"/>
    <w:rsid w:val="00C778AC"/>
    <w:rsid w:val="00C77963"/>
    <w:rsid w:val="00C810D0"/>
    <w:rsid w:val="00C817E0"/>
    <w:rsid w:val="00C81A27"/>
    <w:rsid w:val="00C8270F"/>
    <w:rsid w:val="00C82B30"/>
    <w:rsid w:val="00C82FC8"/>
    <w:rsid w:val="00C82FCC"/>
    <w:rsid w:val="00C833DA"/>
    <w:rsid w:val="00C84646"/>
    <w:rsid w:val="00C84E5B"/>
    <w:rsid w:val="00C853B1"/>
    <w:rsid w:val="00C858D9"/>
    <w:rsid w:val="00C859F1"/>
    <w:rsid w:val="00C8601C"/>
    <w:rsid w:val="00C86097"/>
    <w:rsid w:val="00C860D2"/>
    <w:rsid w:val="00C8651F"/>
    <w:rsid w:val="00C867EC"/>
    <w:rsid w:val="00C86E92"/>
    <w:rsid w:val="00C872C0"/>
    <w:rsid w:val="00C873C3"/>
    <w:rsid w:val="00C873D7"/>
    <w:rsid w:val="00C87B76"/>
    <w:rsid w:val="00C9144E"/>
    <w:rsid w:val="00C91F9F"/>
    <w:rsid w:val="00C92ABF"/>
    <w:rsid w:val="00C92B7D"/>
    <w:rsid w:val="00C92F5A"/>
    <w:rsid w:val="00C932A4"/>
    <w:rsid w:val="00C937F1"/>
    <w:rsid w:val="00C939FE"/>
    <w:rsid w:val="00C93C5A"/>
    <w:rsid w:val="00C93EF2"/>
    <w:rsid w:val="00C9404E"/>
    <w:rsid w:val="00C944A4"/>
    <w:rsid w:val="00C9455C"/>
    <w:rsid w:val="00C95142"/>
    <w:rsid w:val="00C952AC"/>
    <w:rsid w:val="00C95555"/>
    <w:rsid w:val="00C95BEC"/>
    <w:rsid w:val="00C96B86"/>
    <w:rsid w:val="00C96D6B"/>
    <w:rsid w:val="00C96ED6"/>
    <w:rsid w:val="00C9744B"/>
    <w:rsid w:val="00C97867"/>
    <w:rsid w:val="00C97902"/>
    <w:rsid w:val="00C97B42"/>
    <w:rsid w:val="00C97E2D"/>
    <w:rsid w:val="00CA02FD"/>
    <w:rsid w:val="00CA179E"/>
    <w:rsid w:val="00CA1B73"/>
    <w:rsid w:val="00CA1E05"/>
    <w:rsid w:val="00CA1FC8"/>
    <w:rsid w:val="00CA20B0"/>
    <w:rsid w:val="00CA2205"/>
    <w:rsid w:val="00CA277F"/>
    <w:rsid w:val="00CA2994"/>
    <w:rsid w:val="00CA2A5B"/>
    <w:rsid w:val="00CA2E10"/>
    <w:rsid w:val="00CA3183"/>
    <w:rsid w:val="00CA3AF9"/>
    <w:rsid w:val="00CA41B5"/>
    <w:rsid w:val="00CA45C0"/>
    <w:rsid w:val="00CA4964"/>
    <w:rsid w:val="00CA4D0D"/>
    <w:rsid w:val="00CA4EF3"/>
    <w:rsid w:val="00CA5369"/>
    <w:rsid w:val="00CA56C8"/>
    <w:rsid w:val="00CA5D95"/>
    <w:rsid w:val="00CA5E91"/>
    <w:rsid w:val="00CA65CF"/>
    <w:rsid w:val="00CA675F"/>
    <w:rsid w:val="00CA6882"/>
    <w:rsid w:val="00CA6A32"/>
    <w:rsid w:val="00CA71FA"/>
    <w:rsid w:val="00CA75EA"/>
    <w:rsid w:val="00CA7611"/>
    <w:rsid w:val="00CA77B3"/>
    <w:rsid w:val="00CA78F7"/>
    <w:rsid w:val="00CA7A70"/>
    <w:rsid w:val="00CA7D85"/>
    <w:rsid w:val="00CB0233"/>
    <w:rsid w:val="00CB062F"/>
    <w:rsid w:val="00CB09AD"/>
    <w:rsid w:val="00CB0C8B"/>
    <w:rsid w:val="00CB0D25"/>
    <w:rsid w:val="00CB1D46"/>
    <w:rsid w:val="00CB3665"/>
    <w:rsid w:val="00CB3B12"/>
    <w:rsid w:val="00CB3BB4"/>
    <w:rsid w:val="00CB3C1F"/>
    <w:rsid w:val="00CB3F48"/>
    <w:rsid w:val="00CB4689"/>
    <w:rsid w:val="00CB4CCA"/>
    <w:rsid w:val="00CB4E2B"/>
    <w:rsid w:val="00CB4E2C"/>
    <w:rsid w:val="00CB5168"/>
    <w:rsid w:val="00CB51AE"/>
    <w:rsid w:val="00CB58BF"/>
    <w:rsid w:val="00CB5999"/>
    <w:rsid w:val="00CB5AB2"/>
    <w:rsid w:val="00CB5CD2"/>
    <w:rsid w:val="00CB61E6"/>
    <w:rsid w:val="00CB66C6"/>
    <w:rsid w:val="00CB685E"/>
    <w:rsid w:val="00CB687B"/>
    <w:rsid w:val="00CB68C3"/>
    <w:rsid w:val="00CB703A"/>
    <w:rsid w:val="00CB7950"/>
    <w:rsid w:val="00CB7A97"/>
    <w:rsid w:val="00CC00BD"/>
    <w:rsid w:val="00CC06CA"/>
    <w:rsid w:val="00CC0769"/>
    <w:rsid w:val="00CC098A"/>
    <w:rsid w:val="00CC0B82"/>
    <w:rsid w:val="00CC2251"/>
    <w:rsid w:val="00CC22AE"/>
    <w:rsid w:val="00CC24CA"/>
    <w:rsid w:val="00CC2B92"/>
    <w:rsid w:val="00CC2E4E"/>
    <w:rsid w:val="00CC2F62"/>
    <w:rsid w:val="00CC2FFE"/>
    <w:rsid w:val="00CC3009"/>
    <w:rsid w:val="00CC312E"/>
    <w:rsid w:val="00CC336A"/>
    <w:rsid w:val="00CC3CC1"/>
    <w:rsid w:val="00CC433C"/>
    <w:rsid w:val="00CC435C"/>
    <w:rsid w:val="00CC44EE"/>
    <w:rsid w:val="00CC4FF9"/>
    <w:rsid w:val="00CC569C"/>
    <w:rsid w:val="00CC6360"/>
    <w:rsid w:val="00CC6A86"/>
    <w:rsid w:val="00CC6FE0"/>
    <w:rsid w:val="00CC70B5"/>
    <w:rsid w:val="00CC7645"/>
    <w:rsid w:val="00CC77B5"/>
    <w:rsid w:val="00CC7F85"/>
    <w:rsid w:val="00CD017E"/>
    <w:rsid w:val="00CD02F5"/>
    <w:rsid w:val="00CD0536"/>
    <w:rsid w:val="00CD0949"/>
    <w:rsid w:val="00CD0A19"/>
    <w:rsid w:val="00CD0A45"/>
    <w:rsid w:val="00CD0E97"/>
    <w:rsid w:val="00CD12A5"/>
    <w:rsid w:val="00CD14A3"/>
    <w:rsid w:val="00CD1C24"/>
    <w:rsid w:val="00CD2300"/>
    <w:rsid w:val="00CD2876"/>
    <w:rsid w:val="00CD2EEA"/>
    <w:rsid w:val="00CD388E"/>
    <w:rsid w:val="00CD3ADE"/>
    <w:rsid w:val="00CD3DE0"/>
    <w:rsid w:val="00CD4357"/>
    <w:rsid w:val="00CD43DC"/>
    <w:rsid w:val="00CD4666"/>
    <w:rsid w:val="00CD46D4"/>
    <w:rsid w:val="00CD4AD7"/>
    <w:rsid w:val="00CD4D5C"/>
    <w:rsid w:val="00CD5C2F"/>
    <w:rsid w:val="00CD6120"/>
    <w:rsid w:val="00CD625C"/>
    <w:rsid w:val="00CD632A"/>
    <w:rsid w:val="00CD64DC"/>
    <w:rsid w:val="00CD720D"/>
    <w:rsid w:val="00CD77F5"/>
    <w:rsid w:val="00CD78DA"/>
    <w:rsid w:val="00CD7A75"/>
    <w:rsid w:val="00CD7B48"/>
    <w:rsid w:val="00CE0698"/>
    <w:rsid w:val="00CE0FD7"/>
    <w:rsid w:val="00CE10A9"/>
    <w:rsid w:val="00CE307C"/>
    <w:rsid w:val="00CE3768"/>
    <w:rsid w:val="00CE3A97"/>
    <w:rsid w:val="00CE41D2"/>
    <w:rsid w:val="00CE481A"/>
    <w:rsid w:val="00CE4A87"/>
    <w:rsid w:val="00CE4BB0"/>
    <w:rsid w:val="00CE4D3B"/>
    <w:rsid w:val="00CE4F3A"/>
    <w:rsid w:val="00CE55BC"/>
    <w:rsid w:val="00CE55E1"/>
    <w:rsid w:val="00CE5631"/>
    <w:rsid w:val="00CE5703"/>
    <w:rsid w:val="00CE6085"/>
    <w:rsid w:val="00CE610D"/>
    <w:rsid w:val="00CE63BD"/>
    <w:rsid w:val="00CE7024"/>
    <w:rsid w:val="00CE7126"/>
    <w:rsid w:val="00CE73C7"/>
    <w:rsid w:val="00CE7580"/>
    <w:rsid w:val="00CE7C69"/>
    <w:rsid w:val="00CE7CB4"/>
    <w:rsid w:val="00CF00BE"/>
    <w:rsid w:val="00CF01E1"/>
    <w:rsid w:val="00CF069D"/>
    <w:rsid w:val="00CF090E"/>
    <w:rsid w:val="00CF0D4E"/>
    <w:rsid w:val="00CF0EA9"/>
    <w:rsid w:val="00CF1093"/>
    <w:rsid w:val="00CF123D"/>
    <w:rsid w:val="00CF12BB"/>
    <w:rsid w:val="00CF1325"/>
    <w:rsid w:val="00CF184B"/>
    <w:rsid w:val="00CF2695"/>
    <w:rsid w:val="00CF2776"/>
    <w:rsid w:val="00CF2C8E"/>
    <w:rsid w:val="00CF2FC9"/>
    <w:rsid w:val="00CF37AF"/>
    <w:rsid w:val="00CF37BE"/>
    <w:rsid w:val="00CF3828"/>
    <w:rsid w:val="00CF39D5"/>
    <w:rsid w:val="00CF4339"/>
    <w:rsid w:val="00CF4EC2"/>
    <w:rsid w:val="00CF50E8"/>
    <w:rsid w:val="00CF511F"/>
    <w:rsid w:val="00CF5202"/>
    <w:rsid w:val="00CF52DC"/>
    <w:rsid w:val="00CF5CD5"/>
    <w:rsid w:val="00CF7146"/>
    <w:rsid w:val="00D00728"/>
    <w:rsid w:val="00D01129"/>
    <w:rsid w:val="00D014A0"/>
    <w:rsid w:val="00D01A50"/>
    <w:rsid w:val="00D01BA3"/>
    <w:rsid w:val="00D01C00"/>
    <w:rsid w:val="00D01CA5"/>
    <w:rsid w:val="00D01DFC"/>
    <w:rsid w:val="00D01E70"/>
    <w:rsid w:val="00D022BD"/>
    <w:rsid w:val="00D02677"/>
    <w:rsid w:val="00D02800"/>
    <w:rsid w:val="00D034C1"/>
    <w:rsid w:val="00D03564"/>
    <w:rsid w:val="00D03ADB"/>
    <w:rsid w:val="00D04A66"/>
    <w:rsid w:val="00D052D1"/>
    <w:rsid w:val="00D05A28"/>
    <w:rsid w:val="00D0659B"/>
    <w:rsid w:val="00D066AE"/>
    <w:rsid w:val="00D06A29"/>
    <w:rsid w:val="00D06CC7"/>
    <w:rsid w:val="00D070F1"/>
    <w:rsid w:val="00D07717"/>
    <w:rsid w:val="00D07C35"/>
    <w:rsid w:val="00D07EB4"/>
    <w:rsid w:val="00D07ECF"/>
    <w:rsid w:val="00D10D14"/>
    <w:rsid w:val="00D10F07"/>
    <w:rsid w:val="00D1139C"/>
    <w:rsid w:val="00D11D45"/>
    <w:rsid w:val="00D12327"/>
    <w:rsid w:val="00D12864"/>
    <w:rsid w:val="00D13159"/>
    <w:rsid w:val="00D134DB"/>
    <w:rsid w:val="00D13847"/>
    <w:rsid w:val="00D14305"/>
    <w:rsid w:val="00D147F5"/>
    <w:rsid w:val="00D15155"/>
    <w:rsid w:val="00D152FC"/>
    <w:rsid w:val="00D159D2"/>
    <w:rsid w:val="00D16441"/>
    <w:rsid w:val="00D17204"/>
    <w:rsid w:val="00D1741E"/>
    <w:rsid w:val="00D17917"/>
    <w:rsid w:val="00D206F7"/>
    <w:rsid w:val="00D20D8C"/>
    <w:rsid w:val="00D21886"/>
    <w:rsid w:val="00D21F8F"/>
    <w:rsid w:val="00D2239E"/>
    <w:rsid w:val="00D22B81"/>
    <w:rsid w:val="00D22EB7"/>
    <w:rsid w:val="00D235C9"/>
    <w:rsid w:val="00D237A8"/>
    <w:rsid w:val="00D23D49"/>
    <w:rsid w:val="00D23EDD"/>
    <w:rsid w:val="00D23FDC"/>
    <w:rsid w:val="00D24160"/>
    <w:rsid w:val="00D24D5E"/>
    <w:rsid w:val="00D25335"/>
    <w:rsid w:val="00D253CA"/>
    <w:rsid w:val="00D25791"/>
    <w:rsid w:val="00D25938"/>
    <w:rsid w:val="00D2598E"/>
    <w:rsid w:val="00D26D94"/>
    <w:rsid w:val="00D27496"/>
    <w:rsid w:val="00D27563"/>
    <w:rsid w:val="00D307F9"/>
    <w:rsid w:val="00D30CCC"/>
    <w:rsid w:val="00D31625"/>
    <w:rsid w:val="00D31E1C"/>
    <w:rsid w:val="00D32616"/>
    <w:rsid w:val="00D3277A"/>
    <w:rsid w:val="00D329D9"/>
    <w:rsid w:val="00D32A85"/>
    <w:rsid w:val="00D32E8F"/>
    <w:rsid w:val="00D3304E"/>
    <w:rsid w:val="00D3375F"/>
    <w:rsid w:val="00D3397D"/>
    <w:rsid w:val="00D343DD"/>
    <w:rsid w:val="00D3441E"/>
    <w:rsid w:val="00D347BE"/>
    <w:rsid w:val="00D347E8"/>
    <w:rsid w:val="00D3493D"/>
    <w:rsid w:val="00D349A7"/>
    <w:rsid w:val="00D34B6E"/>
    <w:rsid w:val="00D35126"/>
    <w:rsid w:val="00D358C8"/>
    <w:rsid w:val="00D35C50"/>
    <w:rsid w:val="00D3630D"/>
    <w:rsid w:val="00D36529"/>
    <w:rsid w:val="00D369A9"/>
    <w:rsid w:val="00D36CA2"/>
    <w:rsid w:val="00D37244"/>
    <w:rsid w:val="00D372F3"/>
    <w:rsid w:val="00D37F05"/>
    <w:rsid w:val="00D40906"/>
    <w:rsid w:val="00D40B16"/>
    <w:rsid w:val="00D40E22"/>
    <w:rsid w:val="00D411EE"/>
    <w:rsid w:val="00D41ED4"/>
    <w:rsid w:val="00D42D13"/>
    <w:rsid w:val="00D4314A"/>
    <w:rsid w:val="00D43DFD"/>
    <w:rsid w:val="00D44053"/>
    <w:rsid w:val="00D4439E"/>
    <w:rsid w:val="00D44D41"/>
    <w:rsid w:val="00D452C3"/>
    <w:rsid w:val="00D45732"/>
    <w:rsid w:val="00D45CD9"/>
    <w:rsid w:val="00D4610D"/>
    <w:rsid w:val="00D46287"/>
    <w:rsid w:val="00D46777"/>
    <w:rsid w:val="00D46DA5"/>
    <w:rsid w:val="00D46E43"/>
    <w:rsid w:val="00D47D2E"/>
    <w:rsid w:val="00D5052A"/>
    <w:rsid w:val="00D508AD"/>
    <w:rsid w:val="00D5094D"/>
    <w:rsid w:val="00D527D1"/>
    <w:rsid w:val="00D527E0"/>
    <w:rsid w:val="00D5282D"/>
    <w:rsid w:val="00D52C31"/>
    <w:rsid w:val="00D53945"/>
    <w:rsid w:val="00D540A1"/>
    <w:rsid w:val="00D54434"/>
    <w:rsid w:val="00D546DD"/>
    <w:rsid w:val="00D54AC6"/>
    <w:rsid w:val="00D54F0A"/>
    <w:rsid w:val="00D55231"/>
    <w:rsid w:val="00D552D5"/>
    <w:rsid w:val="00D55704"/>
    <w:rsid w:val="00D55928"/>
    <w:rsid w:val="00D5617D"/>
    <w:rsid w:val="00D563F5"/>
    <w:rsid w:val="00D56534"/>
    <w:rsid w:val="00D57E07"/>
    <w:rsid w:val="00D600FB"/>
    <w:rsid w:val="00D60916"/>
    <w:rsid w:val="00D60BD6"/>
    <w:rsid w:val="00D60FA0"/>
    <w:rsid w:val="00D61298"/>
    <w:rsid w:val="00D61D0E"/>
    <w:rsid w:val="00D61F18"/>
    <w:rsid w:val="00D6237B"/>
    <w:rsid w:val="00D630A0"/>
    <w:rsid w:val="00D63A30"/>
    <w:rsid w:val="00D63C59"/>
    <w:rsid w:val="00D64012"/>
    <w:rsid w:val="00D6513C"/>
    <w:rsid w:val="00D65825"/>
    <w:rsid w:val="00D65D21"/>
    <w:rsid w:val="00D66542"/>
    <w:rsid w:val="00D671B2"/>
    <w:rsid w:val="00D672B2"/>
    <w:rsid w:val="00D672C8"/>
    <w:rsid w:val="00D6742F"/>
    <w:rsid w:val="00D67745"/>
    <w:rsid w:val="00D67CC2"/>
    <w:rsid w:val="00D70092"/>
    <w:rsid w:val="00D7009A"/>
    <w:rsid w:val="00D708B7"/>
    <w:rsid w:val="00D70CE7"/>
    <w:rsid w:val="00D71558"/>
    <w:rsid w:val="00D717D6"/>
    <w:rsid w:val="00D717FC"/>
    <w:rsid w:val="00D733F1"/>
    <w:rsid w:val="00D74847"/>
    <w:rsid w:val="00D75595"/>
    <w:rsid w:val="00D75AD3"/>
    <w:rsid w:val="00D75CF7"/>
    <w:rsid w:val="00D76291"/>
    <w:rsid w:val="00D771C3"/>
    <w:rsid w:val="00D77323"/>
    <w:rsid w:val="00D778BB"/>
    <w:rsid w:val="00D77BBC"/>
    <w:rsid w:val="00D77E02"/>
    <w:rsid w:val="00D77EF7"/>
    <w:rsid w:val="00D804E5"/>
    <w:rsid w:val="00D80E64"/>
    <w:rsid w:val="00D81B1B"/>
    <w:rsid w:val="00D81FC1"/>
    <w:rsid w:val="00D824F3"/>
    <w:rsid w:val="00D827A6"/>
    <w:rsid w:val="00D8293A"/>
    <w:rsid w:val="00D82C76"/>
    <w:rsid w:val="00D83359"/>
    <w:rsid w:val="00D83928"/>
    <w:rsid w:val="00D83BF2"/>
    <w:rsid w:val="00D84770"/>
    <w:rsid w:val="00D84C27"/>
    <w:rsid w:val="00D85063"/>
    <w:rsid w:val="00D870CE"/>
    <w:rsid w:val="00D87724"/>
    <w:rsid w:val="00D87897"/>
    <w:rsid w:val="00D87BBB"/>
    <w:rsid w:val="00D900F9"/>
    <w:rsid w:val="00D90340"/>
    <w:rsid w:val="00D90B0D"/>
    <w:rsid w:val="00D915D1"/>
    <w:rsid w:val="00D91A31"/>
    <w:rsid w:val="00D92D24"/>
    <w:rsid w:val="00D931EB"/>
    <w:rsid w:val="00D93B0C"/>
    <w:rsid w:val="00D93FFB"/>
    <w:rsid w:val="00D94596"/>
    <w:rsid w:val="00D9499C"/>
    <w:rsid w:val="00D94C4F"/>
    <w:rsid w:val="00D94E2D"/>
    <w:rsid w:val="00D9524D"/>
    <w:rsid w:val="00D952CA"/>
    <w:rsid w:val="00D959B5"/>
    <w:rsid w:val="00D967BB"/>
    <w:rsid w:val="00DA004B"/>
    <w:rsid w:val="00DA0129"/>
    <w:rsid w:val="00DA01C6"/>
    <w:rsid w:val="00DA0936"/>
    <w:rsid w:val="00DA0C0B"/>
    <w:rsid w:val="00DA0E99"/>
    <w:rsid w:val="00DA1143"/>
    <w:rsid w:val="00DA1434"/>
    <w:rsid w:val="00DA14B0"/>
    <w:rsid w:val="00DA160F"/>
    <w:rsid w:val="00DA1977"/>
    <w:rsid w:val="00DA1FC4"/>
    <w:rsid w:val="00DA21A2"/>
    <w:rsid w:val="00DA245F"/>
    <w:rsid w:val="00DA2682"/>
    <w:rsid w:val="00DA2733"/>
    <w:rsid w:val="00DA2BAA"/>
    <w:rsid w:val="00DA2CFA"/>
    <w:rsid w:val="00DA2E52"/>
    <w:rsid w:val="00DA3664"/>
    <w:rsid w:val="00DA3704"/>
    <w:rsid w:val="00DA3ADC"/>
    <w:rsid w:val="00DA3C35"/>
    <w:rsid w:val="00DA4421"/>
    <w:rsid w:val="00DA4AB0"/>
    <w:rsid w:val="00DA4D2F"/>
    <w:rsid w:val="00DA51CB"/>
    <w:rsid w:val="00DA5766"/>
    <w:rsid w:val="00DA58E7"/>
    <w:rsid w:val="00DA630B"/>
    <w:rsid w:val="00DA67DA"/>
    <w:rsid w:val="00DA6833"/>
    <w:rsid w:val="00DA68F3"/>
    <w:rsid w:val="00DA6B99"/>
    <w:rsid w:val="00DA6C85"/>
    <w:rsid w:val="00DA73E5"/>
    <w:rsid w:val="00DA7554"/>
    <w:rsid w:val="00DA7688"/>
    <w:rsid w:val="00DA7C48"/>
    <w:rsid w:val="00DB0A86"/>
    <w:rsid w:val="00DB0DA6"/>
    <w:rsid w:val="00DB0E18"/>
    <w:rsid w:val="00DB158F"/>
    <w:rsid w:val="00DB18F9"/>
    <w:rsid w:val="00DB2273"/>
    <w:rsid w:val="00DB2D0D"/>
    <w:rsid w:val="00DB393F"/>
    <w:rsid w:val="00DB3E87"/>
    <w:rsid w:val="00DB4020"/>
    <w:rsid w:val="00DB4151"/>
    <w:rsid w:val="00DB419F"/>
    <w:rsid w:val="00DB4523"/>
    <w:rsid w:val="00DB499D"/>
    <w:rsid w:val="00DB53B6"/>
    <w:rsid w:val="00DB58BC"/>
    <w:rsid w:val="00DB5AD4"/>
    <w:rsid w:val="00DB65EF"/>
    <w:rsid w:val="00DB6BEF"/>
    <w:rsid w:val="00DB6D33"/>
    <w:rsid w:val="00DB6FA4"/>
    <w:rsid w:val="00DB726F"/>
    <w:rsid w:val="00DB7B07"/>
    <w:rsid w:val="00DB7B34"/>
    <w:rsid w:val="00DB7C23"/>
    <w:rsid w:val="00DB7EBC"/>
    <w:rsid w:val="00DC0CF5"/>
    <w:rsid w:val="00DC1686"/>
    <w:rsid w:val="00DC1826"/>
    <w:rsid w:val="00DC1BFB"/>
    <w:rsid w:val="00DC2725"/>
    <w:rsid w:val="00DC30B3"/>
    <w:rsid w:val="00DC3DA3"/>
    <w:rsid w:val="00DC47F8"/>
    <w:rsid w:val="00DC523A"/>
    <w:rsid w:val="00DC5401"/>
    <w:rsid w:val="00DC5425"/>
    <w:rsid w:val="00DC6B45"/>
    <w:rsid w:val="00DC771E"/>
    <w:rsid w:val="00DC7C30"/>
    <w:rsid w:val="00DC7E84"/>
    <w:rsid w:val="00DD046D"/>
    <w:rsid w:val="00DD09EF"/>
    <w:rsid w:val="00DD0BF9"/>
    <w:rsid w:val="00DD0DF6"/>
    <w:rsid w:val="00DD1053"/>
    <w:rsid w:val="00DD14F9"/>
    <w:rsid w:val="00DD24BB"/>
    <w:rsid w:val="00DD2599"/>
    <w:rsid w:val="00DD2703"/>
    <w:rsid w:val="00DD33A7"/>
    <w:rsid w:val="00DD34C1"/>
    <w:rsid w:val="00DD4710"/>
    <w:rsid w:val="00DD4727"/>
    <w:rsid w:val="00DD4846"/>
    <w:rsid w:val="00DD4A11"/>
    <w:rsid w:val="00DD53FA"/>
    <w:rsid w:val="00DD56B1"/>
    <w:rsid w:val="00DD6B5E"/>
    <w:rsid w:val="00DD70AD"/>
    <w:rsid w:val="00DD77B6"/>
    <w:rsid w:val="00DE0291"/>
    <w:rsid w:val="00DE0622"/>
    <w:rsid w:val="00DE0646"/>
    <w:rsid w:val="00DE0BEC"/>
    <w:rsid w:val="00DE0D1F"/>
    <w:rsid w:val="00DE14AD"/>
    <w:rsid w:val="00DE1607"/>
    <w:rsid w:val="00DE27B1"/>
    <w:rsid w:val="00DE2B63"/>
    <w:rsid w:val="00DE3174"/>
    <w:rsid w:val="00DE3849"/>
    <w:rsid w:val="00DE38E0"/>
    <w:rsid w:val="00DE4468"/>
    <w:rsid w:val="00DE44FB"/>
    <w:rsid w:val="00DE45A5"/>
    <w:rsid w:val="00DE5361"/>
    <w:rsid w:val="00DE54D3"/>
    <w:rsid w:val="00DE5715"/>
    <w:rsid w:val="00DE59B9"/>
    <w:rsid w:val="00DE5AD7"/>
    <w:rsid w:val="00DE5C34"/>
    <w:rsid w:val="00DE5CF1"/>
    <w:rsid w:val="00DE5F39"/>
    <w:rsid w:val="00DE65F0"/>
    <w:rsid w:val="00DF0C99"/>
    <w:rsid w:val="00DF103E"/>
    <w:rsid w:val="00DF10F0"/>
    <w:rsid w:val="00DF1AA5"/>
    <w:rsid w:val="00DF1B71"/>
    <w:rsid w:val="00DF1FA4"/>
    <w:rsid w:val="00DF2A8A"/>
    <w:rsid w:val="00DF2E9F"/>
    <w:rsid w:val="00DF3568"/>
    <w:rsid w:val="00DF36EC"/>
    <w:rsid w:val="00DF3CF5"/>
    <w:rsid w:val="00DF41E4"/>
    <w:rsid w:val="00DF42D1"/>
    <w:rsid w:val="00DF4E33"/>
    <w:rsid w:val="00DF4FBA"/>
    <w:rsid w:val="00DF51DE"/>
    <w:rsid w:val="00DF5205"/>
    <w:rsid w:val="00DF5368"/>
    <w:rsid w:val="00DF62FF"/>
    <w:rsid w:val="00DF7687"/>
    <w:rsid w:val="00DF7891"/>
    <w:rsid w:val="00DF7BC7"/>
    <w:rsid w:val="00DF7F61"/>
    <w:rsid w:val="00E007A3"/>
    <w:rsid w:val="00E0083C"/>
    <w:rsid w:val="00E009C3"/>
    <w:rsid w:val="00E00D86"/>
    <w:rsid w:val="00E00F02"/>
    <w:rsid w:val="00E01430"/>
    <w:rsid w:val="00E01AAF"/>
    <w:rsid w:val="00E01B8E"/>
    <w:rsid w:val="00E01CD0"/>
    <w:rsid w:val="00E02224"/>
    <w:rsid w:val="00E035E7"/>
    <w:rsid w:val="00E03676"/>
    <w:rsid w:val="00E03AEA"/>
    <w:rsid w:val="00E040C0"/>
    <w:rsid w:val="00E056C8"/>
    <w:rsid w:val="00E05DF9"/>
    <w:rsid w:val="00E05F32"/>
    <w:rsid w:val="00E070D2"/>
    <w:rsid w:val="00E07C5C"/>
    <w:rsid w:val="00E10188"/>
    <w:rsid w:val="00E104DB"/>
    <w:rsid w:val="00E10CA8"/>
    <w:rsid w:val="00E10E80"/>
    <w:rsid w:val="00E10F03"/>
    <w:rsid w:val="00E11167"/>
    <w:rsid w:val="00E11610"/>
    <w:rsid w:val="00E119F1"/>
    <w:rsid w:val="00E121A7"/>
    <w:rsid w:val="00E125CA"/>
    <w:rsid w:val="00E12C48"/>
    <w:rsid w:val="00E13555"/>
    <w:rsid w:val="00E1370B"/>
    <w:rsid w:val="00E138B9"/>
    <w:rsid w:val="00E13D04"/>
    <w:rsid w:val="00E13D20"/>
    <w:rsid w:val="00E13F28"/>
    <w:rsid w:val="00E14276"/>
    <w:rsid w:val="00E142D0"/>
    <w:rsid w:val="00E1486D"/>
    <w:rsid w:val="00E14E17"/>
    <w:rsid w:val="00E1523D"/>
    <w:rsid w:val="00E15630"/>
    <w:rsid w:val="00E15C8E"/>
    <w:rsid w:val="00E15D80"/>
    <w:rsid w:val="00E15F41"/>
    <w:rsid w:val="00E1646C"/>
    <w:rsid w:val="00E16A8E"/>
    <w:rsid w:val="00E16F8F"/>
    <w:rsid w:val="00E170AA"/>
    <w:rsid w:val="00E1799F"/>
    <w:rsid w:val="00E17F2D"/>
    <w:rsid w:val="00E1F7B7"/>
    <w:rsid w:val="00E2014B"/>
    <w:rsid w:val="00E2024E"/>
    <w:rsid w:val="00E2047E"/>
    <w:rsid w:val="00E21530"/>
    <w:rsid w:val="00E21BD7"/>
    <w:rsid w:val="00E21C53"/>
    <w:rsid w:val="00E22C58"/>
    <w:rsid w:val="00E22E95"/>
    <w:rsid w:val="00E22F47"/>
    <w:rsid w:val="00E2305D"/>
    <w:rsid w:val="00E230C0"/>
    <w:rsid w:val="00E23403"/>
    <w:rsid w:val="00E237DF"/>
    <w:rsid w:val="00E23F66"/>
    <w:rsid w:val="00E23FDF"/>
    <w:rsid w:val="00E2441B"/>
    <w:rsid w:val="00E2487C"/>
    <w:rsid w:val="00E24A12"/>
    <w:rsid w:val="00E24AD1"/>
    <w:rsid w:val="00E24B70"/>
    <w:rsid w:val="00E257BF"/>
    <w:rsid w:val="00E25E99"/>
    <w:rsid w:val="00E25EBC"/>
    <w:rsid w:val="00E25F68"/>
    <w:rsid w:val="00E263F1"/>
    <w:rsid w:val="00E265FD"/>
    <w:rsid w:val="00E2675A"/>
    <w:rsid w:val="00E274D7"/>
    <w:rsid w:val="00E27B5A"/>
    <w:rsid w:val="00E297CA"/>
    <w:rsid w:val="00E301A7"/>
    <w:rsid w:val="00E30E5B"/>
    <w:rsid w:val="00E32050"/>
    <w:rsid w:val="00E3241A"/>
    <w:rsid w:val="00E324D2"/>
    <w:rsid w:val="00E32642"/>
    <w:rsid w:val="00E32F60"/>
    <w:rsid w:val="00E3320F"/>
    <w:rsid w:val="00E33361"/>
    <w:rsid w:val="00E33D36"/>
    <w:rsid w:val="00E33E00"/>
    <w:rsid w:val="00E33E57"/>
    <w:rsid w:val="00E345C8"/>
    <w:rsid w:val="00E3469E"/>
    <w:rsid w:val="00E347DE"/>
    <w:rsid w:val="00E3489A"/>
    <w:rsid w:val="00E34A90"/>
    <w:rsid w:val="00E3536A"/>
    <w:rsid w:val="00E364AB"/>
    <w:rsid w:val="00E3674B"/>
    <w:rsid w:val="00E36A3F"/>
    <w:rsid w:val="00E36B69"/>
    <w:rsid w:val="00E36B81"/>
    <w:rsid w:val="00E37160"/>
    <w:rsid w:val="00E375C2"/>
    <w:rsid w:val="00E37790"/>
    <w:rsid w:val="00E37DDA"/>
    <w:rsid w:val="00E37F93"/>
    <w:rsid w:val="00E401B3"/>
    <w:rsid w:val="00E404E0"/>
    <w:rsid w:val="00E40929"/>
    <w:rsid w:val="00E40B82"/>
    <w:rsid w:val="00E40CB2"/>
    <w:rsid w:val="00E40F75"/>
    <w:rsid w:val="00E4109D"/>
    <w:rsid w:val="00E41206"/>
    <w:rsid w:val="00E41705"/>
    <w:rsid w:val="00E41C62"/>
    <w:rsid w:val="00E41DCD"/>
    <w:rsid w:val="00E42043"/>
    <w:rsid w:val="00E4226B"/>
    <w:rsid w:val="00E4268C"/>
    <w:rsid w:val="00E426FB"/>
    <w:rsid w:val="00E42A7B"/>
    <w:rsid w:val="00E42C03"/>
    <w:rsid w:val="00E42DCC"/>
    <w:rsid w:val="00E43100"/>
    <w:rsid w:val="00E43261"/>
    <w:rsid w:val="00E43953"/>
    <w:rsid w:val="00E43E02"/>
    <w:rsid w:val="00E43E25"/>
    <w:rsid w:val="00E44342"/>
    <w:rsid w:val="00E45393"/>
    <w:rsid w:val="00E457E1"/>
    <w:rsid w:val="00E45938"/>
    <w:rsid w:val="00E45BB2"/>
    <w:rsid w:val="00E45F85"/>
    <w:rsid w:val="00E4610D"/>
    <w:rsid w:val="00E47891"/>
    <w:rsid w:val="00E479E9"/>
    <w:rsid w:val="00E47A33"/>
    <w:rsid w:val="00E47C3F"/>
    <w:rsid w:val="00E506E6"/>
    <w:rsid w:val="00E50E6F"/>
    <w:rsid w:val="00E50F52"/>
    <w:rsid w:val="00E510CC"/>
    <w:rsid w:val="00E51C10"/>
    <w:rsid w:val="00E51C17"/>
    <w:rsid w:val="00E52ECC"/>
    <w:rsid w:val="00E53174"/>
    <w:rsid w:val="00E53825"/>
    <w:rsid w:val="00E53ADB"/>
    <w:rsid w:val="00E54084"/>
    <w:rsid w:val="00E54958"/>
    <w:rsid w:val="00E54DC9"/>
    <w:rsid w:val="00E55063"/>
    <w:rsid w:val="00E55929"/>
    <w:rsid w:val="00E55F1B"/>
    <w:rsid w:val="00E56718"/>
    <w:rsid w:val="00E569A6"/>
    <w:rsid w:val="00E56D0C"/>
    <w:rsid w:val="00E56E25"/>
    <w:rsid w:val="00E56F80"/>
    <w:rsid w:val="00E572E8"/>
    <w:rsid w:val="00E57353"/>
    <w:rsid w:val="00E575C7"/>
    <w:rsid w:val="00E57678"/>
    <w:rsid w:val="00E57AD1"/>
    <w:rsid w:val="00E57C8E"/>
    <w:rsid w:val="00E57DA2"/>
    <w:rsid w:val="00E614ED"/>
    <w:rsid w:val="00E61621"/>
    <w:rsid w:val="00E6181B"/>
    <w:rsid w:val="00E61CF6"/>
    <w:rsid w:val="00E6207E"/>
    <w:rsid w:val="00E62112"/>
    <w:rsid w:val="00E62FDB"/>
    <w:rsid w:val="00E634A8"/>
    <w:rsid w:val="00E636B5"/>
    <w:rsid w:val="00E64080"/>
    <w:rsid w:val="00E640BB"/>
    <w:rsid w:val="00E64241"/>
    <w:rsid w:val="00E65252"/>
    <w:rsid w:val="00E657FD"/>
    <w:rsid w:val="00E67010"/>
    <w:rsid w:val="00E673E1"/>
    <w:rsid w:val="00E679DF"/>
    <w:rsid w:val="00E67A22"/>
    <w:rsid w:val="00E67E00"/>
    <w:rsid w:val="00E67E7C"/>
    <w:rsid w:val="00E70CAF"/>
    <w:rsid w:val="00E7160B"/>
    <w:rsid w:val="00E71C1F"/>
    <w:rsid w:val="00E723AB"/>
    <w:rsid w:val="00E72B57"/>
    <w:rsid w:val="00E72C89"/>
    <w:rsid w:val="00E736EF"/>
    <w:rsid w:val="00E7381F"/>
    <w:rsid w:val="00E738C0"/>
    <w:rsid w:val="00E73EAE"/>
    <w:rsid w:val="00E742A1"/>
    <w:rsid w:val="00E74647"/>
    <w:rsid w:val="00E74729"/>
    <w:rsid w:val="00E750FD"/>
    <w:rsid w:val="00E7651A"/>
    <w:rsid w:val="00E778C5"/>
    <w:rsid w:val="00E77C20"/>
    <w:rsid w:val="00E77C50"/>
    <w:rsid w:val="00E80010"/>
    <w:rsid w:val="00E801D1"/>
    <w:rsid w:val="00E80AE7"/>
    <w:rsid w:val="00E80FE6"/>
    <w:rsid w:val="00E81F4E"/>
    <w:rsid w:val="00E82015"/>
    <w:rsid w:val="00E82442"/>
    <w:rsid w:val="00E82570"/>
    <w:rsid w:val="00E827ED"/>
    <w:rsid w:val="00E8288B"/>
    <w:rsid w:val="00E82ADA"/>
    <w:rsid w:val="00E82FE5"/>
    <w:rsid w:val="00E835C1"/>
    <w:rsid w:val="00E8391B"/>
    <w:rsid w:val="00E8439A"/>
    <w:rsid w:val="00E8457E"/>
    <w:rsid w:val="00E84D71"/>
    <w:rsid w:val="00E8506E"/>
    <w:rsid w:val="00E851BF"/>
    <w:rsid w:val="00E851EA"/>
    <w:rsid w:val="00E85BF7"/>
    <w:rsid w:val="00E85C3C"/>
    <w:rsid w:val="00E85F08"/>
    <w:rsid w:val="00E862C8"/>
    <w:rsid w:val="00E86712"/>
    <w:rsid w:val="00E8751E"/>
    <w:rsid w:val="00E8777C"/>
    <w:rsid w:val="00E879E6"/>
    <w:rsid w:val="00E9025B"/>
    <w:rsid w:val="00E905C1"/>
    <w:rsid w:val="00E90825"/>
    <w:rsid w:val="00E91EE1"/>
    <w:rsid w:val="00E91FFC"/>
    <w:rsid w:val="00E92350"/>
    <w:rsid w:val="00E939A5"/>
    <w:rsid w:val="00E93ABC"/>
    <w:rsid w:val="00E93BB1"/>
    <w:rsid w:val="00E94220"/>
    <w:rsid w:val="00E943C2"/>
    <w:rsid w:val="00E9451D"/>
    <w:rsid w:val="00E94961"/>
    <w:rsid w:val="00E94B66"/>
    <w:rsid w:val="00E94E49"/>
    <w:rsid w:val="00E95369"/>
    <w:rsid w:val="00E95B91"/>
    <w:rsid w:val="00E95D46"/>
    <w:rsid w:val="00E95EBD"/>
    <w:rsid w:val="00E96DE8"/>
    <w:rsid w:val="00E96E72"/>
    <w:rsid w:val="00E96EB1"/>
    <w:rsid w:val="00EA0D2F"/>
    <w:rsid w:val="00EA1010"/>
    <w:rsid w:val="00EA128A"/>
    <w:rsid w:val="00EA1739"/>
    <w:rsid w:val="00EA1F42"/>
    <w:rsid w:val="00EA2919"/>
    <w:rsid w:val="00EA2960"/>
    <w:rsid w:val="00EA2DB0"/>
    <w:rsid w:val="00EA2FBE"/>
    <w:rsid w:val="00EA3020"/>
    <w:rsid w:val="00EA32FC"/>
    <w:rsid w:val="00EA38E2"/>
    <w:rsid w:val="00EA3913"/>
    <w:rsid w:val="00EA3D13"/>
    <w:rsid w:val="00EA3EDD"/>
    <w:rsid w:val="00EA4579"/>
    <w:rsid w:val="00EA4862"/>
    <w:rsid w:val="00EA48A1"/>
    <w:rsid w:val="00EA4A49"/>
    <w:rsid w:val="00EA4DD7"/>
    <w:rsid w:val="00EA50CE"/>
    <w:rsid w:val="00EA532D"/>
    <w:rsid w:val="00EA54D1"/>
    <w:rsid w:val="00EA5FA7"/>
    <w:rsid w:val="00EA64E8"/>
    <w:rsid w:val="00EA657C"/>
    <w:rsid w:val="00EA683C"/>
    <w:rsid w:val="00EA6DB8"/>
    <w:rsid w:val="00EA7BA8"/>
    <w:rsid w:val="00EA7D21"/>
    <w:rsid w:val="00EA7E95"/>
    <w:rsid w:val="00EB0154"/>
    <w:rsid w:val="00EB09B6"/>
    <w:rsid w:val="00EB0D04"/>
    <w:rsid w:val="00EB0FA5"/>
    <w:rsid w:val="00EB1061"/>
    <w:rsid w:val="00EB10FA"/>
    <w:rsid w:val="00EB12FF"/>
    <w:rsid w:val="00EB168B"/>
    <w:rsid w:val="00EB1C3E"/>
    <w:rsid w:val="00EB31CB"/>
    <w:rsid w:val="00EB3340"/>
    <w:rsid w:val="00EB3667"/>
    <w:rsid w:val="00EB3E22"/>
    <w:rsid w:val="00EB3EE8"/>
    <w:rsid w:val="00EB429C"/>
    <w:rsid w:val="00EB42A8"/>
    <w:rsid w:val="00EB435D"/>
    <w:rsid w:val="00EB454E"/>
    <w:rsid w:val="00EB48D9"/>
    <w:rsid w:val="00EB53D0"/>
    <w:rsid w:val="00EB5449"/>
    <w:rsid w:val="00EB5EA5"/>
    <w:rsid w:val="00EB6044"/>
    <w:rsid w:val="00EB6648"/>
    <w:rsid w:val="00EB6959"/>
    <w:rsid w:val="00EB6B57"/>
    <w:rsid w:val="00EB6BC3"/>
    <w:rsid w:val="00EB6DA6"/>
    <w:rsid w:val="00EB706C"/>
    <w:rsid w:val="00EB7EB0"/>
    <w:rsid w:val="00EC0555"/>
    <w:rsid w:val="00EC05BE"/>
    <w:rsid w:val="00EC0B39"/>
    <w:rsid w:val="00EC2663"/>
    <w:rsid w:val="00EC2696"/>
    <w:rsid w:val="00EC2A96"/>
    <w:rsid w:val="00EC2C1D"/>
    <w:rsid w:val="00EC2DA0"/>
    <w:rsid w:val="00EC30C7"/>
    <w:rsid w:val="00EC342D"/>
    <w:rsid w:val="00EC38F4"/>
    <w:rsid w:val="00EC3981"/>
    <w:rsid w:val="00EC3D41"/>
    <w:rsid w:val="00EC3F30"/>
    <w:rsid w:val="00EC4B22"/>
    <w:rsid w:val="00EC4CB7"/>
    <w:rsid w:val="00EC5437"/>
    <w:rsid w:val="00EC55E9"/>
    <w:rsid w:val="00EC5AE2"/>
    <w:rsid w:val="00EC5C9A"/>
    <w:rsid w:val="00EC5D9F"/>
    <w:rsid w:val="00EC645A"/>
    <w:rsid w:val="00EC66B7"/>
    <w:rsid w:val="00EC69F1"/>
    <w:rsid w:val="00EC6FEF"/>
    <w:rsid w:val="00EC7BA2"/>
    <w:rsid w:val="00EC7ED8"/>
    <w:rsid w:val="00EC7F9A"/>
    <w:rsid w:val="00ED035E"/>
    <w:rsid w:val="00ED0746"/>
    <w:rsid w:val="00ED07AC"/>
    <w:rsid w:val="00ED0E60"/>
    <w:rsid w:val="00ED15B1"/>
    <w:rsid w:val="00ED21FA"/>
    <w:rsid w:val="00ED265D"/>
    <w:rsid w:val="00ED270D"/>
    <w:rsid w:val="00ED3313"/>
    <w:rsid w:val="00ED3866"/>
    <w:rsid w:val="00ED3C25"/>
    <w:rsid w:val="00ED461F"/>
    <w:rsid w:val="00ED47A8"/>
    <w:rsid w:val="00ED4F8F"/>
    <w:rsid w:val="00ED56FD"/>
    <w:rsid w:val="00ED589C"/>
    <w:rsid w:val="00ED5CC4"/>
    <w:rsid w:val="00ED6220"/>
    <w:rsid w:val="00ED6869"/>
    <w:rsid w:val="00ED6B69"/>
    <w:rsid w:val="00ED6D60"/>
    <w:rsid w:val="00ED7533"/>
    <w:rsid w:val="00ED7B86"/>
    <w:rsid w:val="00ED7E76"/>
    <w:rsid w:val="00EE02E1"/>
    <w:rsid w:val="00EE053A"/>
    <w:rsid w:val="00EE0722"/>
    <w:rsid w:val="00EE07E2"/>
    <w:rsid w:val="00EE09DD"/>
    <w:rsid w:val="00EE0A63"/>
    <w:rsid w:val="00EE0D7B"/>
    <w:rsid w:val="00EE13C9"/>
    <w:rsid w:val="00EE1585"/>
    <w:rsid w:val="00EE1643"/>
    <w:rsid w:val="00EE190A"/>
    <w:rsid w:val="00EE212F"/>
    <w:rsid w:val="00EE2362"/>
    <w:rsid w:val="00EE2952"/>
    <w:rsid w:val="00EE38E2"/>
    <w:rsid w:val="00EE4882"/>
    <w:rsid w:val="00EE5815"/>
    <w:rsid w:val="00EE5999"/>
    <w:rsid w:val="00EE5D10"/>
    <w:rsid w:val="00EE6294"/>
    <w:rsid w:val="00EE67BD"/>
    <w:rsid w:val="00EE6EC0"/>
    <w:rsid w:val="00EE7D0C"/>
    <w:rsid w:val="00EE7DE3"/>
    <w:rsid w:val="00EF04DF"/>
    <w:rsid w:val="00EF0723"/>
    <w:rsid w:val="00EF0C13"/>
    <w:rsid w:val="00EF1059"/>
    <w:rsid w:val="00EF1482"/>
    <w:rsid w:val="00EF15E9"/>
    <w:rsid w:val="00EF1A9D"/>
    <w:rsid w:val="00EF1C36"/>
    <w:rsid w:val="00EF1CEE"/>
    <w:rsid w:val="00EF1DAB"/>
    <w:rsid w:val="00EF2F34"/>
    <w:rsid w:val="00EF335F"/>
    <w:rsid w:val="00EF3595"/>
    <w:rsid w:val="00EF3861"/>
    <w:rsid w:val="00EF3AF4"/>
    <w:rsid w:val="00EF47A1"/>
    <w:rsid w:val="00EF4946"/>
    <w:rsid w:val="00EF4A49"/>
    <w:rsid w:val="00EF4D6B"/>
    <w:rsid w:val="00EF4D73"/>
    <w:rsid w:val="00EF524E"/>
    <w:rsid w:val="00EF571D"/>
    <w:rsid w:val="00EF5830"/>
    <w:rsid w:val="00EF65D8"/>
    <w:rsid w:val="00EF6ABE"/>
    <w:rsid w:val="00EF775D"/>
    <w:rsid w:val="00EF79A2"/>
    <w:rsid w:val="00F006B1"/>
    <w:rsid w:val="00F00CA7"/>
    <w:rsid w:val="00F01B1C"/>
    <w:rsid w:val="00F02045"/>
    <w:rsid w:val="00F035AB"/>
    <w:rsid w:val="00F03CCA"/>
    <w:rsid w:val="00F042D4"/>
    <w:rsid w:val="00F04514"/>
    <w:rsid w:val="00F04841"/>
    <w:rsid w:val="00F05E8D"/>
    <w:rsid w:val="00F05EBA"/>
    <w:rsid w:val="00F067E2"/>
    <w:rsid w:val="00F0708F"/>
    <w:rsid w:val="00F07453"/>
    <w:rsid w:val="00F07930"/>
    <w:rsid w:val="00F07D77"/>
    <w:rsid w:val="00F08DA8"/>
    <w:rsid w:val="00F100C5"/>
    <w:rsid w:val="00F10653"/>
    <w:rsid w:val="00F10F1D"/>
    <w:rsid w:val="00F11121"/>
    <w:rsid w:val="00F112BB"/>
    <w:rsid w:val="00F11419"/>
    <w:rsid w:val="00F115C1"/>
    <w:rsid w:val="00F11B09"/>
    <w:rsid w:val="00F13259"/>
    <w:rsid w:val="00F1356F"/>
    <w:rsid w:val="00F139E5"/>
    <w:rsid w:val="00F13B8E"/>
    <w:rsid w:val="00F14028"/>
    <w:rsid w:val="00F140E1"/>
    <w:rsid w:val="00F14AF8"/>
    <w:rsid w:val="00F14F9D"/>
    <w:rsid w:val="00F14FF5"/>
    <w:rsid w:val="00F159E0"/>
    <w:rsid w:val="00F164EA"/>
    <w:rsid w:val="00F166C1"/>
    <w:rsid w:val="00F16ADC"/>
    <w:rsid w:val="00F17371"/>
    <w:rsid w:val="00F17436"/>
    <w:rsid w:val="00F17515"/>
    <w:rsid w:val="00F177C5"/>
    <w:rsid w:val="00F17B88"/>
    <w:rsid w:val="00F17E52"/>
    <w:rsid w:val="00F204DB"/>
    <w:rsid w:val="00F21219"/>
    <w:rsid w:val="00F217FE"/>
    <w:rsid w:val="00F21C3C"/>
    <w:rsid w:val="00F22BEE"/>
    <w:rsid w:val="00F22D11"/>
    <w:rsid w:val="00F2338B"/>
    <w:rsid w:val="00F233F7"/>
    <w:rsid w:val="00F23792"/>
    <w:rsid w:val="00F23893"/>
    <w:rsid w:val="00F238F2"/>
    <w:rsid w:val="00F23998"/>
    <w:rsid w:val="00F24817"/>
    <w:rsid w:val="00F250DA"/>
    <w:rsid w:val="00F25124"/>
    <w:rsid w:val="00F25140"/>
    <w:rsid w:val="00F25537"/>
    <w:rsid w:val="00F25841"/>
    <w:rsid w:val="00F261EC"/>
    <w:rsid w:val="00F261F5"/>
    <w:rsid w:val="00F2669F"/>
    <w:rsid w:val="00F26ACF"/>
    <w:rsid w:val="00F278A4"/>
    <w:rsid w:val="00F27DC6"/>
    <w:rsid w:val="00F300C3"/>
    <w:rsid w:val="00F303C4"/>
    <w:rsid w:val="00F32546"/>
    <w:rsid w:val="00F326AC"/>
    <w:rsid w:val="00F3272B"/>
    <w:rsid w:val="00F3278F"/>
    <w:rsid w:val="00F3298A"/>
    <w:rsid w:val="00F32CC3"/>
    <w:rsid w:val="00F33266"/>
    <w:rsid w:val="00F333DB"/>
    <w:rsid w:val="00F333E3"/>
    <w:rsid w:val="00F33413"/>
    <w:rsid w:val="00F33B11"/>
    <w:rsid w:val="00F33F88"/>
    <w:rsid w:val="00F34AC1"/>
    <w:rsid w:val="00F34ACA"/>
    <w:rsid w:val="00F34D38"/>
    <w:rsid w:val="00F34FDD"/>
    <w:rsid w:val="00F358E2"/>
    <w:rsid w:val="00F35FA0"/>
    <w:rsid w:val="00F368F9"/>
    <w:rsid w:val="00F36DEE"/>
    <w:rsid w:val="00F36E36"/>
    <w:rsid w:val="00F37115"/>
    <w:rsid w:val="00F37149"/>
    <w:rsid w:val="00F37DB3"/>
    <w:rsid w:val="00F4038C"/>
    <w:rsid w:val="00F40A3F"/>
    <w:rsid w:val="00F40C53"/>
    <w:rsid w:val="00F41643"/>
    <w:rsid w:val="00F41C8D"/>
    <w:rsid w:val="00F42011"/>
    <w:rsid w:val="00F432EC"/>
    <w:rsid w:val="00F439D9"/>
    <w:rsid w:val="00F440DA"/>
    <w:rsid w:val="00F441FB"/>
    <w:rsid w:val="00F4437C"/>
    <w:rsid w:val="00F4471A"/>
    <w:rsid w:val="00F45CDB"/>
    <w:rsid w:val="00F45DAE"/>
    <w:rsid w:val="00F46564"/>
    <w:rsid w:val="00F46A35"/>
    <w:rsid w:val="00F46F2B"/>
    <w:rsid w:val="00F470A3"/>
    <w:rsid w:val="00F47149"/>
    <w:rsid w:val="00F47E37"/>
    <w:rsid w:val="00F50260"/>
    <w:rsid w:val="00F5098F"/>
    <w:rsid w:val="00F50B7A"/>
    <w:rsid w:val="00F51EBF"/>
    <w:rsid w:val="00F520FF"/>
    <w:rsid w:val="00F5244D"/>
    <w:rsid w:val="00F526E0"/>
    <w:rsid w:val="00F52801"/>
    <w:rsid w:val="00F53057"/>
    <w:rsid w:val="00F53598"/>
    <w:rsid w:val="00F536C3"/>
    <w:rsid w:val="00F53DB5"/>
    <w:rsid w:val="00F541F9"/>
    <w:rsid w:val="00F54342"/>
    <w:rsid w:val="00F54535"/>
    <w:rsid w:val="00F545A1"/>
    <w:rsid w:val="00F54699"/>
    <w:rsid w:val="00F54760"/>
    <w:rsid w:val="00F548BA"/>
    <w:rsid w:val="00F54A71"/>
    <w:rsid w:val="00F54B6B"/>
    <w:rsid w:val="00F54C5E"/>
    <w:rsid w:val="00F54F70"/>
    <w:rsid w:val="00F551E8"/>
    <w:rsid w:val="00F55213"/>
    <w:rsid w:val="00F554A3"/>
    <w:rsid w:val="00F55508"/>
    <w:rsid w:val="00F55B64"/>
    <w:rsid w:val="00F55F75"/>
    <w:rsid w:val="00F55FF2"/>
    <w:rsid w:val="00F5602B"/>
    <w:rsid w:val="00F568BC"/>
    <w:rsid w:val="00F57543"/>
    <w:rsid w:val="00F576E0"/>
    <w:rsid w:val="00F57F8D"/>
    <w:rsid w:val="00F6032E"/>
    <w:rsid w:val="00F60562"/>
    <w:rsid w:val="00F60AEB"/>
    <w:rsid w:val="00F60DD1"/>
    <w:rsid w:val="00F60F89"/>
    <w:rsid w:val="00F612E5"/>
    <w:rsid w:val="00F61322"/>
    <w:rsid w:val="00F61426"/>
    <w:rsid w:val="00F61537"/>
    <w:rsid w:val="00F615E0"/>
    <w:rsid w:val="00F61913"/>
    <w:rsid w:val="00F61DCE"/>
    <w:rsid w:val="00F61DD8"/>
    <w:rsid w:val="00F621E6"/>
    <w:rsid w:val="00F62765"/>
    <w:rsid w:val="00F6285A"/>
    <w:rsid w:val="00F63008"/>
    <w:rsid w:val="00F63651"/>
    <w:rsid w:val="00F63667"/>
    <w:rsid w:val="00F641BB"/>
    <w:rsid w:val="00F64321"/>
    <w:rsid w:val="00F646E8"/>
    <w:rsid w:val="00F64981"/>
    <w:rsid w:val="00F6691B"/>
    <w:rsid w:val="00F669CA"/>
    <w:rsid w:val="00F67BCA"/>
    <w:rsid w:val="00F7027E"/>
    <w:rsid w:val="00F70B7A"/>
    <w:rsid w:val="00F70F41"/>
    <w:rsid w:val="00F7141E"/>
    <w:rsid w:val="00F71629"/>
    <w:rsid w:val="00F71659"/>
    <w:rsid w:val="00F71F32"/>
    <w:rsid w:val="00F721B4"/>
    <w:rsid w:val="00F722A8"/>
    <w:rsid w:val="00F72EA9"/>
    <w:rsid w:val="00F735A9"/>
    <w:rsid w:val="00F73A6A"/>
    <w:rsid w:val="00F74059"/>
    <w:rsid w:val="00F74136"/>
    <w:rsid w:val="00F74226"/>
    <w:rsid w:val="00F74567"/>
    <w:rsid w:val="00F74B75"/>
    <w:rsid w:val="00F74D3F"/>
    <w:rsid w:val="00F74EA5"/>
    <w:rsid w:val="00F7535C"/>
    <w:rsid w:val="00F75362"/>
    <w:rsid w:val="00F75456"/>
    <w:rsid w:val="00F75510"/>
    <w:rsid w:val="00F75988"/>
    <w:rsid w:val="00F75A90"/>
    <w:rsid w:val="00F75D86"/>
    <w:rsid w:val="00F76118"/>
    <w:rsid w:val="00F7618F"/>
    <w:rsid w:val="00F7684F"/>
    <w:rsid w:val="00F76DC1"/>
    <w:rsid w:val="00F7709B"/>
    <w:rsid w:val="00F77138"/>
    <w:rsid w:val="00F7748D"/>
    <w:rsid w:val="00F777B7"/>
    <w:rsid w:val="00F77D78"/>
    <w:rsid w:val="00F800B1"/>
    <w:rsid w:val="00F801A5"/>
    <w:rsid w:val="00F8037B"/>
    <w:rsid w:val="00F804F3"/>
    <w:rsid w:val="00F80C56"/>
    <w:rsid w:val="00F8116D"/>
    <w:rsid w:val="00F82487"/>
    <w:rsid w:val="00F82F05"/>
    <w:rsid w:val="00F83C7B"/>
    <w:rsid w:val="00F83EFA"/>
    <w:rsid w:val="00F8400B"/>
    <w:rsid w:val="00F844BC"/>
    <w:rsid w:val="00F84FAD"/>
    <w:rsid w:val="00F85125"/>
    <w:rsid w:val="00F85A0D"/>
    <w:rsid w:val="00F85E41"/>
    <w:rsid w:val="00F85E51"/>
    <w:rsid w:val="00F86A69"/>
    <w:rsid w:val="00F86ACC"/>
    <w:rsid w:val="00F86DDD"/>
    <w:rsid w:val="00F8706B"/>
    <w:rsid w:val="00F876D4"/>
    <w:rsid w:val="00F87BAE"/>
    <w:rsid w:val="00F87DCA"/>
    <w:rsid w:val="00F87E29"/>
    <w:rsid w:val="00F90165"/>
    <w:rsid w:val="00F912C9"/>
    <w:rsid w:val="00F914CD"/>
    <w:rsid w:val="00F916D8"/>
    <w:rsid w:val="00F929D0"/>
    <w:rsid w:val="00F9367D"/>
    <w:rsid w:val="00F9391F"/>
    <w:rsid w:val="00F93971"/>
    <w:rsid w:val="00F93FA8"/>
    <w:rsid w:val="00F942E5"/>
    <w:rsid w:val="00F943E7"/>
    <w:rsid w:val="00F944BD"/>
    <w:rsid w:val="00F94673"/>
    <w:rsid w:val="00F94842"/>
    <w:rsid w:val="00F94F15"/>
    <w:rsid w:val="00F95B9D"/>
    <w:rsid w:val="00F9615C"/>
    <w:rsid w:val="00F96238"/>
    <w:rsid w:val="00F97874"/>
    <w:rsid w:val="00F97AD2"/>
    <w:rsid w:val="00F97B16"/>
    <w:rsid w:val="00F97B67"/>
    <w:rsid w:val="00F97F97"/>
    <w:rsid w:val="00FA01F4"/>
    <w:rsid w:val="00FA0458"/>
    <w:rsid w:val="00FA05AA"/>
    <w:rsid w:val="00FA0724"/>
    <w:rsid w:val="00FA07B2"/>
    <w:rsid w:val="00FA0ECB"/>
    <w:rsid w:val="00FA0FD6"/>
    <w:rsid w:val="00FA103E"/>
    <w:rsid w:val="00FA1A5C"/>
    <w:rsid w:val="00FA26F0"/>
    <w:rsid w:val="00FA2ECE"/>
    <w:rsid w:val="00FA3504"/>
    <w:rsid w:val="00FA3C4E"/>
    <w:rsid w:val="00FA3CF3"/>
    <w:rsid w:val="00FA4354"/>
    <w:rsid w:val="00FA5395"/>
    <w:rsid w:val="00FA5EC3"/>
    <w:rsid w:val="00FA5EE9"/>
    <w:rsid w:val="00FA601A"/>
    <w:rsid w:val="00FA66B3"/>
    <w:rsid w:val="00FA6859"/>
    <w:rsid w:val="00FA690C"/>
    <w:rsid w:val="00FA6A91"/>
    <w:rsid w:val="00FA6B2C"/>
    <w:rsid w:val="00FB0163"/>
    <w:rsid w:val="00FB1090"/>
    <w:rsid w:val="00FB15E8"/>
    <w:rsid w:val="00FB160C"/>
    <w:rsid w:val="00FB17B1"/>
    <w:rsid w:val="00FB1856"/>
    <w:rsid w:val="00FB1A0C"/>
    <w:rsid w:val="00FB1BEA"/>
    <w:rsid w:val="00FB1D01"/>
    <w:rsid w:val="00FB1E45"/>
    <w:rsid w:val="00FB1F39"/>
    <w:rsid w:val="00FB24D4"/>
    <w:rsid w:val="00FB2520"/>
    <w:rsid w:val="00FB283B"/>
    <w:rsid w:val="00FB374F"/>
    <w:rsid w:val="00FB3E35"/>
    <w:rsid w:val="00FB4857"/>
    <w:rsid w:val="00FB4944"/>
    <w:rsid w:val="00FB4BFD"/>
    <w:rsid w:val="00FB55B3"/>
    <w:rsid w:val="00FB55D0"/>
    <w:rsid w:val="00FB641E"/>
    <w:rsid w:val="00FB674A"/>
    <w:rsid w:val="00FB6FB6"/>
    <w:rsid w:val="00FB7CD7"/>
    <w:rsid w:val="00FC04D6"/>
    <w:rsid w:val="00FC0698"/>
    <w:rsid w:val="00FC07FB"/>
    <w:rsid w:val="00FC0A31"/>
    <w:rsid w:val="00FC0F66"/>
    <w:rsid w:val="00FC150D"/>
    <w:rsid w:val="00FC1D31"/>
    <w:rsid w:val="00FC22A3"/>
    <w:rsid w:val="00FC2BAE"/>
    <w:rsid w:val="00FC3918"/>
    <w:rsid w:val="00FC3919"/>
    <w:rsid w:val="00FC3C01"/>
    <w:rsid w:val="00FC3E5F"/>
    <w:rsid w:val="00FC4235"/>
    <w:rsid w:val="00FC4D93"/>
    <w:rsid w:val="00FC5435"/>
    <w:rsid w:val="00FC547B"/>
    <w:rsid w:val="00FC5739"/>
    <w:rsid w:val="00FC5B7C"/>
    <w:rsid w:val="00FC6A23"/>
    <w:rsid w:val="00FC6AF5"/>
    <w:rsid w:val="00FC6BB1"/>
    <w:rsid w:val="00FC7026"/>
    <w:rsid w:val="00FC72A1"/>
    <w:rsid w:val="00FC75D6"/>
    <w:rsid w:val="00FC779A"/>
    <w:rsid w:val="00FD00DA"/>
    <w:rsid w:val="00FD03B5"/>
    <w:rsid w:val="00FD0580"/>
    <w:rsid w:val="00FD0CED"/>
    <w:rsid w:val="00FD0DCE"/>
    <w:rsid w:val="00FD13AA"/>
    <w:rsid w:val="00FD17EE"/>
    <w:rsid w:val="00FD1E08"/>
    <w:rsid w:val="00FD20BC"/>
    <w:rsid w:val="00FD228F"/>
    <w:rsid w:val="00FD2431"/>
    <w:rsid w:val="00FD2DDF"/>
    <w:rsid w:val="00FD2E2A"/>
    <w:rsid w:val="00FD3007"/>
    <w:rsid w:val="00FD34AF"/>
    <w:rsid w:val="00FD3856"/>
    <w:rsid w:val="00FD38DD"/>
    <w:rsid w:val="00FD3C47"/>
    <w:rsid w:val="00FD6184"/>
    <w:rsid w:val="00FD61C1"/>
    <w:rsid w:val="00FD623A"/>
    <w:rsid w:val="00FD7473"/>
    <w:rsid w:val="00FD7F29"/>
    <w:rsid w:val="00FE0368"/>
    <w:rsid w:val="00FE039D"/>
    <w:rsid w:val="00FE0F79"/>
    <w:rsid w:val="00FE1BF0"/>
    <w:rsid w:val="00FE2BE1"/>
    <w:rsid w:val="00FE2DA7"/>
    <w:rsid w:val="00FE2E17"/>
    <w:rsid w:val="00FE2F53"/>
    <w:rsid w:val="00FE30CD"/>
    <w:rsid w:val="00FE320E"/>
    <w:rsid w:val="00FE3355"/>
    <w:rsid w:val="00FE3562"/>
    <w:rsid w:val="00FE3F2F"/>
    <w:rsid w:val="00FE421C"/>
    <w:rsid w:val="00FE4597"/>
    <w:rsid w:val="00FE4DBA"/>
    <w:rsid w:val="00FE531C"/>
    <w:rsid w:val="00FE544C"/>
    <w:rsid w:val="00FE54DE"/>
    <w:rsid w:val="00FE5CF1"/>
    <w:rsid w:val="00FE6871"/>
    <w:rsid w:val="00FE6C5B"/>
    <w:rsid w:val="00FE7306"/>
    <w:rsid w:val="00FE7371"/>
    <w:rsid w:val="00FE737C"/>
    <w:rsid w:val="00FE7759"/>
    <w:rsid w:val="00FE7908"/>
    <w:rsid w:val="00FE7E89"/>
    <w:rsid w:val="00FE7F06"/>
    <w:rsid w:val="00FF009C"/>
    <w:rsid w:val="00FF0BC4"/>
    <w:rsid w:val="00FF1297"/>
    <w:rsid w:val="00FF144B"/>
    <w:rsid w:val="00FF15F1"/>
    <w:rsid w:val="00FF1823"/>
    <w:rsid w:val="00FF19E7"/>
    <w:rsid w:val="00FF1A12"/>
    <w:rsid w:val="00FF1B11"/>
    <w:rsid w:val="00FF1F9E"/>
    <w:rsid w:val="00FF2D39"/>
    <w:rsid w:val="00FF3021"/>
    <w:rsid w:val="00FF3AD4"/>
    <w:rsid w:val="00FF3FE2"/>
    <w:rsid w:val="00FF442F"/>
    <w:rsid w:val="00FF44C7"/>
    <w:rsid w:val="00FF48D7"/>
    <w:rsid w:val="00FF49F2"/>
    <w:rsid w:val="00FF527B"/>
    <w:rsid w:val="00FF53D2"/>
    <w:rsid w:val="00FF5AD2"/>
    <w:rsid w:val="00FF5BE7"/>
    <w:rsid w:val="00FF69A3"/>
    <w:rsid w:val="00FF6AC6"/>
    <w:rsid w:val="00FF6D6D"/>
    <w:rsid w:val="00FFCDA3"/>
    <w:rsid w:val="0123BCE0"/>
    <w:rsid w:val="012B3ECC"/>
    <w:rsid w:val="0136BD10"/>
    <w:rsid w:val="0144406F"/>
    <w:rsid w:val="015E3EB9"/>
    <w:rsid w:val="01684835"/>
    <w:rsid w:val="01781986"/>
    <w:rsid w:val="01787A3D"/>
    <w:rsid w:val="017E34A0"/>
    <w:rsid w:val="017EA3E3"/>
    <w:rsid w:val="0188024F"/>
    <w:rsid w:val="01A15B56"/>
    <w:rsid w:val="01A5A1E1"/>
    <w:rsid w:val="01A70ED9"/>
    <w:rsid w:val="01AD451C"/>
    <w:rsid w:val="01AE48DB"/>
    <w:rsid w:val="01B31366"/>
    <w:rsid w:val="01B43587"/>
    <w:rsid w:val="01B5C9D4"/>
    <w:rsid w:val="01DF8EE3"/>
    <w:rsid w:val="01DFF30C"/>
    <w:rsid w:val="01E91A98"/>
    <w:rsid w:val="01E99260"/>
    <w:rsid w:val="01F7067A"/>
    <w:rsid w:val="01F7C5B9"/>
    <w:rsid w:val="01FF88A4"/>
    <w:rsid w:val="020F9207"/>
    <w:rsid w:val="02130E72"/>
    <w:rsid w:val="0226A259"/>
    <w:rsid w:val="02279A3F"/>
    <w:rsid w:val="022B494E"/>
    <w:rsid w:val="02325FC0"/>
    <w:rsid w:val="024C9CB1"/>
    <w:rsid w:val="0265821D"/>
    <w:rsid w:val="02677AB4"/>
    <w:rsid w:val="0272CE62"/>
    <w:rsid w:val="02761A45"/>
    <w:rsid w:val="0278D139"/>
    <w:rsid w:val="027A5361"/>
    <w:rsid w:val="027C68A1"/>
    <w:rsid w:val="02915CB2"/>
    <w:rsid w:val="029BDA82"/>
    <w:rsid w:val="02A220D4"/>
    <w:rsid w:val="02A86657"/>
    <w:rsid w:val="02AD51F6"/>
    <w:rsid w:val="02B3C356"/>
    <w:rsid w:val="02B98D61"/>
    <w:rsid w:val="02BA8F1B"/>
    <w:rsid w:val="02C9CA84"/>
    <w:rsid w:val="02CB3D1B"/>
    <w:rsid w:val="02D1BB74"/>
    <w:rsid w:val="02D85783"/>
    <w:rsid w:val="02F6484E"/>
    <w:rsid w:val="02FCE3AE"/>
    <w:rsid w:val="03047E38"/>
    <w:rsid w:val="03139966"/>
    <w:rsid w:val="031FE139"/>
    <w:rsid w:val="0322F9AF"/>
    <w:rsid w:val="032B9CFC"/>
    <w:rsid w:val="032BB4A3"/>
    <w:rsid w:val="033D6CEA"/>
    <w:rsid w:val="034962AC"/>
    <w:rsid w:val="034AC93D"/>
    <w:rsid w:val="0355D744"/>
    <w:rsid w:val="0359287E"/>
    <w:rsid w:val="036450FF"/>
    <w:rsid w:val="03679A7F"/>
    <w:rsid w:val="036F1C9B"/>
    <w:rsid w:val="03709FFF"/>
    <w:rsid w:val="03787099"/>
    <w:rsid w:val="037C39D7"/>
    <w:rsid w:val="037DBD94"/>
    <w:rsid w:val="0383B092"/>
    <w:rsid w:val="03860599"/>
    <w:rsid w:val="0396C7F9"/>
    <w:rsid w:val="03977827"/>
    <w:rsid w:val="03B3BF73"/>
    <w:rsid w:val="03BE7B67"/>
    <w:rsid w:val="03D60653"/>
    <w:rsid w:val="03DAADF0"/>
    <w:rsid w:val="03F48404"/>
    <w:rsid w:val="03F5BD30"/>
    <w:rsid w:val="03F605E9"/>
    <w:rsid w:val="03F89E75"/>
    <w:rsid w:val="03FA830A"/>
    <w:rsid w:val="03FEC104"/>
    <w:rsid w:val="0401FE91"/>
    <w:rsid w:val="040627B5"/>
    <w:rsid w:val="0413B10E"/>
    <w:rsid w:val="0424E9C7"/>
    <w:rsid w:val="043C3596"/>
    <w:rsid w:val="043FB95C"/>
    <w:rsid w:val="044310B7"/>
    <w:rsid w:val="04630BF5"/>
    <w:rsid w:val="04753D0F"/>
    <w:rsid w:val="0476242E"/>
    <w:rsid w:val="0482E2F8"/>
    <w:rsid w:val="048B2843"/>
    <w:rsid w:val="049243BE"/>
    <w:rsid w:val="0492C811"/>
    <w:rsid w:val="04974DD8"/>
    <w:rsid w:val="049C19EC"/>
    <w:rsid w:val="04D85B34"/>
    <w:rsid w:val="04D9EB77"/>
    <w:rsid w:val="04DF7B5E"/>
    <w:rsid w:val="04E0A462"/>
    <w:rsid w:val="04E66445"/>
    <w:rsid w:val="04F06653"/>
    <w:rsid w:val="04F4E8DA"/>
    <w:rsid w:val="05003352"/>
    <w:rsid w:val="0502B014"/>
    <w:rsid w:val="05037A06"/>
    <w:rsid w:val="05041FDB"/>
    <w:rsid w:val="050CD2C9"/>
    <w:rsid w:val="050D1540"/>
    <w:rsid w:val="05129D89"/>
    <w:rsid w:val="052A97EC"/>
    <w:rsid w:val="052D24A7"/>
    <w:rsid w:val="0564D58D"/>
    <w:rsid w:val="057CC741"/>
    <w:rsid w:val="058D9657"/>
    <w:rsid w:val="0590E0E6"/>
    <w:rsid w:val="0598AA10"/>
    <w:rsid w:val="05A4537F"/>
    <w:rsid w:val="05A45ECF"/>
    <w:rsid w:val="05B291D2"/>
    <w:rsid w:val="05B549BD"/>
    <w:rsid w:val="05BB8FF8"/>
    <w:rsid w:val="05C3AADB"/>
    <w:rsid w:val="05E79D42"/>
    <w:rsid w:val="05ED5484"/>
    <w:rsid w:val="05EFA61F"/>
    <w:rsid w:val="06056B92"/>
    <w:rsid w:val="060ACA78"/>
    <w:rsid w:val="06164982"/>
    <w:rsid w:val="061FE9FD"/>
    <w:rsid w:val="06430724"/>
    <w:rsid w:val="064B1E8F"/>
    <w:rsid w:val="06500BC9"/>
    <w:rsid w:val="065FEA37"/>
    <w:rsid w:val="066A82F4"/>
    <w:rsid w:val="066AC5DE"/>
    <w:rsid w:val="066D6267"/>
    <w:rsid w:val="066F16C1"/>
    <w:rsid w:val="06741AD6"/>
    <w:rsid w:val="0677258D"/>
    <w:rsid w:val="0679F9F3"/>
    <w:rsid w:val="067E7AA0"/>
    <w:rsid w:val="068154D1"/>
    <w:rsid w:val="068E124C"/>
    <w:rsid w:val="069A92BA"/>
    <w:rsid w:val="06B5D39E"/>
    <w:rsid w:val="06BB1AC2"/>
    <w:rsid w:val="06C3718F"/>
    <w:rsid w:val="06D92141"/>
    <w:rsid w:val="06E6965F"/>
    <w:rsid w:val="06E92D5C"/>
    <w:rsid w:val="06F1C3AA"/>
    <w:rsid w:val="06FF25AF"/>
    <w:rsid w:val="070E3F5C"/>
    <w:rsid w:val="0717B10F"/>
    <w:rsid w:val="07213131"/>
    <w:rsid w:val="074472A9"/>
    <w:rsid w:val="074D714C"/>
    <w:rsid w:val="074F40FD"/>
    <w:rsid w:val="075F0373"/>
    <w:rsid w:val="076C40B3"/>
    <w:rsid w:val="07772242"/>
    <w:rsid w:val="07778509"/>
    <w:rsid w:val="0787B7DA"/>
    <w:rsid w:val="078DED7D"/>
    <w:rsid w:val="0795F2BA"/>
    <w:rsid w:val="079820AE"/>
    <w:rsid w:val="07A43F3B"/>
    <w:rsid w:val="07A5DF90"/>
    <w:rsid w:val="07AEA43A"/>
    <w:rsid w:val="07B189B5"/>
    <w:rsid w:val="07B5CED2"/>
    <w:rsid w:val="07C43627"/>
    <w:rsid w:val="07CF3B6E"/>
    <w:rsid w:val="07D628F3"/>
    <w:rsid w:val="07D8D442"/>
    <w:rsid w:val="07E4D847"/>
    <w:rsid w:val="07FD64A1"/>
    <w:rsid w:val="08047426"/>
    <w:rsid w:val="0804AFE4"/>
    <w:rsid w:val="080B4BC9"/>
    <w:rsid w:val="080BCD16"/>
    <w:rsid w:val="080E59C7"/>
    <w:rsid w:val="0813D3B9"/>
    <w:rsid w:val="081C2C91"/>
    <w:rsid w:val="0820D6C6"/>
    <w:rsid w:val="08214703"/>
    <w:rsid w:val="08256B19"/>
    <w:rsid w:val="08395A83"/>
    <w:rsid w:val="08456DB7"/>
    <w:rsid w:val="0847D6D8"/>
    <w:rsid w:val="084FFAB7"/>
    <w:rsid w:val="0851F2F5"/>
    <w:rsid w:val="08585184"/>
    <w:rsid w:val="085B0C24"/>
    <w:rsid w:val="086C45E7"/>
    <w:rsid w:val="087436CD"/>
    <w:rsid w:val="08781C55"/>
    <w:rsid w:val="08820219"/>
    <w:rsid w:val="088B220D"/>
    <w:rsid w:val="089B0CDA"/>
    <w:rsid w:val="08B4822F"/>
    <w:rsid w:val="08C1C05D"/>
    <w:rsid w:val="08C8E381"/>
    <w:rsid w:val="08CBE4F0"/>
    <w:rsid w:val="08D5DEE2"/>
    <w:rsid w:val="08EA0BF6"/>
    <w:rsid w:val="08F6EDC0"/>
    <w:rsid w:val="08FB0815"/>
    <w:rsid w:val="09047007"/>
    <w:rsid w:val="091054B0"/>
    <w:rsid w:val="093261B4"/>
    <w:rsid w:val="0939AF99"/>
    <w:rsid w:val="0953ACEB"/>
    <w:rsid w:val="09592230"/>
    <w:rsid w:val="09650A73"/>
    <w:rsid w:val="0966B449"/>
    <w:rsid w:val="097125DE"/>
    <w:rsid w:val="09755AED"/>
    <w:rsid w:val="097A834F"/>
    <w:rsid w:val="09813BFC"/>
    <w:rsid w:val="09841839"/>
    <w:rsid w:val="0987FB60"/>
    <w:rsid w:val="098DF391"/>
    <w:rsid w:val="09946A32"/>
    <w:rsid w:val="099A3D90"/>
    <w:rsid w:val="09A064AE"/>
    <w:rsid w:val="09A98525"/>
    <w:rsid w:val="09AE21AF"/>
    <w:rsid w:val="09BE6986"/>
    <w:rsid w:val="09BF9AFC"/>
    <w:rsid w:val="09C98BD8"/>
    <w:rsid w:val="09CF4F23"/>
    <w:rsid w:val="09D16933"/>
    <w:rsid w:val="09D773AB"/>
    <w:rsid w:val="09D7C99A"/>
    <w:rsid w:val="09D85D22"/>
    <w:rsid w:val="09DA2A9F"/>
    <w:rsid w:val="09E20CBE"/>
    <w:rsid w:val="09E522AD"/>
    <w:rsid w:val="09F35DF7"/>
    <w:rsid w:val="09F47DF9"/>
    <w:rsid w:val="09F760BD"/>
    <w:rsid w:val="09F9491E"/>
    <w:rsid w:val="09FBA42E"/>
    <w:rsid w:val="0A0080B1"/>
    <w:rsid w:val="0A01E4E1"/>
    <w:rsid w:val="0A021E5D"/>
    <w:rsid w:val="0A3D34AD"/>
    <w:rsid w:val="0A3E97EB"/>
    <w:rsid w:val="0A4738DF"/>
    <w:rsid w:val="0A48B50B"/>
    <w:rsid w:val="0A54C620"/>
    <w:rsid w:val="0A5A7BB5"/>
    <w:rsid w:val="0A60C4E5"/>
    <w:rsid w:val="0A64FF53"/>
    <w:rsid w:val="0A6A1E7C"/>
    <w:rsid w:val="0A770430"/>
    <w:rsid w:val="0A7DD503"/>
    <w:rsid w:val="0A7FB255"/>
    <w:rsid w:val="0A8287C4"/>
    <w:rsid w:val="0A8537FD"/>
    <w:rsid w:val="0A94BF19"/>
    <w:rsid w:val="0AA7D5E4"/>
    <w:rsid w:val="0AABA1AA"/>
    <w:rsid w:val="0AAF156B"/>
    <w:rsid w:val="0ABD12E0"/>
    <w:rsid w:val="0AC2137D"/>
    <w:rsid w:val="0AC5F2A5"/>
    <w:rsid w:val="0ACA8210"/>
    <w:rsid w:val="0AD210DF"/>
    <w:rsid w:val="0AF8C25C"/>
    <w:rsid w:val="0AFA7014"/>
    <w:rsid w:val="0AFAE6B0"/>
    <w:rsid w:val="0B0613CA"/>
    <w:rsid w:val="0B120D42"/>
    <w:rsid w:val="0B191D94"/>
    <w:rsid w:val="0B1BFFFC"/>
    <w:rsid w:val="0B22F49B"/>
    <w:rsid w:val="0B275CB1"/>
    <w:rsid w:val="0B2C0BE3"/>
    <w:rsid w:val="0B2F1D85"/>
    <w:rsid w:val="0B4B3EB8"/>
    <w:rsid w:val="0B4D3E10"/>
    <w:rsid w:val="0B5CE9C9"/>
    <w:rsid w:val="0B624225"/>
    <w:rsid w:val="0B72F576"/>
    <w:rsid w:val="0B77B9DB"/>
    <w:rsid w:val="0B79005C"/>
    <w:rsid w:val="0B8C3968"/>
    <w:rsid w:val="0B953DFF"/>
    <w:rsid w:val="0B96BB5E"/>
    <w:rsid w:val="0BA4E140"/>
    <w:rsid w:val="0BBFDC4F"/>
    <w:rsid w:val="0BC321AB"/>
    <w:rsid w:val="0BC62E91"/>
    <w:rsid w:val="0BCFDA59"/>
    <w:rsid w:val="0BEBA8B0"/>
    <w:rsid w:val="0BEF3D6F"/>
    <w:rsid w:val="0BF0463E"/>
    <w:rsid w:val="0C0C902E"/>
    <w:rsid w:val="0C0D6BCD"/>
    <w:rsid w:val="0C24740F"/>
    <w:rsid w:val="0C28780F"/>
    <w:rsid w:val="0C2D5C58"/>
    <w:rsid w:val="0C3F605A"/>
    <w:rsid w:val="0C43F560"/>
    <w:rsid w:val="0C4687BC"/>
    <w:rsid w:val="0C517191"/>
    <w:rsid w:val="0C5207A5"/>
    <w:rsid w:val="0C55AD44"/>
    <w:rsid w:val="0C6D98E3"/>
    <w:rsid w:val="0C7FE134"/>
    <w:rsid w:val="0C923E19"/>
    <w:rsid w:val="0C938F5B"/>
    <w:rsid w:val="0C958475"/>
    <w:rsid w:val="0C99C005"/>
    <w:rsid w:val="0CABE7C3"/>
    <w:rsid w:val="0CC52FE8"/>
    <w:rsid w:val="0CCD2C21"/>
    <w:rsid w:val="0CD09BC6"/>
    <w:rsid w:val="0CD69DF1"/>
    <w:rsid w:val="0CD7005F"/>
    <w:rsid w:val="0CD7A92F"/>
    <w:rsid w:val="0CE77F18"/>
    <w:rsid w:val="0CE9E81F"/>
    <w:rsid w:val="0CF5D89C"/>
    <w:rsid w:val="0CFAD62F"/>
    <w:rsid w:val="0D01C9DB"/>
    <w:rsid w:val="0D049D2B"/>
    <w:rsid w:val="0D127CF1"/>
    <w:rsid w:val="0D1E946F"/>
    <w:rsid w:val="0D26283A"/>
    <w:rsid w:val="0D281517"/>
    <w:rsid w:val="0D2E3048"/>
    <w:rsid w:val="0D3D5D85"/>
    <w:rsid w:val="0D3D9F8E"/>
    <w:rsid w:val="0D437100"/>
    <w:rsid w:val="0D4390B8"/>
    <w:rsid w:val="0D45B99C"/>
    <w:rsid w:val="0D4C8E10"/>
    <w:rsid w:val="0D4CEAA7"/>
    <w:rsid w:val="0D627F8C"/>
    <w:rsid w:val="0D6CE373"/>
    <w:rsid w:val="0D6F2AE8"/>
    <w:rsid w:val="0D83A32C"/>
    <w:rsid w:val="0D8C5682"/>
    <w:rsid w:val="0D98EEA8"/>
    <w:rsid w:val="0D9E23A3"/>
    <w:rsid w:val="0DA0371F"/>
    <w:rsid w:val="0DAD5417"/>
    <w:rsid w:val="0DB3C3BF"/>
    <w:rsid w:val="0DC6E5C1"/>
    <w:rsid w:val="0DD5BE87"/>
    <w:rsid w:val="0DDC4F78"/>
    <w:rsid w:val="0DF2D198"/>
    <w:rsid w:val="0E0D8762"/>
    <w:rsid w:val="0E0D967A"/>
    <w:rsid w:val="0E119900"/>
    <w:rsid w:val="0E1584F2"/>
    <w:rsid w:val="0E36CFE6"/>
    <w:rsid w:val="0E5614D5"/>
    <w:rsid w:val="0E588E54"/>
    <w:rsid w:val="0E5A0FDD"/>
    <w:rsid w:val="0E690B0B"/>
    <w:rsid w:val="0E6C14FD"/>
    <w:rsid w:val="0E6F5B59"/>
    <w:rsid w:val="0E71B7E3"/>
    <w:rsid w:val="0E7CF5C5"/>
    <w:rsid w:val="0E84A59C"/>
    <w:rsid w:val="0E8ABBE5"/>
    <w:rsid w:val="0E8B637D"/>
    <w:rsid w:val="0E8E7C36"/>
    <w:rsid w:val="0E95B869"/>
    <w:rsid w:val="0E9C58DB"/>
    <w:rsid w:val="0EAA4F15"/>
    <w:rsid w:val="0EB009A6"/>
    <w:rsid w:val="0EDE096E"/>
    <w:rsid w:val="0EF85A24"/>
    <w:rsid w:val="0EFD1860"/>
    <w:rsid w:val="0F13A323"/>
    <w:rsid w:val="0F177672"/>
    <w:rsid w:val="0F1D6B8B"/>
    <w:rsid w:val="0F2DAE60"/>
    <w:rsid w:val="0F2EC834"/>
    <w:rsid w:val="0F334048"/>
    <w:rsid w:val="0F3D1713"/>
    <w:rsid w:val="0F45A9A5"/>
    <w:rsid w:val="0F492F29"/>
    <w:rsid w:val="0F51FA47"/>
    <w:rsid w:val="0F554A94"/>
    <w:rsid w:val="0F5FA4D9"/>
    <w:rsid w:val="0F6E7CEA"/>
    <w:rsid w:val="0F72C58C"/>
    <w:rsid w:val="0F77593E"/>
    <w:rsid w:val="0F78E1CB"/>
    <w:rsid w:val="0F83ED5C"/>
    <w:rsid w:val="0F9DFA1E"/>
    <w:rsid w:val="0FA4A22D"/>
    <w:rsid w:val="0FB4AC84"/>
    <w:rsid w:val="0FB4F76C"/>
    <w:rsid w:val="0FBAC56E"/>
    <w:rsid w:val="0FBED24D"/>
    <w:rsid w:val="0FF39723"/>
    <w:rsid w:val="0FF3BC06"/>
    <w:rsid w:val="0FF489F5"/>
    <w:rsid w:val="0FFE11A8"/>
    <w:rsid w:val="0FFE8682"/>
    <w:rsid w:val="0FFF5DEB"/>
    <w:rsid w:val="10043BB8"/>
    <w:rsid w:val="10074DA0"/>
    <w:rsid w:val="100A863A"/>
    <w:rsid w:val="1010A6CA"/>
    <w:rsid w:val="10165D68"/>
    <w:rsid w:val="102C219A"/>
    <w:rsid w:val="103066D3"/>
    <w:rsid w:val="10379111"/>
    <w:rsid w:val="10384F9D"/>
    <w:rsid w:val="103EFE59"/>
    <w:rsid w:val="1044295C"/>
    <w:rsid w:val="104624D1"/>
    <w:rsid w:val="10560DF3"/>
    <w:rsid w:val="1056D3D4"/>
    <w:rsid w:val="105C7AB4"/>
    <w:rsid w:val="10612C14"/>
    <w:rsid w:val="107591CC"/>
    <w:rsid w:val="1077E42F"/>
    <w:rsid w:val="10811EC2"/>
    <w:rsid w:val="1098EAE6"/>
    <w:rsid w:val="10ADC1E1"/>
    <w:rsid w:val="10AE1C01"/>
    <w:rsid w:val="10AEAED4"/>
    <w:rsid w:val="10B000E7"/>
    <w:rsid w:val="10B8C700"/>
    <w:rsid w:val="10BA3EBA"/>
    <w:rsid w:val="10CCB196"/>
    <w:rsid w:val="10D79A93"/>
    <w:rsid w:val="10ECF738"/>
    <w:rsid w:val="10F04002"/>
    <w:rsid w:val="110A5372"/>
    <w:rsid w:val="110B4999"/>
    <w:rsid w:val="11132FAC"/>
    <w:rsid w:val="1116312E"/>
    <w:rsid w:val="1121029A"/>
    <w:rsid w:val="112545C6"/>
    <w:rsid w:val="11350907"/>
    <w:rsid w:val="113DC863"/>
    <w:rsid w:val="114367E6"/>
    <w:rsid w:val="11503AED"/>
    <w:rsid w:val="1173B255"/>
    <w:rsid w:val="1176B83F"/>
    <w:rsid w:val="117B6B75"/>
    <w:rsid w:val="118784AF"/>
    <w:rsid w:val="118E6B36"/>
    <w:rsid w:val="119A4BB9"/>
    <w:rsid w:val="11A63D6B"/>
    <w:rsid w:val="11A94FCD"/>
    <w:rsid w:val="11AC772B"/>
    <w:rsid w:val="11C03128"/>
    <w:rsid w:val="11C03BC0"/>
    <w:rsid w:val="11C66CC3"/>
    <w:rsid w:val="11D01BC9"/>
    <w:rsid w:val="11D9F9E7"/>
    <w:rsid w:val="11FF0C5D"/>
    <w:rsid w:val="1208E122"/>
    <w:rsid w:val="1212C1BA"/>
    <w:rsid w:val="12163615"/>
    <w:rsid w:val="1222FAED"/>
    <w:rsid w:val="122C691A"/>
    <w:rsid w:val="122F2711"/>
    <w:rsid w:val="123CE5F0"/>
    <w:rsid w:val="12411C41"/>
    <w:rsid w:val="1244CCC9"/>
    <w:rsid w:val="1246324E"/>
    <w:rsid w:val="124BC71A"/>
    <w:rsid w:val="1262F14C"/>
    <w:rsid w:val="126DE990"/>
    <w:rsid w:val="12921E98"/>
    <w:rsid w:val="12A3B067"/>
    <w:rsid w:val="12A632A5"/>
    <w:rsid w:val="12AC7CC7"/>
    <w:rsid w:val="12AE084B"/>
    <w:rsid w:val="12B9C35E"/>
    <w:rsid w:val="12BBF285"/>
    <w:rsid w:val="12C54E4D"/>
    <w:rsid w:val="12C6758C"/>
    <w:rsid w:val="12C8DAC1"/>
    <w:rsid w:val="12D5EE74"/>
    <w:rsid w:val="12DC08F0"/>
    <w:rsid w:val="12DF4DD3"/>
    <w:rsid w:val="12E3768C"/>
    <w:rsid w:val="12F3DD79"/>
    <w:rsid w:val="12F731B4"/>
    <w:rsid w:val="12F899F0"/>
    <w:rsid w:val="12FFD8FF"/>
    <w:rsid w:val="131BD61B"/>
    <w:rsid w:val="1323420F"/>
    <w:rsid w:val="132EA0C3"/>
    <w:rsid w:val="13380EF0"/>
    <w:rsid w:val="1348DF04"/>
    <w:rsid w:val="134D657C"/>
    <w:rsid w:val="135C0EE8"/>
    <w:rsid w:val="1377FADF"/>
    <w:rsid w:val="138F48D8"/>
    <w:rsid w:val="13904BA1"/>
    <w:rsid w:val="13958C72"/>
    <w:rsid w:val="13976F87"/>
    <w:rsid w:val="139C43AB"/>
    <w:rsid w:val="13C0B9FC"/>
    <w:rsid w:val="13C876FA"/>
    <w:rsid w:val="13D401B4"/>
    <w:rsid w:val="13D6C023"/>
    <w:rsid w:val="13E13A9A"/>
    <w:rsid w:val="13F830F5"/>
    <w:rsid w:val="13F89C33"/>
    <w:rsid w:val="13F9A346"/>
    <w:rsid w:val="13FA6916"/>
    <w:rsid w:val="140C0715"/>
    <w:rsid w:val="140CA053"/>
    <w:rsid w:val="1419C271"/>
    <w:rsid w:val="1429634F"/>
    <w:rsid w:val="142C5EC6"/>
    <w:rsid w:val="142EEE7C"/>
    <w:rsid w:val="14307061"/>
    <w:rsid w:val="145BBA28"/>
    <w:rsid w:val="1469894E"/>
    <w:rsid w:val="147581CF"/>
    <w:rsid w:val="14862B62"/>
    <w:rsid w:val="148830AF"/>
    <w:rsid w:val="1497991A"/>
    <w:rsid w:val="14A0EB83"/>
    <w:rsid w:val="14B9C89C"/>
    <w:rsid w:val="14BCDBB7"/>
    <w:rsid w:val="14BD9786"/>
    <w:rsid w:val="14C22E24"/>
    <w:rsid w:val="14C5ADCC"/>
    <w:rsid w:val="14CE9DA6"/>
    <w:rsid w:val="14D06569"/>
    <w:rsid w:val="14D3FC56"/>
    <w:rsid w:val="14D7B921"/>
    <w:rsid w:val="14DC9009"/>
    <w:rsid w:val="14DE03BD"/>
    <w:rsid w:val="14FA00C7"/>
    <w:rsid w:val="14FB264E"/>
    <w:rsid w:val="14FFD837"/>
    <w:rsid w:val="152B71A2"/>
    <w:rsid w:val="152EFEB0"/>
    <w:rsid w:val="1553A3E6"/>
    <w:rsid w:val="1555C9C9"/>
    <w:rsid w:val="1564034A"/>
    <w:rsid w:val="156D9171"/>
    <w:rsid w:val="156E6262"/>
    <w:rsid w:val="1584ECEE"/>
    <w:rsid w:val="158BD54A"/>
    <w:rsid w:val="159D3F6F"/>
    <w:rsid w:val="15A97B9D"/>
    <w:rsid w:val="15B5EC2B"/>
    <w:rsid w:val="15BFFC14"/>
    <w:rsid w:val="15C43517"/>
    <w:rsid w:val="15C85D0A"/>
    <w:rsid w:val="15C95E89"/>
    <w:rsid w:val="15D138F0"/>
    <w:rsid w:val="15D1EDBE"/>
    <w:rsid w:val="15D2CA8F"/>
    <w:rsid w:val="15DE081D"/>
    <w:rsid w:val="15E3114A"/>
    <w:rsid w:val="15E5B0DA"/>
    <w:rsid w:val="15E8E312"/>
    <w:rsid w:val="15EC9B94"/>
    <w:rsid w:val="15EE1EF8"/>
    <w:rsid w:val="160DBD8E"/>
    <w:rsid w:val="16187119"/>
    <w:rsid w:val="161D96A4"/>
    <w:rsid w:val="161FDEF5"/>
    <w:rsid w:val="1633E63B"/>
    <w:rsid w:val="163EA736"/>
    <w:rsid w:val="16436032"/>
    <w:rsid w:val="164508F9"/>
    <w:rsid w:val="1645FD68"/>
    <w:rsid w:val="1646B5E6"/>
    <w:rsid w:val="1648A3B2"/>
    <w:rsid w:val="164D3C38"/>
    <w:rsid w:val="1670D40D"/>
    <w:rsid w:val="167AB9D1"/>
    <w:rsid w:val="1685FEAD"/>
    <w:rsid w:val="16879ECD"/>
    <w:rsid w:val="16901C28"/>
    <w:rsid w:val="16A72EEC"/>
    <w:rsid w:val="16B08E4B"/>
    <w:rsid w:val="16B4973C"/>
    <w:rsid w:val="16C2FAFF"/>
    <w:rsid w:val="16C79BB6"/>
    <w:rsid w:val="16CBBF19"/>
    <w:rsid w:val="16D3F5A8"/>
    <w:rsid w:val="16D4CA61"/>
    <w:rsid w:val="16D4FD32"/>
    <w:rsid w:val="16EAF83A"/>
    <w:rsid w:val="16EBCA37"/>
    <w:rsid w:val="16ECC3CE"/>
    <w:rsid w:val="16EEE42C"/>
    <w:rsid w:val="1715A01F"/>
    <w:rsid w:val="1720B53F"/>
    <w:rsid w:val="17278C9C"/>
    <w:rsid w:val="172D7ACA"/>
    <w:rsid w:val="172E999A"/>
    <w:rsid w:val="173C1A58"/>
    <w:rsid w:val="173EDCAF"/>
    <w:rsid w:val="17402DE1"/>
    <w:rsid w:val="174CD542"/>
    <w:rsid w:val="1750A66B"/>
    <w:rsid w:val="1765AC2E"/>
    <w:rsid w:val="176DFFBE"/>
    <w:rsid w:val="1772F5AB"/>
    <w:rsid w:val="17730A80"/>
    <w:rsid w:val="177421F6"/>
    <w:rsid w:val="177497B0"/>
    <w:rsid w:val="177EF469"/>
    <w:rsid w:val="178681D5"/>
    <w:rsid w:val="17974F99"/>
    <w:rsid w:val="17A11F78"/>
    <w:rsid w:val="17AADDE6"/>
    <w:rsid w:val="17AB3712"/>
    <w:rsid w:val="17ACEB6C"/>
    <w:rsid w:val="17BAE45A"/>
    <w:rsid w:val="17C66F7B"/>
    <w:rsid w:val="17C839BD"/>
    <w:rsid w:val="17C93248"/>
    <w:rsid w:val="17DF741B"/>
    <w:rsid w:val="17DFC9E0"/>
    <w:rsid w:val="17E5B8BE"/>
    <w:rsid w:val="17EBF42D"/>
    <w:rsid w:val="17ED38A9"/>
    <w:rsid w:val="17EDAD83"/>
    <w:rsid w:val="17EE13F1"/>
    <w:rsid w:val="17EE626D"/>
    <w:rsid w:val="17FBE734"/>
    <w:rsid w:val="18016F93"/>
    <w:rsid w:val="180183A3"/>
    <w:rsid w:val="1804206B"/>
    <w:rsid w:val="18128709"/>
    <w:rsid w:val="181985EC"/>
    <w:rsid w:val="182540F7"/>
    <w:rsid w:val="1837E0CA"/>
    <w:rsid w:val="1845A41C"/>
    <w:rsid w:val="185C58F0"/>
    <w:rsid w:val="18611445"/>
    <w:rsid w:val="1869AA56"/>
    <w:rsid w:val="18751C3B"/>
    <w:rsid w:val="187FE769"/>
    <w:rsid w:val="18834516"/>
    <w:rsid w:val="1892A430"/>
    <w:rsid w:val="1892CC46"/>
    <w:rsid w:val="18A4670D"/>
    <w:rsid w:val="18AEA145"/>
    <w:rsid w:val="18B7C92D"/>
    <w:rsid w:val="18B95AEF"/>
    <w:rsid w:val="18B9BEA0"/>
    <w:rsid w:val="18BE87C3"/>
    <w:rsid w:val="18BFB97E"/>
    <w:rsid w:val="18C1182C"/>
    <w:rsid w:val="18CC3113"/>
    <w:rsid w:val="18CC8E0E"/>
    <w:rsid w:val="18DB2C45"/>
    <w:rsid w:val="18E41D18"/>
    <w:rsid w:val="18E7B57D"/>
    <w:rsid w:val="18EBB0C3"/>
    <w:rsid w:val="18ECF6E2"/>
    <w:rsid w:val="18F2A399"/>
    <w:rsid w:val="18F470D6"/>
    <w:rsid w:val="18F6BECF"/>
    <w:rsid w:val="18FD8DA0"/>
    <w:rsid w:val="190879F1"/>
    <w:rsid w:val="19145985"/>
    <w:rsid w:val="19183276"/>
    <w:rsid w:val="191C4B1B"/>
    <w:rsid w:val="191DC14D"/>
    <w:rsid w:val="191DD32F"/>
    <w:rsid w:val="1933F3F6"/>
    <w:rsid w:val="194422F2"/>
    <w:rsid w:val="194818AE"/>
    <w:rsid w:val="1948BE41"/>
    <w:rsid w:val="194AD0B1"/>
    <w:rsid w:val="195D5EBE"/>
    <w:rsid w:val="195EAB71"/>
    <w:rsid w:val="1966D71A"/>
    <w:rsid w:val="1971267D"/>
    <w:rsid w:val="1978DA85"/>
    <w:rsid w:val="19794C9A"/>
    <w:rsid w:val="1987F045"/>
    <w:rsid w:val="198F68D5"/>
    <w:rsid w:val="19903D46"/>
    <w:rsid w:val="199231ED"/>
    <w:rsid w:val="19A29250"/>
    <w:rsid w:val="19AB3C57"/>
    <w:rsid w:val="19AEBDE6"/>
    <w:rsid w:val="19B7EEB1"/>
    <w:rsid w:val="19B94AFF"/>
    <w:rsid w:val="19BDD174"/>
    <w:rsid w:val="19C83951"/>
    <w:rsid w:val="19CCAF66"/>
    <w:rsid w:val="19CCE734"/>
    <w:rsid w:val="19D0B5B4"/>
    <w:rsid w:val="19D0F551"/>
    <w:rsid w:val="19D7DE73"/>
    <w:rsid w:val="19E25C4C"/>
    <w:rsid w:val="19F02133"/>
    <w:rsid w:val="1A081AA0"/>
    <w:rsid w:val="1A145A7E"/>
    <w:rsid w:val="1A2A8EAF"/>
    <w:rsid w:val="1A306DED"/>
    <w:rsid w:val="1A348D76"/>
    <w:rsid w:val="1A38DCC0"/>
    <w:rsid w:val="1A3EF5C4"/>
    <w:rsid w:val="1A4AB890"/>
    <w:rsid w:val="1A4C8AA7"/>
    <w:rsid w:val="1A4FD103"/>
    <w:rsid w:val="1A57BE89"/>
    <w:rsid w:val="1A5870CC"/>
    <w:rsid w:val="1A5B608B"/>
    <w:rsid w:val="1A6C44E8"/>
    <w:rsid w:val="1A6D39D9"/>
    <w:rsid w:val="1A77C299"/>
    <w:rsid w:val="1A82F993"/>
    <w:rsid w:val="1A8325EC"/>
    <w:rsid w:val="1A89647E"/>
    <w:rsid w:val="1A896D87"/>
    <w:rsid w:val="1A92D42A"/>
    <w:rsid w:val="1A9EFDC7"/>
    <w:rsid w:val="1A9F69CB"/>
    <w:rsid w:val="1AA488F4"/>
    <w:rsid w:val="1AB44943"/>
    <w:rsid w:val="1AC3CBCD"/>
    <w:rsid w:val="1AD05167"/>
    <w:rsid w:val="1AE146C5"/>
    <w:rsid w:val="1AE2CDEC"/>
    <w:rsid w:val="1B072205"/>
    <w:rsid w:val="1B08E02E"/>
    <w:rsid w:val="1B08E328"/>
    <w:rsid w:val="1B235D66"/>
    <w:rsid w:val="1B3674EB"/>
    <w:rsid w:val="1B3BBEF2"/>
    <w:rsid w:val="1B4EE39C"/>
    <w:rsid w:val="1B55909D"/>
    <w:rsid w:val="1B5BBCB1"/>
    <w:rsid w:val="1B67EE47"/>
    <w:rsid w:val="1B716871"/>
    <w:rsid w:val="1B74F165"/>
    <w:rsid w:val="1B769370"/>
    <w:rsid w:val="1B813DE2"/>
    <w:rsid w:val="1B84681B"/>
    <w:rsid w:val="1B8871D6"/>
    <w:rsid w:val="1B8E2E82"/>
    <w:rsid w:val="1B904F7F"/>
    <w:rsid w:val="1B974EC5"/>
    <w:rsid w:val="1B9804D6"/>
    <w:rsid w:val="1B9EE80C"/>
    <w:rsid w:val="1BA267FA"/>
    <w:rsid w:val="1BB09A1E"/>
    <w:rsid w:val="1BB79EE0"/>
    <w:rsid w:val="1BC40290"/>
    <w:rsid w:val="1BD31402"/>
    <w:rsid w:val="1BDED414"/>
    <w:rsid w:val="1BE620E8"/>
    <w:rsid w:val="1BFAEF7B"/>
    <w:rsid w:val="1C19E798"/>
    <w:rsid w:val="1C1EE60B"/>
    <w:rsid w:val="1C30B516"/>
    <w:rsid w:val="1C4F378A"/>
    <w:rsid w:val="1C50BDCC"/>
    <w:rsid w:val="1C542ABA"/>
    <w:rsid w:val="1C544B0C"/>
    <w:rsid w:val="1C574822"/>
    <w:rsid w:val="1C703F1D"/>
    <w:rsid w:val="1C7CA154"/>
    <w:rsid w:val="1C7CAD86"/>
    <w:rsid w:val="1C8055FB"/>
    <w:rsid w:val="1C8EBC45"/>
    <w:rsid w:val="1C951C90"/>
    <w:rsid w:val="1C9F6218"/>
    <w:rsid w:val="1CAC3DB5"/>
    <w:rsid w:val="1CAC499C"/>
    <w:rsid w:val="1CAD6237"/>
    <w:rsid w:val="1CB6D507"/>
    <w:rsid w:val="1CCCA891"/>
    <w:rsid w:val="1CD30280"/>
    <w:rsid w:val="1CD82906"/>
    <w:rsid w:val="1CE26837"/>
    <w:rsid w:val="1CEAC91C"/>
    <w:rsid w:val="1CF7EAF8"/>
    <w:rsid w:val="1CFD5E9F"/>
    <w:rsid w:val="1D19E11D"/>
    <w:rsid w:val="1D2AEF1B"/>
    <w:rsid w:val="1D2BC155"/>
    <w:rsid w:val="1D2D2B54"/>
    <w:rsid w:val="1D3175C1"/>
    <w:rsid w:val="1D32D10E"/>
    <w:rsid w:val="1D356C57"/>
    <w:rsid w:val="1D43EFDE"/>
    <w:rsid w:val="1D45FA2A"/>
    <w:rsid w:val="1D48C949"/>
    <w:rsid w:val="1D4985FF"/>
    <w:rsid w:val="1D49E441"/>
    <w:rsid w:val="1D4C7ED5"/>
    <w:rsid w:val="1D6943A3"/>
    <w:rsid w:val="1D6B2282"/>
    <w:rsid w:val="1D780A06"/>
    <w:rsid w:val="1D79C915"/>
    <w:rsid w:val="1D7A8A84"/>
    <w:rsid w:val="1D7C3EDE"/>
    <w:rsid w:val="1D8F463C"/>
    <w:rsid w:val="1D9406CE"/>
    <w:rsid w:val="1DA78806"/>
    <w:rsid w:val="1DC0E56A"/>
    <w:rsid w:val="1DC263C2"/>
    <w:rsid w:val="1DE9BC6E"/>
    <w:rsid w:val="1DEB154B"/>
    <w:rsid w:val="1DEBB26A"/>
    <w:rsid w:val="1DEC7EF5"/>
    <w:rsid w:val="1DEE2F75"/>
    <w:rsid w:val="1DEE334F"/>
    <w:rsid w:val="1E093DBF"/>
    <w:rsid w:val="1E2983FB"/>
    <w:rsid w:val="1E2CABDB"/>
    <w:rsid w:val="1E39E793"/>
    <w:rsid w:val="1E420735"/>
    <w:rsid w:val="1E54056D"/>
    <w:rsid w:val="1E6DB5FF"/>
    <w:rsid w:val="1E6F228D"/>
    <w:rsid w:val="1E71A71A"/>
    <w:rsid w:val="1E725E47"/>
    <w:rsid w:val="1E78A27A"/>
    <w:rsid w:val="1E7DF4B7"/>
    <w:rsid w:val="1E94DFF7"/>
    <w:rsid w:val="1E975952"/>
    <w:rsid w:val="1E98C61E"/>
    <w:rsid w:val="1E98E331"/>
    <w:rsid w:val="1E9DEFCB"/>
    <w:rsid w:val="1EA3121B"/>
    <w:rsid w:val="1EA7065D"/>
    <w:rsid w:val="1EB05519"/>
    <w:rsid w:val="1EC39256"/>
    <w:rsid w:val="1EC5265D"/>
    <w:rsid w:val="1ED9DC70"/>
    <w:rsid w:val="1EDFBE91"/>
    <w:rsid w:val="1EE781B2"/>
    <w:rsid w:val="1EED5B31"/>
    <w:rsid w:val="1EF3BA38"/>
    <w:rsid w:val="1F0098F4"/>
    <w:rsid w:val="1F224A3A"/>
    <w:rsid w:val="1F28E56F"/>
    <w:rsid w:val="1F2CFD29"/>
    <w:rsid w:val="1F3E681E"/>
    <w:rsid w:val="1F3FCC14"/>
    <w:rsid w:val="1F43BD9B"/>
    <w:rsid w:val="1F4BE702"/>
    <w:rsid w:val="1F4EBCFA"/>
    <w:rsid w:val="1F642840"/>
    <w:rsid w:val="1F852AB0"/>
    <w:rsid w:val="1F8DC4D1"/>
    <w:rsid w:val="1F90DDF1"/>
    <w:rsid w:val="1F931933"/>
    <w:rsid w:val="1F94161E"/>
    <w:rsid w:val="1F9DC57A"/>
    <w:rsid w:val="1FA27B36"/>
    <w:rsid w:val="1FC514DB"/>
    <w:rsid w:val="1FCA0D09"/>
    <w:rsid w:val="1FD1C7BE"/>
    <w:rsid w:val="1FD60024"/>
    <w:rsid w:val="1FE44BE0"/>
    <w:rsid w:val="1FE844B2"/>
    <w:rsid w:val="1FEED6E6"/>
    <w:rsid w:val="1FF7DF8B"/>
    <w:rsid w:val="1FF9B6B7"/>
    <w:rsid w:val="20083032"/>
    <w:rsid w:val="200F6426"/>
    <w:rsid w:val="2013B2AC"/>
    <w:rsid w:val="2015B84A"/>
    <w:rsid w:val="201C427A"/>
    <w:rsid w:val="20384CAB"/>
    <w:rsid w:val="20385D09"/>
    <w:rsid w:val="204464BA"/>
    <w:rsid w:val="204D40FE"/>
    <w:rsid w:val="205BB123"/>
    <w:rsid w:val="205F52CD"/>
    <w:rsid w:val="2064399F"/>
    <w:rsid w:val="206D448A"/>
    <w:rsid w:val="2082489F"/>
    <w:rsid w:val="208D004A"/>
    <w:rsid w:val="208EF5E7"/>
    <w:rsid w:val="209D7984"/>
    <w:rsid w:val="20A1D289"/>
    <w:rsid w:val="20A5E3A3"/>
    <w:rsid w:val="20AD3B23"/>
    <w:rsid w:val="20B3C975"/>
    <w:rsid w:val="20DC2868"/>
    <w:rsid w:val="20E06181"/>
    <w:rsid w:val="2101A0A2"/>
    <w:rsid w:val="2107D5C7"/>
    <w:rsid w:val="2107F0E0"/>
    <w:rsid w:val="2108D753"/>
    <w:rsid w:val="210A760D"/>
    <w:rsid w:val="211DB083"/>
    <w:rsid w:val="21206BA9"/>
    <w:rsid w:val="212B1023"/>
    <w:rsid w:val="2134ADD5"/>
    <w:rsid w:val="214D494A"/>
    <w:rsid w:val="214E7B75"/>
    <w:rsid w:val="2166A7B3"/>
    <w:rsid w:val="218FD5E9"/>
    <w:rsid w:val="21A26774"/>
    <w:rsid w:val="21B1E16B"/>
    <w:rsid w:val="21BAC697"/>
    <w:rsid w:val="21BAF133"/>
    <w:rsid w:val="21C99843"/>
    <w:rsid w:val="21CB5C1B"/>
    <w:rsid w:val="21DEA78F"/>
    <w:rsid w:val="21E1A7BF"/>
    <w:rsid w:val="21E93B0A"/>
    <w:rsid w:val="21F5B4FD"/>
    <w:rsid w:val="21F65B0A"/>
    <w:rsid w:val="21F900DB"/>
    <w:rsid w:val="21FCD73F"/>
    <w:rsid w:val="22156F3E"/>
    <w:rsid w:val="2252387D"/>
    <w:rsid w:val="2258DF80"/>
    <w:rsid w:val="225B2F7B"/>
    <w:rsid w:val="225D7399"/>
    <w:rsid w:val="22624A8F"/>
    <w:rsid w:val="2269A631"/>
    <w:rsid w:val="226F95B3"/>
    <w:rsid w:val="22775068"/>
    <w:rsid w:val="2278786B"/>
    <w:rsid w:val="22797BBD"/>
    <w:rsid w:val="22802733"/>
    <w:rsid w:val="2280CD56"/>
    <w:rsid w:val="228E1533"/>
    <w:rsid w:val="22AED3D0"/>
    <w:rsid w:val="22B18700"/>
    <w:rsid w:val="22B4934A"/>
    <w:rsid w:val="22B5A5AD"/>
    <w:rsid w:val="22C7B928"/>
    <w:rsid w:val="22D67DDC"/>
    <w:rsid w:val="22D6E1D3"/>
    <w:rsid w:val="22E3B549"/>
    <w:rsid w:val="22F0FF8E"/>
    <w:rsid w:val="22F3A609"/>
    <w:rsid w:val="2305D0D2"/>
    <w:rsid w:val="23078BED"/>
    <w:rsid w:val="231058EC"/>
    <w:rsid w:val="2319C5B3"/>
    <w:rsid w:val="232E6290"/>
    <w:rsid w:val="23341CD1"/>
    <w:rsid w:val="2345D6F3"/>
    <w:rsid w:val="23511D7D"/>
    <w:rsid w:val="236159BB"/>
    <w:rsid w:val="2364E4DD"/>
    <w:rsid w:val="236B5729"/>
    <w:rsid w:val="236B80A0"/>
    <w:rsid w:val="238ACDE2"/>
    <w:rsid w:val="238BB84F"/>
    <w:rsid w:val="238C125E"/>
    <w:rsid w:val="238CFB60"/>
    <w:rsid w:val="239B15B3"/>
    <w:rsid w:val="23AD1538"/>
    <w:rsid w:val="23AF7C88"/>
    <w:rsid w:val="23B046FE"/>
    <w:rsid w:val="23B12DED"/>
    <w:rsid w:val="23D2D952"/>
    <w:rsid w:val="23DF3DB9"/>
    <w:rsid w:val="23F9E822"/>
    <w:rsid w:val="23FE2319"/>
    <w:rsid w:val="24041766"/>
    <w:rsid w:val="2405BC6C"/>
    <w:rsid w:val="241B994F"/>
    <w:rsid w:val="241D227E"/>
    <w:rsid w:val="241D2FE6"/>
    <w:rsid w:val="24261AB1"/>
    <w:rsid w:val="24351BEB"/>
    <w:rsid w:val="24356971"/>
    <w:rsid w:val="243934B7"/>
    <w:rsid w:val="243F5BA5"/>
    <w:rsid w:val="24414D81"/>
    <w:rsid w:val="2442A3AF"/>
    <w:rsid w:val="245A6920"/>
    <w:rsid w:val="2462196D"/>
    <w:rsid w:val="2477A5E9"/>
    <w:rsid w:val="2486B3AF"/>
    <w:rsid w:val="248B5DE4"/>
    <w:rsid w:val="248E6386"/>
    <w:rsid w:val="24952167"/>
    <w:rsid w:val="249C8270"/>
    <w:rsid w:val="24A616C5"/>
    <w:rsid w:val="24B7C3AE"/>
    <w:rsid w:val="24BA5E3C"/>
    <w:rsid w:val="24CA9044"/>
    <w:rsid w:val="24DFA7B6"/>
    <w:rsid w:val="24E7C758"/>
    <w:rsid w:val="24E8C604"/>
    <w:rsid w:val="24F0AFBC"/>
    <w:rsid w:val="24F0CCA8"/>
    <w:rsid w:val="25010175"/>
    <w:rsid w:val="25103FFD"/>
    <w:rsid w:val="25152AD0"/>
    <w:rsid w:val="25279A62"/>
    <w:rsid w:val="2536545A"/>
    <w:rsid w:val="25385EE0"/>
    <w:rsid w:val="253A2509"/>
    <w:rsid w:val="25482AD0"/>
    <w:rsid w:val="254F85F4"/>
    <w:rsid w:val="255EA26C"/>
    <w:rsid w:val="25655C62"/>
    <w:rsid w:val="256737FA"/>
    <w:rsid w:val="256962C3"/>
    <w:rsid w:val="256C9151"/>
    <w:rsid w:val="25835EE1"/>
    <w:rsid w:val="258D638B"/>
    <w:rsid w:val="258F2D2E"/>
    <w:rsid w:val="25A96C62"/>
    <w:rsid w:val="25B29003"/>
    <w:rsid w:val="25C09A4D"/>
    <w:rsid w:val="25C1EBBC"/>
    <w:rsid w:val="25C3897D"/>
    <w:rsid w:val="25C8304C"/>
    <w:rsid w:val="25ED9A03"/>
    <w:rsid w:val="260AEBCC"/>
    <w:rsid w:val="260CA522"/>
    <w:rsid w:val="26129FFD"/>
    <w:rsid w:val="2627C5BD"/>
    <w:rsid w:val="262CE853"/>
    <w:rsid w:val="2630287A"/>
    <w:rsid w:val="2637CA60"/>
    <w:rsid w:val="263DA4AB"/>
    <w:rsid w:val="2650883E"/>
    <w:rsid w:val="2657A458"/>
    <w:rsid w:val="26608A93"/>
    <w:rsid w:val="26609194"/>
    <w:rsid w:val="266E50B3"/>
    <w:rsid w:val="266EF84B"/>
    <w:rsid w:val="26702D5A"/>
    <w:rsid w:val="2672378D"/>
    <w:rsid w:val="2687175C"/>
    <w:rsid w:val="26891309"/>
    <w:rsid w:val="2691F9DE"/>
    <w:rsid w:val="26A16601"/>
    <w:rsid w:val="26A26073"/>
    <w:rsid w:val="26A7038E"/>
    <w:rsid w:val="26BC2515"/>
    <w:rsid w:val="26C84186"/>
    <w:rsid w:val="26CA8553"/>
    <w:rsid w:val="26CA86A0"/>
    <w:rsid w:val="26CD1DB6"/>
    <w:rsid w:val="26D16E79"/>
    <w:rsid w:val="26D66F80"/>
    <w:rsid w:val="26DBE4A0"/>
    <w:rsid w:val="26F6B522"/>
    <w:rsid w:val="27036D02"/>
    <w:rsid w:val="2710916E"/>
    <w:rsid w:val="2723753B"/>
    <w:rsid w:val="272718BA"/>
    <w:rsid w:val="273C0CF2"/>
    <w:rsid w:val="274AFAC1"/>
    <w:rsid w:val="274C7CA6"/>
    <w:rsid w:val="27514B13"/>
    <w:rsid w:val="2763F090"/>
    <w:rsid w:val="2765C715"/>
    <w:rsid w:val="278134DD"/>
    <w:rsid w:val="27840AB2"/>
    <w:rsid w:val="278F7046"/>
    <w:rsid w:val="278FB6D7"/>
    <w:rsid w:val="2794F79D"/>
    <w:rsid w:val="27A15246"/>
    <w:rsid w:val="27A20730"/>
    <w:rsid w:val="27BA74D8"/>
    <w:rsid w:val="27C3D358"/>
    <w:rsid w:val="27C685DB"/>
    <w:rsid w:val="27C83A35"/>
    <w:rsid w:val="27E755E4"/>
    <w:rsid w:val="27E7BB86"/>
    <w:rsid w:val="27ED8F10"/>
    <w:rsid w:val="27F008D8"/>
    <w:rsid w:val="27FC1D45"/>
    <w:rsid w:val="28024D1F"/>
    <w:rsid w:val="280CEAFA"/>
    <w:rsid w:val="280D526A"/>
    <w:rsid w:val="281B25DF"/>
    <w:rsid w:val="28223539"/>
    <w:rsid w:val="2823EBEE"/>
    <w:rsid w:val="282611F5"/>
    <w:rsid w:val="2826DF6E"/>
    <w:rsid w:val="282EEF04"/>
    <w:rsid w:val="283602F2"/>
    <w:rsid w:val="283E1B99"/>
    <w:rsid w:val="2854A89C"/>
    <w:rsid w:val="2854D374"/>
    <w:rsid w:val="28605767"/>
    <w:rsid w:val="2868AE34"/>
    <w:rsid w:val="286F682A"/>
    <w:rsid w:val="287A5FC3"/>
    <w:rsid w:val="2884F91F"/>
    <w:rsid w:val="288B5108"/>
    <w:rsid w:val="288BA12E"/>
    <w:rsid w:val="289C4447"/>
    <w:rsid w:val="28AF3364"/>
    <w:rsid w:val="28B04664"/>
    <w:rsid w:val="28B80738"/>
    <w:rsid w:val="28B88EA6"/>
    <w:rsid w:val="28B9E501"/>
    <w:rsid w:val="28C78020"/>
    <w:rsid w:val="28D8A79C"/>
    <w:rsid w:val="28D9968F"/>
    <w:rsid w:val="28DD43E6"/>
    <w:rsid w:val="28DEC152"/>
    <w:rsid w:val="28E95473"/>
    <w:rsid w:val="28F223B5"/>
    <w:rsid w:val="28F2A242"/>
    <w:rsid w:val="28F32D8D"/>
    <w:rsid w:val="28FCFE27"/>
    <w:rsid w:val="28FEB1B2"/>
    <w:rsid w:val="28FEB77D"/>
    <w:rsid w:val="290864A5"/>
    <w:rsid w:val="290F6772"/>
    <w:rsid w:val="2915A9CF"/>
    <w:rsid w:val="291A2B09"/>
    <w:rsid w:val="291C3816"/>
    <w:rsid w:val="29354233"/>
    <w:rsid w:val="2940B9E0"/>
    <w:rsid w:val="2941BC26"/>
    <w:rsid w:val="2944CA9B"/>
    <w:rsid w:val="294D09D8"/>
    <w:rsid w:val="295354F9"/>
    <w:rsid w:val="2960630E"/>
    <w:rsid w:val="296258B2"/>
    <w:rsid w:val="296D71B8"/>
    <w:rsid w:val="297DB04D"/>
    <w:rsid w:val="2994DC5D"/>
    <w:rsid w:val="29A343B1"/>
    <w:rsid w:val="29BB5B29"/>
    <w:rsid w:val="29C0785B"/>
    <w:rsid w:val="29C12CC8"/>
    <w:rsid w:val="29E1D176"/>
    <w:rsid w:val="29F3B577"/>
    <w:rsid w:val="29FA413C"/>
    <w:rsid w:val="2A12918B"/>
    <w:rsid w:val="2A1BA68B"/>
    <w:rsid w:val="2A1BC603"/>
    <w:rsid w:val="2A1C1090"/>
    <w:rsid w:val="2A2C0C8D"/>
    <w:rsid w:val="2A344AB8"/>
    <w:rsid w:val="2A3CEA8D"/>
    <w:rsid w:val="2A41FDBC"/>
    <w:rsid w:val="2A480679"/>
    <w:rsid w:val="2A53C5E7"/>
    <w:rsid w:val="2A59F79D"/>
    <w:rsid w:val="2A604959"/>
    <w:rsid w:val="2A6FC1EB"/>
    <w:rsid w:val="2A73766F"/>
    <w:rsid w:val="2A7B0C3F"/>
    <w:rsid w:val="2A8004CD"/>
    <w:rsid w:val="2A988281"/>
    <w:rsid w:val="2A99B752"/>
    <w:rsid w:val="2AB785D3"/>
    <w:rsid w:val="2AC06223"/>
    <w:rsid w:val="2AE64DF3"/>
    <w:rsid w:val="2AF90827"/>
    <w:rsid w:val="2AFCC238"/>
    <w:rsid w:val="2B039FBC"/>
    <w:rsid w:val="2B0ABBDF"/>
    <w:rsid w:val="2B266F33"/>
    <w:rsid w:val="2B2A3298"/>
    <w:rsid w:val="2B352DB1"/>
    <w:rsid w:val="2B3AE18A"/>
    <w:rsid w:val="2B45A916"/>
    <w:rsid w:val="2B509C45"/>
    <w:rsid w:val="2B56C5EB"/>
    <w:rsid w:val="2B5F20F1"/>
    <w:rsid w:val="2B60F826"/>
    <w:rsid w:val="2B64D375"/>
    <w:rsid w:val="2B69F815"/>
    <w:rsid w:val="2B7BB33B"/>
    <w:rsid w:val="2B9783BE"/>
    <w:rsid w:val="2B983EAE"/>
    <w:rsid w:val="2B99F337"/>
    <w:rsid w:val="2B9D29A3"/>
    <w:rsid w:val="2BA0E846"/>
    <w:rsid w:val="2BA8518F"/>
    <w:rsid w:val="2BB35339"/>
    <w:rsid w:val="2BD63352"/>
    <w:rsid w:val="2BDD3814"/>
    <w:rsid w:val="2BE68803"/>
    <w:rsid w:val="2BE707AD"/>
    <w:rsid w:val="2BEDAE88"/>
    <w:rsid w:val="2BF954CE"/>
    <w:rsid w:val="2C05F186"/>
    <w:rsid w:val="2C07F45C"/>
    <w:rsid w:val="2C0CF81D"/>
    <w:rsid w:val="2C1B8328"/>
    <w:rsid w:val="2C26323D"/>
    <w:rsid w:val="2C3CDB44"/>
    <w:rsid w:val="2C432E3E"/>
    <w:rsid w:val="2C4D1E1C"/>
    <w:rsid w:val="2C4F2C85"/>
    <w:rsid w:val="2C56FA22"/>
    <w:rsid w:val="2C5D027F"/>
    <w:rsid w:val="2C732322"/>
    <w:rsid w:val="2C78FE60"/>
    <w:rsid w:val="2C7F9ABC"/>
    <w:rsid w:val="2C808644"/>
    <w:rsid w:val="2C9C448C"/>
    <w:rsid w:val="2C9F6406"/>
    <w:rsid w:val="2CC62460"/>
    <w:rsid w:val="2CE2C513"/>
    <w:rsid w:val="2CE5C7D2"/>
    <w:rsid w:val="2CFBE534"/>
    <w:rsid w:val="2D10E8AD"/>
    <w:rsid w:val="2D12937E"/>
    <w:rsid w:val="2D22710D"/>
    <w:rsid w:val="2D27724E"/>
    <w:rsid w:val="2D2CC39E"/>
    <w:rsid w:val="2D42F597"/>
    <w:rsid w:val="2D44A2DB"/>
    <w:rsid w:val="2D49EBCB"/>
    <w:rsid w:val="2D4A76C8"/>
    <w:rsid w:val="2D643636"/>
    <w:rsid w:val="2D6BC330"/>
    <w:rsid w:val="2D700403"/>
    <w:rsid w:val="2D7A75BE"/>
    <w:rsid w:val="2D7C2FA3"/>
    <w:rsid w:val="2D8B3973"/>
    <w:rsid w:val="2DAA7FB9"/>
    <w:rsid w:val="2DBC3483"/>
    <w:rsid w:val="2DC64A9E"/>
    <w:rsid w:val="2DC9B0B4"/>
    <w:rsid w:val="2DD1B3C6"/>
    <w:rsid w:val="2DDE16EC"/>
    <w:rsid w:val="2DE93205"/>
    <w:rsid w:val="2DE987CA"/>
    <w:rsid w:val="2DEAAB74"/>
    <w:rsid w:val="2DEACCF9"/>
    <w:rsid w:val="2DEDEF41"/>
    <w:rsid w:val="2DFDEC38"/>
    <w:rsid w:val="2E0E0226"/>
    <w:rsid w:val="2E14C19B"/>
    <w:rsid w:val="2E1B2196"/>
    <w:rsid w:val="2E1C49D9"/>
    <w:rsid w:val="2E248085"/>
    <w:rsid w:val="2E279052"/>
    <w:rsid w:val="2E298BA6"/>
    <w:rsid w:val="2E2AFB61"/>
    <w:rsid w:val="2E2E587A"/>
    <w:rsid w:val="2E465B94"/>
    <w:rsid w:val="2E48D846"/>
    <w:rsid w:val="2E4B83AF"/>
    <w:rsid w:val="2E6E1603"/>
    <w:rsid w:val="2E6FC5E4"/>
    <w:rsid w:val="2E777A34"/>
    <w:rsid w:val="2E7E21EA"/>
    <w:rsid w:val="2E7EDA25"/>
    <w:rsid w:val="2E843E70"/>
    <w:rsid w:val="2E881246"/>
    <w:rsid w:val="2E9C8A30"/>
    <w:rsid w:val="2E9F5417"/>
    <w:rsid w:val="2EAB3084"/>
    <w:rsid w:val="2EB837F1"/>
    <w:rsid w:val="2EB85F2F"/>
    <w:rsid w:val="2EC318D9"/>
    <w:rsid w:val="2ECD7929"/>
    <w:rsid w:val="2ED3031D"/>
    <w:rsid w:val="2ED694BA"/>
    <w:rsid w:val="2ED88AE1"/>
    <w:rsid w:val="2EDBCA51"/>
    <w:rsid w:val="2EF94F1B"/>
    <w:rsid w:val="2EFAFEE5"/>
    <w:rsid w:val="2EFDEF92"/>
    <w:rsid w:val="2EFED387"/>
    <w:rsid w:val="2EFF0A78"/>
    <w:rsid w:val="2F07ED2A"/>
    <w:rsid w:val="2F1D24F5"/>
    <w:rsid w:val="2F209920"/>
    <w:rsid w:val="2F23C2AF"/>
    <w:rsid w:val="2F29A6DF"/>
    <w:rsid w:val="2F2BE5DA"/>
    <w:rsid w:val="2F348207"/>
    <w:rsid w:val="2F3CBBFC"/>
    <w:rsid w:val="2F3E717B"/>
    <w:rsid w:val="2F41BDFA"/>
    <w:rsid w:val="2F49B1C2"/>
    <w:rsid w:val="2F65D6C4"/>
    <w:rsid w:val="2F6990F1"/>
    <w:rsid w:val="2F6CFDAE"/>
    <w:rsid w:val="2F71FE14"/>
    <w:rsid w:val="2F7AE467"/>
    <w:rsid w:val="2F7EABB7"/>
    <w:rsid w:val="2F844DB2"/>
    <w:rsid w:val="2F87EC65"/>
    <w:rsid w:val="2F91AE2F"/>
    <w:rsid w:val="2FADD877"/>
    <w:rsid w:val="2FB22E40"/>
    <w:rsid w:val="2FC50180"/>
    <w:rsid w:val="2FD1F73B"/>
    <w:rsid w:val="2FD86BDE"/>
    <w:rsid w:val="2FD8FD06"/>
    <w:rsid w:val="2FF15CF2"/>
    <w:rsid w:val="300B88F3"/>
    <w:rsid w:val="301AD1F0"/>
    <w:rsid w:val="301E266D"/>
    <w:rsid w:val="301F737F"/>
    <w:rsid w:val="302AFC46"/>
    <w:rsid w:val="3036716B"/>
    <w:rsid w:val="303B5DC4"/>
    <w:rsid w:val="30429AAA"/>
    <w:rsid w:val="30699553"/>
    <w:rsid w:val="307342E0"/>
    <w:rsid w:val="307DC019"/>
    <w:rsid w:val="3082C04D"/>
    <w:rsid w:val="30853925"/>
    <w:rsid w:val="3087A792"/>
    <w:rsid w:val="308A4A1C"/>
    <w:rsid w:val="308FB595"/>
    <w:rsid w:val="30A34E4C"/>
    <w:rsid w:val="30A67D47"/>
    <w:rsid w:val="30A9DA64"/>
    <w:rsid w:val="30A9F4DF"/>
    <w:rsid w:val="30B2A175"/>
    <w:rsid w:val="30B85CF9"/>
    <w:rsid w:val="30BA6AB2"/>
    <w:rsid w:val="30D325FF"/>
    <w:rsid w:val="30D82045"/>
    <w:rsid w:val="30DA0F51"/>
    <w:rsid w:val="30E1226E"/>
    <w:rsid w:val="30EB04AF"/>
    <w:rsid w:val="30EF6751"/>
    <w:rsid w:val="30FBE4C4"/>
    <w:rsid w:val="31021648"/>
    <w:rsid w:val="31166ED0"/>
    <w:rsid w:val="311F0640"/>
    <w:rsid w:val="3127D48E"/>
    <w:rsid w:val="3134D458"/>
    <w:rsid w:val="313A6444"/>
    <w:rsid w:val="313CFFE1"/>
    <w:rsid w:val="31493868"/>
    <w:rsid w:val="318D2D53"/>
    <w:rsid w:val="319B3560"/>
    <w:rsid w:val="31A36B92"/>
    <w:rsid w:val="31A6301B"/>
    <w:rsid w:val="31A7F2E7"/>
    <w:rsid w:val="31D02AFB"/>
    <w:rsid w:val="31D6BBA3"/>
    <w:rsid w:val="31D7B5EA"/>
    <w:rsid w:val="31DB3849"/>
    <w:rsid w:val="31DCD1EC"/>
    <w:rsid w:val="31DD7984"/>
    <w:rsid w:val="31E0A2B4"/>
    <w:rsid w:val="31E5FC78"/>
    <w:rsid w:val="31EA20C0"/>
    <w:rsid w:val="32049F5F"/>
    <w:rsid w:val="3215D50A"/>
    <w:rsid w:val="3217A042"/>
    <w:rsid w:val="321BB93A"/>
    <w:rsid w:val="32353C22"/>
    <w:rsid w:val="323555D4"/>
    <w:rsid w:val="323DA3CC"/>
    <w:rsid w:val="3243D802"/>
    <w:rsid w:val="3249A60A"/>
    <w:rsid w:val="325203F6"/>
    <w:rsid w:val="32564DC2"/>
    <w:rsid w:val="32586244"/>
    <w:rsid w:val="3260E5C2"/>
    <w:rsid w:val="3264A0A8"/>
    <w:rsid w:val="3264D69D"/>
    <w:rsid w:val="3266BFCA"/>
    <w:rsid w:val="3280B6FD"/>
    <w:rsid w:val="3280DE3B"/>
    <w:rsid w:val="329751B4"/>
    <w:rsid w:val="329B4530"/>
    <w:rsid w:val="32A27C11"/>
    <w:rsid w:val="32A46DF1"/>
    <w:rsid w:val="32ADDBBD"/>
    <w:rsid w:val="32B69D29"/>
    <w:rsid w:val="32BAC463"/>
    <w:rsid w:val="32BBA709"/>
    <w:rsid w:val="32C6BEF5"/>
    <w:rsid w:val="32CA0F1D"/>
    <w:rsid w:val="32E1E6F0"/>
    <w:rsid w:val="32E93E1F"/>
    <w:rsid w:val="32EDDF28"/>
    <w:rsid w:val="32EEF71A"/>
    <w:rsid w:val="32F04EAC"/>
    <w:rsid w:val="32F444D8"/>
    <w:rsid w:val="32F48706"/>
    <w:rsid w:val="32FE6E19"/>
    <w:rsid w:val="32FF0E0B"/>
    <w:rsid w:val="33068C26"/>
    <w:rsid w:val="330CD3AB"/>
    <w:rsid w:val="330FD37F"/>
    <w:rsid w:val="331595F6"/>
    <w:rsid w:val="331623F6"/>
    <w:rsid w:val="331D0DA7"/>
    <w:rsid w:val="33214342"/>
    <w:rsid w:val="333C8EF8"/>
    <w:rsid w:val="333F517F"/>
    <w:rsid w:val="33437A38"/>
    <w:rsid w:val="334633E3"/>
    <w:rsid w:val="334B1C61"/>
    <w:rsid w:val="334D55B8"/>
    <w:rsid w:val="334EB319"/>
    <w:rsid w:val="3353C83F"/>
    <w:rsid w:val="335A8CE5"/>
    <w:rsid w:val="335ADF81"/>
    <w:rsid w:val="3368736F"/>
    <w:rsid w:val="3384486E"/>
    <w:rsid w:val="3389A718"/>
    <w:rsid w:val="339412CA"/>
    <w:rsid w:val="33A5E40F"/>
    <w:rsid w:val="33A8E9DB"/>
    <w:rsid w:val="33B4C49F"/>
    <w:rsid w:val="33D334C9"/>
    <w:rsid w:val="33D39B5E"/>
    <w:rsid w:val="33DBF691"/>
    <w:rsid w:val="33E53761"/>
    <w:rsid w:val="33FCB5C7"/>
    <w:rsid w:val="3408DEA1"/>
    <w:rsid w:val="340CC573"/>
    <w:rsid w:val="342077DA"/>
    <w:rsid w:val="3423A5C3"/>
    <w:rsid w:val="342ED018"/>
    <w:rsid w:val="34366E15"/>
    <w:rsid w:val="343F0D3F"/>
    <w:rsid w:val="345BC1FD"/>
    <w:rsid w:val="3474C83D"/>
    <w:rsid w:val="3480DD04"/>
    <w:rsid w:val="3487B2A1"/>
    <w:rsid w:val="34953417"/>
    <w:rsid w:val="34957DED"/>
    <w:rsid w:val="34A94F75"/>
    <w:rsid w:val="34B02734"/>
    <w:rsid w:val="34B03D5F"/>
    <w:rsid w:val="34B88F46"/>
    <w:rsid w:val="34BC77B2"/>
    <w:rsid w:val="34C06FEA"/>
    <w:rsid w:val="34C8CDFE"/>
    <w:rsid w:val="34CE4617"/>
    <w:rsid w:val="34DEBB04"/>
    <w:rsid w:val="34E0813D"/>
    <w:rsid w:val="34E17AD4"/>
    <w:rsid w:val="34F6531E"/>
    <w:rsid w:val="350D8404"/>
    <w:rsid w:val="350E4855"/>
    <w:rsid w:val="352D3784"/>
    <w:rsid w:val="352EA152"/>
    <w:rsid w:val="353013A3"/>
    <w:rsid w:val="3536BB13"/>
    <w:rsid w:val="3537BCCD"/>
    <w:rsid w:val="35512264"/>
    <w:rsid w:val="3555A4EC"/>
    <w:rsid w:val="355B29FA"/>
    <w:rsid w:val="3579D2FA"/>
    <w:rsid w:val="357CB70F"/>
    <w:rsid w:val="357D421B"/>
    <w:rsid w:val="35882C9C"/>
    <w:rsid w:val="35888E2C"/>
    <w:rsid w:val="35898C2F"/>
    <w:rsid w:val="35968EB9"/>
    <w:rsid w:val="35A5F890"/>
    <w:rsid w:val="35B9B832"/>
    <w:rsid w:val="35C3F8C3"/>
    <w:rsid w:val="35D0F8E8"/>
    <w:rsid w:val="35E71AAE"/>
    <w:rsid w:val="35ED1301"/>
    <w:rsid w:val="35FAFD20"/>
    <w:rsid w:val="36014881"/>
    <w:rsid w:val="3605DA13"/>
    <w:rsid w:val="362418E5"/>
    <w:rsid w:val="36470F9A"/>
    <w:rsid w:val="3654CF2C"/>
    <w:rsid w:val="367D1338"/>
    <w:rsid w:val="367D9A50"/>
    <w:rsid w:val="368C586F"/>
    <w:rsid w:val="3698B3D1"/>
    <w:rsid w:val="36A8BB2B"/>
    <w:rsid w:val="36A962C3"/>
    <w:rsid w:val="36BBBE78"/>
    <w:rsid w:val="36CB7AE4"/>
    <w:rsid w:val="36CEAFF8"/>
    <w:rsid w:val="36D50AC5"/>
    <w:rsid w:val="36DABB03"/>
    <w:rsid w:val="36DECF5B"/>
    <w:rsid w:val="36F01FD4"/>
    <w:rsid w:val="36FE5012"/>
    <w:rsid w:val="36FF080F"/>
    <w:rsid w:val="372B6EAE"/>
    <w:rsid w:val="372DC494"/>
    <w:rsid w:val="37393B30"/>
    <w:rsid w:val="373A1BE3"/>
    <w:rsid w:val="374BB94D"/>
    <w:rsid w:val="374F71FB"/>
    <w:rsid w:val="37551201"/>
    <w:rsid w:val="37593538"/>
    <w:rsid w:val="375B6E48"/>
    <w:rsid w:val="376BD878"/>
    <w:rsid w:val="378DFFC3"/>
    <w:rsid w:val="3791C8CA"/>
    <w:rsid w:val="379993D3"/>
    <w:rsid w:val="37A2AE00"/>
    <w:rsid w:val="37A8F585"/>
    <w:rsid w:val="37D2587C"/>
    <w:rsid w:val="37E23E58"/>
    <w:rsid w:val="37E3562D"/>
    <w:rsid w:val="37E4D839"/>
    <w:rsid w:val="37E5E881"/>
    <w:rsid w:val="37E6F3B4"/>
    <w:rsid w:val="37E71994"/>
    <w:rsid w:val="37F22BA5"/>
    <w:rsid w:val="37FE55A9"/>
    <w:rsid w:val="38005AB0"/>
    <w:rsid w:val="3805D521"/>
    <w:rsid w:val="380B3ABE"/>
    <w:rsid w:val="3815219B"/>
    <w:rsid w:val="38154033"/>
    <w:rsid w:val="38179551"/>
    <w:rsid w:val="381A0C8C"/>
    <w:rsid w:val="381E2B3E"/>
    <w:rsid w:val="381FF057"/>
    <w:rsid w:val="381FF676"/>
    <w:rsid w:val="3825A1B3"/>
    <w:rsid w:val="3829CF28"/>
    <w:rsid w:val="382C7CEC"/>
    <w:rsid w:val="384D1F6D"/>
    <w:rsid w:val="384DB12F"/>
    <w:rsid w:val="384E6619"/>
    <w:rsid w:val="3864ED65"/>
    <w:rsid w:val="386844EA"/>
    <w:rsid w:val="387EE389"/>
    <w:rsid w:val="388086F9"/>
    <w:rsid w:val="38846EB6"/>
    <w:rsid w:val="388544A3"/>
    <w:rsid w:val="3888A114"/>
    <w:rsid w:val="38A3341C"/>
    <w:rsid w:val="38A63B3A"/>
    <w:rsid w:val="38C60BA6"/>
    <w:rsid w:val="38C7C1E7"/>
    <w:rsid w:val="38CD2BB6"/>
    <w:rsid w:val="38DFA6D3"/>
    <w:rsid w:val="38DFDBDB"/>
    <w:rsid w:val="38EFDB95"/>
    <w:rsid w:val="39006D5C"/>
    <w:rsid w:val="390539CF"/>
    <w:rsid w:val="3912FDCA"/>
    <w:rsid w:val="391A16D6"/>
    <w:rsid w:val="391B12F5"/>
    <w:rsid w:val="39259693"/>
    <w:rsid w:val="393A7025"/>
    <w:rsid w:val="393F8196"/>
    <w:rsid w:val="395073B7"/>
    <w:rsid w:val="3951F79F"/>
    <w:rsid w:val="3955503A"/>
    <w:rsid w:val="395ADB67"/>
    <w:rsid w:val="395E65BD"/>
    <w:rsid w:val="395E9AE7"/>
    <w:rsid w:val="3966FC01"/>
    <w:rsid w:val="3977505A"/>
    <w:rsid w:val="3984B9A6"/>
    <w:rsid w:val="3989A2CF"/>
    <w:rsid w:val="39957639"/>
    <w:rsid w:val="39971F00"/>
    <w:rsid w:val="39A100A7"/>
    <w:rsid w:val="39A329DB"/>
    <w:rsid w:val="39A65E1B"/>
    <w:rsid w:val="39BBFE21"/>
    <w:rsid w:val="39BF13C4"/>
    <w:rsid w:val="39C11D8D"/>
    <w:rsid w:val="39C1D1AB"/>
    <w:rsid w:val="39C23C5D"/>
    <w:rsid w:val="39C71F8D"/>
    <w:rsid w:val="39D9B4D4"/>
    <w:rsid w:val="39E93A5B"/>
    <w:rsid w:val="39FD3624"/>
    <w:rsid w:val="3A07E103"/>
    <w:rsid w:val="3A0DD550"/>
    <w:rsid w:val="3A1D8109"/>
    <w:rsid w:val="3A241DE1"/>
    <w:rsid w:val="3A271339"/>
    <w:rsid w:val="3A2E1FEF"/>
    <w:rsid w:val="3A36C6E6"/>
    <w:rsid w:val="3A3B3114"/>
    <w:rsid w:val="3A40FA33"/>
    <w:rsid w:val="3A43EDDA"/>
    <w:rsid w:val="3A650B9B"/>
    <w:rsid w:val="3A66BC8B"/>
    <w:rsid w:val="3A782768"/>
    <w:rsid w:val="3A814043"/>
    <w:rsid w:val="3A8E305F"/>
    <w:rsid w:val="3A9021F2"/>
    <w:rsid w:val="3A907199"/>
    <w:rsid w:val="3A95BEEA"/>
    <w:rsid w:val="3A982818"/>
    <w:rsid w:val="3A99423B"/>
    <w:rsid w:val="3A9CB3FC"/>
    <w:rsid w:val="3AA69B55"/>
    <w:rsid w:val="3AAC8E53"/>
    <w:rsid w:val="3AB670A7"/>
    <w:rsid w:val="3AC53980"/>
    <w:rsid w:val="3ACB621F"/>
    <w:rsid w:val="3ACF504B"/>
    <w:rsid w:val="3AD56888"/>
    <w:rsid w:val="3AE48765"/>
    <w:rsid w:val="3AE8FA94"/>
    <w:rsid w:val="3AEAB081"/>
    <w:rsid w:val="3B0B0579"/>
    <w:rsid w:val="3B1E4EE4"/>
    <w:rsid w:val="3B318A22"/>
    <w:rsid w:val="3B31DFE7"/>
    <w:rsid w:val="3B37CEC5"/>
    <w:rsid w:val="3B3F4EB0"/>
    <w:rsid w:val="3B3FC38A"/>
    <w:rsid w:val="3B407874"/>
    <w:rsid w:val="3B45E539"/>
    <w:rsid w:val="3B4E448C"/>
    <w:rsid w:val="3B5D034A"/>
    <w:rsid w:val="3B7555E7"/>
    <w:rsid w:val="3B768111"/>
    <w:rsid w:val="3B98527D"/>
    <w:rsid w:val="3BB32A4C"/>
    <w:rsid w:val="3BB66E20"/>
    <w:rsid w:val="3BB81E01"/>
    <w:rsid w:val="3BB85C41"/>
    <w:rsid w:val="3BBFD251"/>
    <w:rsid w:val="3BC73242"/>
    <w:rsid w:val="3BCC968D"/>
    <w:rsid w:val="3BDE4B1E"/>
    <w:rsid w:val="3BFDF4C5"/>
    <w:rsid w:val="3C049CD4"/>
    <w:rsid w:val="3C04DA7A"/>
    <w:rsid w:val="3C06D482"/>
    <w:rsid w:val="3C109DCA"/>
    <w:rsid w:val="3C17A28C"/>
    <w:rsid w:val="3C22F073"/>
    <w:rsid w:val="3C34C27F"/>
    <w:rsid w:val="3C44DC2C"/>
    <w:rsid w:val="3C471B6E"/>
    <w:rsid w:val="3C4FA3A7"/>
    <w:rsid w:val="3C5623E1"/>
    <w:rsid w:val="3C63C8D5"/>
    <w:rsid w:val="3C6FE936"/>
    <w:rsid w:val="3C704929"/>
    <w:rsid w:val="3C7B21D9"/>
    <w:rsid w:val="3C7BE3FD"/>
    <w:rsid w:val="3C851419"/>
    <w:rsid w:val="3CA50739"/>
    <w:rsid w:val="3CAACF03"/>
    <w:rsid w:val="3CAE107C"/>
    <w:rsid w:val="3CB111BB"/>
    <w:rsid w:val="3CB2DCF3"/>
    <w:rsid w:val="3CBA10D0"/>
    <w:rsid w:val="3CBAF0BC"/>
    <w:rsid w:val="3CCBC72F"/>
    <w:rsid w:val="3CD46176"/>
    <w:rsid w:val="3CE4D204"/>
    <w:rsid w:val="3CED193E"/>
    <w:rsid w:val="3CF437FE"/>
    <w:rsid w:val="3CFC0054"/>
    <w:rsid w:val="3D032B3C"/>
    <w:rsid w:val="3D1F2A14"/>
    <w:rsid w:val="3D2C7D6A"/>
    <w:rsid w:val="3D2FF299"/>
    <w:rsid w:val="3D33DD66"/>
    <w:rsid w:val="3D34D8AC"/>
    <w:rsid w:val="3D3F83B9"/>
    <w:rsid w:val="3D42373A"/>
    <w:rsid w:val="3D42F0A3"/>
    <w:rsid w:val="3D4B2196"/>
    <w:rsid w:val="3D7850F7"/>
    <w:rsid w:val="3D845643"/>
    <w:rsid w:val="3D8AF2C7"/>
    <w:rsid w:val="3D8BE517"/>
    <w:rsid w:val="3D8D0DB3"/>
    <w:rsid w:val="3D9FCCFA"/>
    <w:rsid w:val="3DB7B8EB"/>
    <w:rsid w:val="3DD7CBA9"/>
    <w:rsid w:val="3DD80DB2"/>
    <w:rsid w:val="3DDD0C72"/>
    <w:rsid w:val="3DE1502B"/>
    <w:rsid w:val="3DEF5F74"/>
    <w:rsid w:val="3E150231"/>
    <w:rsid w:val="3E251C13"/>
    <w:rsid w:val="3E288EEC"/>
    <w:rsid w:val="3E29E120"/>
    <w:rsid w:val="3E2CD53A"/>
    <w:rsid w:val="3E31EA11"/>
    <w:rsid w:val="3E328ACF"/>
    <w:rsid w:val="3E35835B"/>
    <w:rsid w:val="3E3D736B"/>
    <w:rsid w:val="3E41DE27"/>
    <w:rsid w:val="3E5CDF11"/>
    <w:rsid w:val="3E5E915E"/>
    <w:rsid w:val="3E6FAAB0"/>
    <w:rsid w:val="3E8EB709"/>
    <w:rsid w:val="3E98B917"/>
    <w:rsid w:val="3EA3E1EC"/>
    <w:rsid w:val="3EAF0F7B"/>
    <w:rsid w:val="3EBC6CC6"/>
    <w:rsid w:val="3EC29DC8"/>
    <w:rsid w:val="3EC37E78"/>
    <w:rsid w:val="3ECFA7AE"/>
    <w:rsid w:val="3ED13E0A"/>
    <w:rsid w:val="3ED2337E"/>
    <w:rsid w:val="3ED9F160"/>
    <w:rsid w:val="3EDA3942"/>
    <w:rsid w:val="3EF00720"/>
    <w:rsid w:val="3EF0FE13"/>
    <w:rsid w:val="3F03E1E0"/>
    <w:rsid w:val="3F0951B6"/>
    <w:rsid w:val="3F12F2A3"/>
    <w:rsid w:val="3F1502CE"/>
    <w:rsid w:val="3F157CBE"/>
    <w:rsid w:val="3F198351"/>
    <w:rsid w:val="3F1FC729"/>
    <w:rsid w:val="3F30A5BF"/>
    <w:rsid w:val="3F385ED0"/>
    <w:rsid w:val="3F38F373"/>
    <w:rsid w:val="3F6844DA"/>
    <w:rsid w:val="3F770663"/>
    <w:rsid w:val="3F7BCEED"/>
    <w:rsid w:val="3F81D734"/>
    <w:rsid w:val="3F855C4B"/>
    <w:rsid w:val="3F8C4110"/>
    <w:rsid w:val="3F8EF913"/>
    <w:rsid w:val="3F96BBCE"/>
    <w:rsid w:val="3FA04F99"/>
    <w:rsid w:val="3FB6A484"/>
    <w:rsid w:val="3FB75A21"/>
    <w:rsid w:val="3FB95235"/>
    <w:rsid w:val="3FCAEAB2"/>
    <w:rsid w:val="3FCAF2D8"/>
    <w:rsid w:val="3FD2F97E"/>
    <w:rsid w:val="3FF84684"/>
    <w:rsid w:val="4003FF26"/>
    <w:rsid w:val="4013B25C"/>
    <w:rsid w:val="401D671E"/>
    <w:rsid w:val="401EBE98"/>
    <w:rsid w:val="40234367"/>
    <w:rsid w:val="4027107F"/>
    <w:rsid w:val="4032012D"/>
    <w:rsid w:val="40344995"/>
    <w:rsid w:val="403A1C9C"/>
    <w:rsid w:val="403E393E"/>
    <w:rsid w:val="4043EC35"/>
    <w:rsid w:val="404AB454"/>
    <w:rsid w:val="404EE443"/>
    <w:rsid w:val="404F6590"/>
    <w:rsid w:val="40516630"/>
    <w:rsid w:val="405E91A2"/>
    <w:rsid w:val="407D3459"/>
    <w:rsid w:val="4082575F"/>
    <w:rsid w:val="40850905"/>
    <w:rsid w:val="408932C5"/>
    <w:rsid w:val="4089CD05"/>
    <w:rsid w:val="40987FCC"/>
    <w:rsid w:val="409B9C06"/>
    <w:rsid w:val="40A63E06"/>
    <w:rsid w:val="40AB14EE"/>
    <w:rsid w:val="40B956EF"/>
    <w:rsid w:val="40CE54E5"/>
    <w:rsid w:val="40DD6658"/>
    <w:rsid w:val="40E08844"/>
    <w:rsid w:val="40F99E0D"/>
    <w:rsid w:val="40FCBBC0"/>
    <w:rsid w:val="40FEBAC1"/>
    <w:rsid w:val="4101B381"/>
    <w:rsid w:val="41134BD4"/>
    <w:rsid w:val="4113FEE3"/>
    <w:rsid w:val="41144313"/>
    <w:rsid w:val="411479C9"/>
    <w:rsid w:val="4116049D"/>
    <w:rsid w:val="41265332"/>
    <w:rsid w:val="412C09BD"/>
    <w:rsid w:val="41304956"/>
    <w:rsid w:val="413A6BF1"/>
    <w:rsid w:val="41404956"/>
    <w:rsid w:val="414ECCF3"/>
    <w:rsid w:val="4150A104"/>
    <w:rsid w:val="41536640"/>
    <w:rsid w:val="415371D3"/>
    <w:rsid w:val="415F01AD"/>
    <w:rsid w:val="41712E91"/>
    <w:rsid w:val="4173A26A"/>
    <w:rsid w:val="417C83E6"/>
    <w:rsid w:val="4195EE0C"/>
    <w:rsid w:val="419A123E"/>
    <w:rsid w:val="41A141A8"/>
    <w:rsid w:val="41B42575"/>
    <w:rsid w:val="41B79623"/>
    <w:rsid w:val="41BA407D"/>
    <w:rsid w:val="41C5C053"/>
    <w:rsid w:val="41C7A9E7"/>
    <w:rsid w:val="41DB06C4"/>
    <w:rsid w:val="41DDD60A"/>
    <w:rsid w:val="41EAF938"/>
    <w:rsid w:val="41EEBC9A"/>
    <w:rsid w:val="41F9D3B0"/>
    <w:rsid w:val="41FEA993"/>
    <w:rsid w:val="4206204B"/>
    <w:rsid w:val="420A3179"/>
    <w:rsid w:val="420B95AC"/>
    <w:rsid w:val="42173C64"/>
    <w:rsid w:val="4235649B"/>
    <w:rsid w:val="423E28F9"/>
    <w:rsid w:val="42450FBF"/>
    <w:rsid w:val="4256C04D"/>
    <w:rsid w:val="4258EA6F"/>
    <w:rsid w:val="425C2E43"/>
    <w:rsid w:val="425E8820"/>
    <w:rsid w:val="425FAE9B"/>
    <w:rsid w:val="426CED4B"/>
    <w:rsid w:val="428769FD"/>
    <w:rsid w:val="4291B332"/>
    <w:rsid w:val="4292E08D"/>
    <w:rsid w:val="42A3F6F1"/>
    <w:rsid w:val="42BB8C94"/>
    <w:rsid w:val="42BDF334"/>
    <w:rsid w:val="42C3DE25"/>
    <w:rsid w:val="42D8DA00"/>
    <w:rsid w:val="42DEE6D6"/>
    <w:rsid w:val="42E12AAE"/>
    <w:rsid w:val="42E22545"/>
    <w:rsid w:val="42E28185"/>
    <w:rsid w:val="42E7348A"/>
    <w:rsid w:val="42EFDB81"/>
    <w:rsid w:val="42FC18D9"/>
    <w:rsid w:val="4303819B"/>
    <w:rsid w:val="430779B9"/>
    <w:rsid w:val="430D6399"/>
    <w:rsid w:val="4327F56B"/>
    <w:rsid w:val="43280155"/>
    <w:rsid w:val="432A208E"/>
    <w:rsid w:val="433381DD"/>
    <w:rsid w:val="43341754"/>
    <w:rsid w:val="4335E29F"/>
    <w:rsid w:val="433EB739"/>
    <w:rsid w:val="43452105"/>
    <w:rsid w:val="435506BA"/>
    <w:rsid w:val="435B5A26"/>
    <w:rsid w:val="436E2D10"/>
    <w:rsid w:val="4373465D"/>
    <w:rsid w:val="43823939"/>
    <w:rsid w:val="438DAE61"/>
    <w:rsid w:val="43967AC1"/>
    <w:rsid w:val="439D2749"/>
    <w:rsid w:val="439D4EC3"/>
    <w:rsid w:val="43BF6DBF"/>
    <w:rsid w:val="43D60BD2"/>
    <w:rsid w:val="43E10BEE"/>
    <w:rsid w:val="43F1BAE0"/>
    <w:rsid w:val="43F2EFEF"/>
    <w:rsid w:val="43F8CDFD"/>
    <w:rsid w:val="43FF8B7B"/>
    <w:rsid w:val="440816F8"/>
    <w:rsid w:val="4411BADA"/>
    <w:rsid w:val="44279C0F"/>
    <w:rsid w:val="442BB500"/>
    <w:rsid w:val="442D917F"/>
    <w:rsid w:val="442DE4D0"/>
    <w:rsid w:val="4432FEC2"/>
    <w:rsid w:val="44444F04"/>
    <w:rsid w:val="4444F77A"/>
    <w:rsid w:val="4454273F"/>
    <w:rsid w:val="44655F8E"/>
    <w:rsid w:val="446F0D55"/>
    <w:rsid w:val="4475E578"/>
    <w:rsid w:val="4477D3ED"/>
    <w:rsid w:val="44866DB5"/>
    <w:rsid w:val="448AF176"/>
    <w:rsid w:val="448DEA06"/>
    <w:rsid w:val="448EAFD6"/>
    <w:rsid w:val="44A0917C"/>
    <w:rsid w:val="44A0F312"/>
    <w:rsid w:val="44B8BDBA"/>
    <w:rsid w:val="44BC67AE"/>
    <w:rsid w:val="44BFD18A"/>
    <w:rsid w:val="44C292F7"/>
    <w:rsid w:val="44CA4CA8"/>
    <w:rsid w:val="44CE5098"/>
    <w:rsid w:val="44CE9C5C"/>
    <w:rsid w:val="44E50DB3"/>
    <w:rsid w:val="44F90AC7"/>
    <w:rsid w:val="4503F772"/>
    <w:rsid w:val="450605DB"/>
    <w:rsid w:val="4507A487"/>
    <w:rsid w:val="4520F8A4"/>
    <w:rsid w:val="4527D256"/>
    <w:rsid w:val="452BAE4A"/>
    <w:rsid w:val="452DCD85"/>
    <w:rsid w:val="4530BD96"/>
    <w:rsid w:val="453C4119"/>
    <w:rsid w:val="4541667D"/>
    <w:rsid w:val="45426433"/>
    <w:rsid w:val="4547CB04"/>
    <w:rsid w:val="454E5C39"/>
    <w:rsid w:val="454FF07F"/>
    <w:rsid w:val="4565DBDC"/>
    <w:rsid w:val="456A7E1B"/>
    <w:rsid w:val="457FF816"/>
    <w:rsid w:val="45804800"/>
    <w:rsid w:val="45818FC1"/>
    <w:rsid w:val="4586D112"/>
    <w:rsid w:val="4588DAE4"/>
    <w:rsid w:val="459D258B"/>
    <w:rsid w:val="45A11488"/>
    <w:rsid w:val="45A4D993"/>
    <w:rsid w:val="45AF7B6C"/>
    <w:rsid w:val="45C53EEF"/>
    <w:rsid w:val="45C9666F"/>
    <w:rsid w:val="45D99833"/>
    <w:rsid w:val="45E14C7F"/>
    <w:rsid w:val="45EF30DA"/>
    <w:rsid w:val="45EFEF32"/>
    <w:rsid w:val="45F49D89"/>
    <w:rsid w:val="45FA2767"/>
    <w:rsid w:val="4606A951"/>
    <w:rsid w:val="460AAB44"/>
    <w:rsid w:val="461CD4A2"/>
    <w:rsid w:val="462CE2F7"/>
    <w:rsid w:val="464589DE"/>
    <w:rsid w:val="46471915"/>
    <w:rsid w:val="4657E6D9"/>
    <w:rsid w:val="465A0347"/>
    <w:rsid w:val="465CED7E"/>
    <w:rsid w:val="465DA009"/>
    <w:rsid w:val="465EFEB5"/>
    <w:rsid w:val="466BA714"/>
    <w:rsid w:val="46703BFD"/>
    <w:rsid w:val="4676CBE5"/>
    <w:rsid w:val="4678400D"/>
    <w:rsid w:val="468725AB"/>
    <w:rsid w:val="46888D1C"/>
    <w:rsid w:val="469747ED"/>
    <w:rsid w:val="4698CBD4"/>
    <w:rsid w:val="469FD985"/>
    <w:rsid w:val="46A0216F"/>
    <w:rsid w:val="46A86201"/>
    <w:rsid w:val="46BF5F4F"/>
    <w:rsid w:val="46C07512"/>
    <w:rsid w:val="46C290CF"/>
    <w:rsid w:val="46CC00A7"/>
    <w:rsid w:val="46E3EDD1"/>
    <w:rsid w:val="470343F4"/>
    <w:rsid w:val="47127EE7"/>
    <w:rsid w:val="47220649"/>
    <w:rsid w:val="4728C42A"/>
    <w:rsid w:val="4736F479"/>
    <w:rsid w:val="47406F6F"/>
    <w:rsid w:val="475C4713"/>
    <w:rsid w:val="477158E3"/>
    <w:rsid w:val="477F496B"/>
    <w:rsid w:val="478F3399"/>
    <w:rsid w:val="4794B9B6"/>
    <w:rsid w:val="4795300F"/>
    <w:rsid w:val="47A343B8"/>
    <w:rsid w:val="47A6A1AB"/>
    <w:rsid w:val="47B5E3CE"/>
    <w:rsid w:val="47B68F29"/>
    <w:rsid w:val="47BC488D"/>
    <w:rsid w:val="47C1FAC0"/>
    <w:rsid w:val="47C64567"/>
    <w:rsid w:val="47CB2F4A"/>
    <w:rsid w:val="47D8C9B6"/>
    <w:rsid w:val="47DC509F"/>
    <w:rsid w:val="47E4D700"/>
    <w:rsid w:val="47E68FD6"/>
    <w:rsid w:val="47F46005"/>
    <w:rsid w:val="47F65D22"/>
    <w:rsid w:val="47F82CCC"/>
    <w:rsid w:val="47FD3857"/>
    <w:rsid w:val="47FF4A77"/>
    <w:rsid w:val="48073D70"/>
    <w:rsid w:val="48220254"/>
    <w:rsid w:val="48464CE1"/>
    <w:rsid w:val="484B3AE7"/>
    <w:rsid w:val="484DA6DD"/>
    <w:rsid w:val="485F7711"/>
    <w:rsid w:val="48734A63"/>
    <w:rsid w:val="487384E5"/>
    <w:rsid w:val="487A3E53"/>
    <w:rsid w:val="487B1238"/>
    <w:rsid w:val="487F3C46"/>
    <w:rsid w:val="48831441"/>
    <w:rsid w:val="48A6C97F"/>
    <w:rsid w:val="48ACF52D"/>
    <w:rsid w:val="48AF766E"/>
    <w:rsid w:val="48B687FC"/>
    <w:rsid w:val="48B799A7"/>
    <w:rsid w:val="48BB78CA"/>
    <w:rsid w:val="48C94C10"/>
    <w:rsid w:val="48DEA04E"/>
    <w:rsid w:val="490658A5"/>
    <w:rsid w:val="490C9361"/>
    <w:rsid w:val="490DAA0B"/>
    <w:rsid w:val="49104A10"/>
    <w:rsid w:val="4910CB5D"/>
    <w:rsid w:val="4914D21A"/>
    <w:rsid w:val="49186926"/>
    <w:rsid w:val="4918D432"/>
    <w:rsid w:val="49199169"/>
    <w:rsid w:val="492FBA5F"/>
    <w:rsid w:val="493527F0"/>
    <w:rsid w:val="49362A74"/>
    <w:rsid w:val="4952C46A"/>
    <w:rsid w:val="49557D6D"/>
    <w:rsid w:val="4959E599"/>
    <w:rsid w:val="4965076D"/>
    <w:rsid w:val="4968DE40"/>
    <w:rsid w:val="496C7ABB"/>
    <w:rsid w:val="49736AF7"/>
    <w:rsid w:val="4975E782"/>
    <w:rsid w:val="497D1A9C"/>
    <w:rsid w:val="49823E81"/>
    <w:rsid w:val="498452D7"/>
    <w:rsid w:val="498999E2"/>
    <w:rsid w:val="4994238E"/>
    <w:rsid w:val="499662B7"/>
    <w:rsid w:val="49986259"/>
    <w:rsid w:val="49A3652C"/>
    <w:rsid w:val="49A4F7FA"/>
    <w:rsid w:val="49A8AA46"/>
    <w:rsid w:val="49AE43D1"/>
    <w:rsid w:val="49B2A09A"/>
    <w:rsid w:val="49B3AA9D"/>
    <w:rsid w:val="49B57A26"/>
    <w:rsid w:val="49C10E52"/>
    <w:rsid w:val="49C40D47"/>
    <w:rsid w:val="49D5ABA2"/>
    <w:rsid w:val="49DACB76"/>
    <w:rsid w:val="49E1B48F"/>
    <w:rsid w:val="49E40FE5"/>
    <w:rsid w:val="49FF4E08"/>
    <w:rsid w:val="4A0F5E25"/>
    <w:rsid w:val="4A207367"/>
    <w:rsid w:val="4A288587"/>
    <w:rsid w:val="4A3B741E"/>
    <w:rsid w:val="4A48C845"/>
    <w:rsid w:val="4A5929C5"/>
    <w:rsid w:val="4A662763"/>
    <w:rsid w:val="4A66E976"/>
    <w:rsid w:val="4A676816"/>
    <w:rsid w:val="4A792EC1"/>
    <w:rsid w:val="4A7BEECE"/>
    <w:rsid w:val="4A7ED9FE"/>
    <w:rsid w:val="4A8173DC"/>
    <w:rsid w:val="4A838407"/>
    <w:rsid w:val="4A9549CD"/>
    <w:rsid w:val="4AA7F629"/>
    <w:rsid w:val="4AAD7231"/>
    <w:rsid w:val="4AAE715E"/>
    <w:rsid w:val="4AD54A98"/>
    <w:rsid w:val="4ADCCB11"/>
    <w:rsid w:val="4AF4C096"/>
    <w:rsid w:val="4AFAEB91"/>
    <w:rsid w:val="4B00A275"/>
    <w:rsid w:val="4B22E5F1"/>
    <w:rsid w:val="4B2BEFBA"/>
    <w:rsid w:val="4B385F3C"/>
    <w:rsid w:val="4B3FA517"/>
    <w:rsid w:val="4B4EA2D1"/>
    <w:rsid w:val="4B54EB9D"/>
    <w:rsid w:val="4B64B513"/>
    <w:rsid w:val="4B651AB5"/>
    <w:rsid w:val="4B6B8380"/>
    <w:rsid w:val="4B6D3BE6"/>
    <w:rsid w:val="4B72393D"/>
    <w:rsid w:val="4B78302E"/>
    <w:rsid w:val="4B972CAF"/>
    <w:rsid w:val="4B9DFF98"/>
    <w:rsid w:val="4BA89A57"/>
    <w:rsid w:val="4BA963A5"/>
    <w:rsid w:val="4BAB605C"/>
    <w:rsid w:val="4BBDE6C9"/>
    <w:rsid w:val="4BC64BB4"/>
    <w:rsid w:val="4BD61EED"/>
    <w:rsid w:val="4BE5B38A"/>
    <w:rsid w:val="4BECD7C4"/>
    <w:rsid w:val="4BF4AD69"/>
    <w:rsid w:val="4BFF685D"/>
    <w:rsid w:val="4C02A846"/>
    <w:rsid w:val="4C04BC1E"/>
    <w:rsid w:val="4C0A7B81"/>
    <w:rsid w:val="4C199627"/>
    <w:rsid w:val="4C202334"/>
    <w:rsid w:val="4C2424A2"/>
    <w:rsid w:val="4C2484EC"/>
    <w:rsid w:val="4C28F566"/>
    <w:rsid w:val="4C2BB9C2"/>
    <w:rsid w:val="4C47535A"/>
    <w:rsid w:val="4C4FE77A"/>
    <w:rsid w:val="4C50CD84"/>
    <w:rsid w:val="4C55A46C"/>
    <w:rsid w:val="4C55C05E"/>
    <w:rsid w:val="4C5E8D16"/>
    <w:rsid w:val="4C7BA0DC"/>
    <w:rsid w:val="4C7E4D1F"/>
    <w:rsid w:val="4C823911"/>
    <w:rsid w:val="4C88FF72"/>
    <w:rsid w:val="4C93D22D"/>
    <w:rsid w:val="4C9A65FC"/>
    <w:rsid w:val="4CB18D3B"/>
    <w:rsid w:val="4CB8B439"/>
    <w:rsid w:val="4CB9A249"/>
    <w:rsid w:val="4CCC3BB8"/>
    <w:rsid w:val="4CDB62AF"/>
    <w:rsid w:val="4CE6D132"/>
    <w:rsid w:val="4CE89E12"/>
    <w:rsid w:val="4CF16063"/>
    <w:rsid w:val="4D2580DF"/>
    <w:rsid w:val="4D33C247"/>
    <w:rsid w:val="4D3EBEC8"/>
    <w:rsid w:val="4D40AC88"/>
    <w:rsid w:val="4D49FDDC"/>
    <w:rsid w:val="4D638002"/>
    <w:rsid w:val="4D63A95B"/>
    <w:rsid w:val="4D70EC59"/>
    <w:rsid w:val="4D759662"/>
    <w:rsid w:val="4D8C900C"/>
    <w:rsid w:val="4D9EE44C"/>
    <w:rsid w:val="4DA06406"/>
    <w:rsid w:val="4DA5DBEE"/>
    <w:rsid w:val="4DB881A0"/>
    <w:rsid w:val="4DC76BA8"/>
    <w:rsid w:val="4DC7ECC5"/>
    <w:rsid w:val="4DC83A38"/>
    <w:rsid w:val="4DC86099"/>
    <w:rsid w:val="4DE3A213"/>
    <w:rsid w:val="4DF1CF06"/>
    <w:rsid w:val="4DF2B4D0"/>
    <w:rsid w:val="4E11A9BD"/>
    <w:rsid w:val="4E14279E"/>
    <w:rsid w:val="4E194DAE"/>
    <w:rsid w:val="4E19556B"/>
    <w:rsid w:val="4E4A25B9"/>
    <w:rsid w:val="4E4FA52C"/>
    <w:rsid w:val="4E5B1642"/>
    <w:rsid w:val="4E612F1E"/>
    <w:rsid w:val="4E6B9EA9"/>
    <w:rsid w:val="4E79B996"/>
    <w:rsid w:val="4E9EACCB"/>
    <w:rsid w:val="4EA8DBF2"/>
    <w:rsid w:val="4EAFF924"/>
    <w:rsid w:val="4EB12814"/>
    <w:rsid w:val="4EBE4A62"/>
    <w:rsid w:val="4EC22AEE"/>
    <w:rsid w:val="4EC92181"/>
    <w:rsid w:val="4EC99727"/>
    <w:rsid w:val="4EDBB80B"/>
    <w:rsid w:val="4EEC093E"/>
    <w:rsid w:val="4EFC626B"/>
    <w:rsid w:val="4F07CC9C"/>
    <w:rsid w:val="4F13109E"/>
    <w:rsid w:val="4F194CA6"/>
    <w:rsid w:val="4F1C02E1"/>
    <w:rsid w:val="4F1CCFFE"/>
    <w:rsid w:val="4F27441B"/>
    <w:rsid w:val="4F2D341F"/>
    <w:rsid w:val="4F2EE879"/>
    <w:rsid w:val="4F5A0A63"/>
    <w:rsid w:val="4F5F0E24"/>
    <w:rsid w:val="4F62BD5A"/>
    <w:rsid w:val="4F6FCCAA"/>
    <w:rsid w:val="4F777595"/>
    <w:rsid w:val="4F784844"/>
    <w:rsid w:val="4F82AE40"/>
    <w:rsid w:val="4F8D48A7"/>
    <w:rsid w:val="4F916860"/>
    <w:rsid w:val="4F92C8FB"/>
    <w:rsid w:val="4F9CBFA8"/>
    <w:rsid w:val="4F9E7C12"/>
    <w:rsid w:val="4FA1428C"/>
    <w:rsid w:val="4FA91029"/>
    <w:rsid w:val="4FB0C6EE"/>
    <w:rsid w:val="4FB49247"/>
    <w:rsid w:val="4FBBE75A"/>
    <w:rsid w:val="4FD43E33"/>
    <w:rsid w:val="4FE65526"/>
    <w:rsid w:val="4FE80B25"/>
    <w:rsid w:val="4FF53705"/>
    <w:rsid w:val="50032DB6"/>
    <w:rsid w:val="50064B51"/>
    <w:rsid w:val="500DE08A"/>
    <w:rsid w:val="501551EC"/>
    <w:rsid w:val="5016EA36"/>
    <w:rsid w:val="502131A0"/>
    <w:rsid w:val="50236FA7"/>
    <w:rsid w:val="5026C98D"/>
    <w:rsid w:val="5037DDD9"/>
    <w:rsid w:val="504AF763"/>
    <w:rsid w:val="5059E2C9"/>
    <w:rsid w:val="505E57FC"/>
    <w:rsid w:val="50617AF7"/>
    <w:rsid w:val="5062FEB4"/>
    <w:rsid w:val="50749BAA"/>
    <w:rsid w:val="5075D922"/>
    <w:rsid w:val="5086AD7A"/>
    <w:rsid w:val="50894EBB"/>
    <w:rsid w:val="509E46F9"/>
    <w:rsid w:val="50A2B933"/>
    <w:rsid w:val="50B64C3D"/>
    <w:rsid w:val="50D8FF54"/>
    <w:rsid w:val="50E50735"/>
    <w:rsid w:val="510194D8"/>
    <w:rsid w:val="51092B61"/>
    <w:rsid w:val="51146E76"/>
    <w:rsid w:val="511FF2D6"/>
    <w:rsid w:val="512E4B69"/>
    <w:rsid w:val="5137E7A8"/>
    <w:rsid w:val="513B1636"/>
    <w:rsid w:val="513B480C"/>
    <w:rsid w:val="513C7847"/>
    <w:rsid w:val="5143168B"/>
    <w:rsid w:val="51506F15"/>
    <w:rsid w:val="51556A2A"/>
    <w:rsid w:val="515DB213"/>
    <w:rsid w:val="517598D9"/>
    <w:rsid w:val="51794C2C"/>
    <w:rsid w:val="51849AE1"/>
    <w:rsid w:val="5188BDB9"/>
    <w:rsid w:val="518A629A"/>
    <w:rsid w:val="518B98E2"/>
    <w:rsid w:val="51A2654B"/>
    <w:rsid w:val="51ABA1B8"/>
    <w:rsid w:val="51AF534C"/>
    <w:rsid w:val="51BB8D7B"/>
    <w:rsid w:val="51BCE836"/>
    <w:rsid w:val="51C9903B"/>
    <w:rsid w:val="51C9D072"/>
    <w:rsid w:val="51D21727"/>
    <w:rsid w:val="51E5B248"/>
    <w:rsid w:val="51EEA037"/>
    <w:rsid w:val="51F0A3DD"/>
    <w:rsid w:val="52066E33"/>
    <w:rsid w:val="5207B2AF"/>
    <w:rsid w:val="5209C1DE"/>
    <w:rsid w:val="52251924"/>
    <w:rsid w:val="52339726"/>
    <w:rsid w:val="523A81E0"/>
    <w:rsid w:val="527EA0B6"/>
    <w:rsid w:val="52812B27"/>
    <w:rsid w:val="52908782"/>
    <w:rsid w:val="529EAA53"/>
    <w:rsid w:val="52A6A4A2"/>
    <w:rsid w:val="52C907D8"/>
    <w:rsid w:val="52DA00B3"/>
    <w:rsid w:val="52DD5543"/>
    <w:rsid w:val="52E04E5C"/>
    <w:rsid w:val="52E2FE4F"/>
    <w:rsid w:val="52F7CD27"/>
    <w:rsid w:val="52FFF2E5"/>
    <w:rsid w:val="53093B23"/>
    <w:rsid w:val="530D67BE"/>
    <w:rsid w:val="530DDF69"/>
    <w:rsid w:val="530ED3E2"/>
    <w:rsid w:val="53158202"/>
    <w:rsid w:val="531B7A06"/>
    <w:rsid w:val="531BAAB5"/>
    <w:rsid w:val="5324DF3F"/>
    <w:rsid w:val="5339B083"/>
    <w:rsid w:val="5368FCE4"/>
    <w:rsid w:val="5369D62E"/>
    <w:rsid w:val="53717F3F"/>
    <w:rsid w:val="53770628"/>
    <w:rsid w:val="537CDE82"/>
    <w:rsid w:val="537D1153"/>
    <w:rsid w:val="539D695A"/>
    <w:rsid w:val="53AADE14"/>
    <w:rsid w:val="53BEBE76"/>
    <w:rsid w:val="53C20842"/>
    <w:rsid w:val="53C818D9"/>
    <w:rsid w:val="53D9A7A0"/>
    <w:rsid w:val="53DA01AF"/>
    <w:rsid w:val="53E831A2"/>
    <w:rsid w:val="53F51869"/>
    <w:rsid w:val="53FB3DBC"/>
    <w:rsid w:val="54135C5D"/>
    <w:rsid w:val="5429FA03"/>
    <w:rsid w:val="54344362"/>
    <w:rsid w:val="5438A596"/>
    <w:rsid w:val="543D1AB6"/>
    <w:rsid w:val="5486EA5F"/>
    <w:rsid w:val="549D622D"/>
    <w:rsid w:val="54CB830C"/>
    <w:rsid w:val="54CFBCE0"/>
    <w:rsid w:val="54D4FBDF"/>
    <w:rsid w:val="54D5BB38"/>
    <w:rsid w:val="54DAFBF4"/>
    <w:rsid w:val="54DBF6B0"/>
    <w:rsid w:val="54DF3869"/>
    <w:rsid w:val="54E1575C"/>
    <w:rsid w:val="54E445C7"/>
    <w:rsid w:val="54E62971"/>
    <w:rsid w:val="54F32832"/>
    <w:rsid w:val="54FBE525"/>
    <w:rsid w:val="54FE3BEB"/>
    <w:rsid w:val="550D9FCA"/>
    <w:rsid w:val="552121D3"/>
    <w:rsid w:val="552EE7F3"/>
    <w:rsid w:val="552F8F8B"/>
    <w:rsid w:val="5536DFA1"/>
    <w:rsid w:val="5555218F"/>
    <w:rsid w:val="555DD5E9"/>
    <w:rsid w:val="5561D66E"/>
    <w:rsid w:val="556346B0"/>
    <w:rsid w:val="5563D788"/>
    <w:rsid w:val="5567E447"/>
    <w:rsid w:val="556DCF41"/>
    <w:rsid w:val="557ED86C"/>
    <w:rsid w:val="5582357C"/>
    <w:rsid w:val="558299DD"/>
    <w:rsid w:val="558C3A8E"/>
    <w:rsid w:val="55A8269D"/>
    <w:rsid w:val="55A86DED"/>
    <w:rsid w:val="55C0C407"/>
    <w:rsid w:val="55C20886"/>
    <w:rsid w:val="55D2DEB6"/>
    <w:rsid w:val="55D2F442"/>
    <w:rsid w:val="55D59EC3"/>
    <w:rsid w:val="55DAF5E9"/>
    <w:rsid w:val="55E6E6AC"/>
    <w:rsid w:val="55F08047"/>
    <w:rsid w:val="55F515EC"/>
    <w:rsid w:val="55F82183"/>
    <w:rsid w:val="55F91090"/>
    <w:rsid w:val="55F976A2"/>
    <w:rsid w:val="55FFF1C4"/>
    <w:rsid w:val="560AFA30"/>
    <w:rsid w:val="560E4064"/>
    <w:rsid w:val="5612A8F8"/>
    <w:rsid w:val="56230E55"/>
    <w:rsid w:val="562487D0"/>
    <w:rsid w:val="5624C5C4"/>
    <w:rsid w:val="562D2803"/>
    <w:rsid w:val="5633FCF7"/>
    <w:rsid w:val="5643DA86"/>
    <w:rsid w:val="56520648"/>
    <w:rsid w:val="5658A22D"/>
    <w:rsid w:val="5659DAC2"/>
    <w:rsid w:val="566240CA"/>
    <w:rsid w:val="5662807B"/>
    <w:rsid w:val="56682777"/>
    <w:rsid w:val="56753EC6"/>
    <w:rsid w:val="56A852C6"/>
    <w:rsid w:val="56AB6BD3"/>
    <w:rsid w:val="56B10C38"/>
    <w:rsid w:val="56C67A7C"/>
    <w:rsid w:val="56D3691D"/>
    <w:rsid w:val="56D812CF"/>
    <w:rsid w:val="56E0BA76"/>
    <w:rsid w:val="56E51ABF"/>
    <w:rsid w:val="56E776AE"/>
    <w:rsid w:val="56EA5259"/>
    <w:rsid w:val="56F0E73C"/>
    <w:rsid w:val="56F100B5"/>
    <w:rsid w:val="56FAFFE2"/>
    <w:rsid w:val="57171B90"/>
    <w:rsid w:val="572C6802"/>
    <w:rsid w:val="5730B438"/>
    <w:rsid w:val="57324706"/>
    <w:rsid w:val="5734AEB8"/>
    <w:rsid w:val="5740F092"/>
    <w:rsid w:val="5742BE47"/>
    <w:rsid w:val="5745905F"/>
    <w:rsid w:val="57584687"/>
    <w:rsid w:val="57666673"/>
    <w:rsid w:val="5766EC39"/>
    <w:rsid w:val="5768BF97"/>
    <w:rsid w:val="577929D9"/>
    <w:rsid w:val="57858DC5"/>
    <w:rsid w:val="57A9EBB3"/>
    <w:rsid w:val="57B38395"/>
    <w:rsid w:val="57BA792D"/>
    <w:rsid w:val="57BF32A8"/>
    <w:rsid w:val="57C4D6B9"/>
    <w:rsid w:val="57EDC27D"/>
    <w:rsid w:val="57F4B722"/>
    <w:rsid w:val="5802DA4E"/>
    <w:rsid w:val="5817EF1F"/>
    <w:rsid w:val="581F70DF"/>
    <w:rsid w:val="5820FA4E"/>
    <w:rsid w:val="58321B3E"/>
    <w:rsid w:val="5835F100"/>
    <w:rsid w:val="583C8907"/>
    <w:rsid w:val="583E1033"/>
    <w:rsid w:val="5848FA92"/>
    <w:rsid w:val="586E4D7F"/>
    <w:rsid w:val="5871A9D9"/>
    <w:rsid w:val="587447D7"/>
    <w:rsid w:val="587F9CCC"/>
    <w:rsid w:val="588055A1"/>
    <w:rsid w:val="588229AA"/>
    <w:rsid w:val="5882638A"/>
    <w:rsid w:val="58874F35"/>
    <w:rsid w:val="5888D11A"/>
    <w:rsid w:val="588C14EE"/>
    <w:rsid w:val="58AA8DAD"/>
    <w:rsid w:val="58AECCD7"/>
    <w:rsid w:val="58C5069D"/>
    <w:rsid w:val="58D893ED"/>
    <w:rsid w:val="58DFB053"/>
    <w:rsid w:val="58E7745C"/>
    <w:rsid w:val="58F5B439"/>
    <w:rsid w:val="59092E30"/>
    <w:rsid w:val="59126C70"/>
    <w:rsid w:val="594A4BD1"/>
    <w:rsid w:val="594CDA6B"/>
    <w:rsid w:val="5952AA93"/>
    <w:rsid w:val="595B9550"/>
    <w:rsid w:val="59640423"/>
    <w:rsid w:val="59657615"/>
    <w:rsid w:val="596CDD09"/>
    <w:rsid w:val="597666B5"/>
    <w:rsid w:val="597A1A82"/>
    <w:rsid w:val="598352A3"/>
    <w:rsid w:val="598379E1"/>
    <w:rsid w:val="599021D0"/>
    <w:rsid w:val="59979F1C"/>
    <w:rsid w:val="599B5DC2"/>
    <w:rsid w:val="59B42E32"/>
    <w:rsid w:val="59B80CAF"/>
    <w:rsid w:val="59C2828E"/>
    <w:rsid w:val="59EAC9D8"/>
    <w:rsid w:val="59F04DB4"/>
    <w:rsid w:val="59F0F7CA"/>
    <w:rsid w:val="5A0B4DAF"/>
    <w:rsid w:val="5A0BE45B"/>
    <w:rsid w:val="5A1926D3"/>
    <w:rsid w:val="5A202703"/>
    <w:rsid w:val="5A32747B"/>
    <w:rsid w:val="5A4F6956"/>
    <w:rsid w:val="5A4FCEF8"/>
    <w:rsid w:val="5A57240B"/>
    <w:rsid w:val="5A5888D7"/>
    <w:rsid w:val="5A62037F"/>
    <w:rsid w:val="5A6DA7D3"/>
    <w:rsid w:val="5A7C3F9A"/>
    <w:rsid w:val="5A8191D7"/>
    <w:rsid w:val="5A8B90D1"/>
    <w:rsid w:val="5A8E239B"/>
    <w:rsid w:val="5A9C0338"/>
    <w:rsid w:val="5A9D7DC1"/>
    <w:rsid w:val="5AA0CDF2"/>
    <w:rsid w:val="5AA61D08"/>
    <w:rsid w:val="5AA90C93"/>
    <w:rsid w:val="5AC69F08"/>
    <w:rsid w:val="5AD38648"/>
    <w:rsid w:val="5AE2DAD9"/>
    <w:rsid w:val="5AEB3D20"/>
    <w:rsid w:val="5AF465C1"/>
    <w:rsid w:val="5AF49419"/>
    <w:rsid w:val="5AFBFE68"/>
    <w:rsid w:val="5B0B40E1"/>
    <w:rsid w:val="5B2222F4"/>
    <w:rsid w:val="5B2D3882"/>
    <w:rsid w:val="5B356C34"/>
    <w:rsid w:val="5B58AB30"/>
    <w:rsid w:val="5B5BBE69"/>
    <w:rsid w:val="5B5D50C5"/>
    <w:rsid w:val="5B5F1B04"/>
    <w:rsid w:val="5B7BE52F"/>
    <w:rsid w:val="5B8D3BF9"/>
    <w:rsid w:val="5B95C02C"/>
    <w:rsid w:val="5B9A3BBB"/>
    <w:rsid w:val="5BA07C20"/>
    <w:rsid w:val="5BA165AB"/>
    <w:rsid w:val="5BA2D544"/>
    <w:rsid w:val="5BA7D5B1"/>
    <w:rsid w:val="5BA90023"/>
    <w:rsid w:val="5BB6C490"/>
    <w:rsid w:val="5BB6D09B"/>
    <w:rsid w:val="5BB93956"/>
    <w:rsid w:val="5BBA5AF1"/>
    <w:rsid w:val="5BBDB895"/>
    <w:rsid w:val="5BCCB769"/>
    <w:rsid w:val="5BD0F990"/>
    <w:rsid w:val="5BD54FAE"/>
    <w:rsid w:val="5BD80FAD"/>
    <w:rsid w:val="5BF89445"/>
    <w:rsid w:val="5BF8BED7"/>
    <w:rsid w:val="5BF9F5D7"/>
    <w:rsid w:val="5C01AA25"/>
    <w:rsid w:val="5C0C25BD"/>
    <w:rsid w:val="5C0EB591"/>
    <w:rsid w:val="5C10BCA7"/>
    <w:rsid w:val="5C141CF1"/>
    <w:rsid w:val="5C168E16"/>
    <w:rsid w:val="5C191A21"/>
    <w:rsid w:val="5C26A2F6"/>
    <w:rsid w:val="5C28F29F"/>
    <w:rsid w:val="5C290D69"/>
    <w:rsid w:val="5C4F031B"/>
    <w:rsid w:val="5C548D07"/>
    <w:rsid w:val="5C5B59B1"/>
    <w:rsid w:val="5C60BAF8"/>
    <w:rsid w:val="5C782271"/>
    <w:rsid w:val="5C79192D"/>
    <w:rsid w:val="5C84264A"/>
    <w:rsid w:val="5CA89436"/>
    <w:rsid w:val="5CA9976F"/>
    <w:rsid w:val="5CB00DE8"/>
    <w:rsid w:val="5CB03563"/>
    <w:rsid w:val="5CCF17A5"/>
    <w:rsid w:val="5CDBB8D6"/>
    <w:rsid w:val="5CE93507"/>
    <w:rsid w:val="5D00A980"/>
    <w:rsid w:val="5D059750"/>
    <w:rsid w:val="5D206402"/>
    <w:rsid w:val="5D2A2ABB"/>
    <w:rsid w:val="5D3216DA"/>
    <w:rsid w:val="5D39D22A"/>
    <w:rsid w:val="5D41E153"/>
    <w:rsid w:val="5D51C7D1"/>
    <w:rsid w:val="5D5DDA90"/>
    <w:rsid w:val="5D607BF8"/>
    <w:rsid w:val="5D78CF31"/>
    <w:rsid w:val="5D792940"/>
    <w:rsid w:val="5D81B80F"/>
    <w:rsid w:val="5D90DA50"/>
    <w:rsid w:val="5D934D60"/>
    <w:rsid w:val="5DB6E766"/>
    <w:rsid w:val="5DBD9D11"/>
    <w:rsid w:val="5DBFA1B8"/>
    <w:rsid w:val="5DC04D13"/>
    <w:rsid w:val="5DC48BD8"/>
    <w:rsid w:val="5DC4E14D"/>
    <w:rsid w:val="5DCD76E9"/>
    <w:rsid w:val="5DDDBC35"/>
    <w:rsid w:val="5DE731D5"/>
    <w:rsid w:val="5DEA3E1F"/>
    <w:rsid w:val="5DEFC4EC"/>
    <w:rsid w:val="5DEFE55B"/>
    <w:rsid w:val="5E2AC937"/>
    <w:rsid w:val="5E314DDA"/>
    <w:rsid w:val="5E34AB77"/>
    <w:rsid w:val="5E60B8C2"/>
    <w:rsid w:val="5E64100C"/>
    <w:rsid w:val="5E64E465"/>
    <w:rsid w:val="5E6590F9"/>
    <w:rsid w:val="5E6AF8E0"/>
    <w:rsid w:val="5E75E580"/>
    <w:rsid w:val="5E7BE77A"/>
    <w:rsid w:val="5E7C60A2"/>
    <w:rsid w:val="5E8BF6CF"/>
    <w:rsid w:val="5E8FB909"/>
    <w:rsid w:val="5E9164B7"/>
    <w:rsid w:val="5EA94CCC"/>
    <w:rsid w:val="5EB5AB37"/>
    <w:rsid w:val="5EB6B317"/>
    <w:rsid w:val="5EC13053"/>
    <w:rsid w:val="5EC30BEB"/>
    <w:rsid w:val="5EC9BCD3"/>
    <w:rsid w:val="5ECA48F0"/>
    <w:rsid w:val="5EDDD330"/>
    <w:rsid w:val="5EEDE995"/>
    <w:rsid w:val="5EF01944"/>
    <w:rsid w:val="5EF8106C"/>
    <w:rsid w:val="5F18900E"/>
    <w:rsid w:val="5F1A8947"/>
    <w:rsid w:val="5F3E7D00"/>
    <w:rsid w:val="5F44B47E"/>
    <w:rsid w:val="5F4828D9"/>
    <w:rsid w:val="5F4A2EDA"/>
    <w:rsid w:val="5F5101BF"/>
    <w:rsid w:val="5F69B893"/>
    <w:rsid w:val="5F73C483"/>
    <w:rsid w:val="5F7FA56C"/>
    <w:rsid w:val="5F90AB9D"/>
    <w:rsid w:val="5F93BD3F"/>
    <w:rsid w:val="5F9501BB"/>
    <w:rsid w:val="5F9800FB"/>
    <w:rsid w:val="5F9C3165"/>
    <w:rsid w:val="5F9D7F70"/>
    <w:rsid w:val="5FA53379"/>
    <w:rsid w:val="5FAA7B76"/>
    <w:rsid w:val="5FAE890D"/>
    <w:rsid w:val="5FB0B07C"/>
    <w:rsid w:val="5FCAB343"/>
    <w:rsid w:val="5FCECEAD"/>
    <w:rsid w:val="5FD99E9B"/>
    <w:rsid w:val="5FDBC19A"/>
    <w:rsid w:val="5FDE2864"/>
    <w:rsid w:val="5FE3D2E2"/>
    <w:rsid w:val="5FE57907"/>
    <w:rsid w:val="60071276"/>
    <w:rsid w:val="60179E63"/>
    <w:rsid w:val="6017F906"/>
    <w:rsid w:val="601863D4"/>
    <w:rsid w:val="601A3CE5"/>
    <w:rsid w:val="601DDD36"/>
    <w:rsid w:val="602C492C"/>
    <w:rsid w:val="603863D7"/>
    <w:rsid w:val="6051FDB2"/>
    <w:rsid w:val="60597AC3"/>
    <w:rsid w:val="606324EB"/>
    <w:rsid w:val="6068EEBA"/>
    <w:rsid w:val="606C655F"/>
    <w:rsid w:val="606FE54D"/>
    <w:rsid w:val="607123D1"/>
    <w:rsid w:val="6085ACB8"/>
    <w:rsid w:val="60922ED1"/>
    <w:rsid w:val="60944D41"/>
    <w:rsid w:val="6094B353"/>
    <w:rsid w:val="60C19B06"/>
    <w:rsid w:val="60DAEAAA"/>
    <w:rsid w:val="60DD08CE"/>
    <w:rsid w:val="60EF549D"/>
    <w:rsid w:val="6116FCBB"/>
    <w:rsid w:val="611FA749"/>
    <w:rsid w:val="6125214B"/>
    <w:rsid w:val="6125CD9B"/>
    <w:rsid w:val="61260DA9"/>
    <w:rsid w:val="614329D5"/>
    <w:rsid w:val="6157CBA1"/>
    <w:rsid w:val="6158544B"/>
    <w:rsid w:val="6161B72D"/>
    <w:rsid w:val="6166F6AC"/>
    <w:rsid w:val="6184A0D6"/>
    <w:rsid w:val="618C06A8"/>
    <w:rsid w:val="6192CAAA"/>
    <w:rsid w:val="6193F42E"/>
    <w:rsid w:val="6194DF8E"/>
    <w:rsid w:val="619C7454"/>
    <w:rsid w:val="61AAAEED"/>
    <w:rsid w:val="61CFC6ED"/>
    <w:rsid w:val="61D0AEA2"/>
    <w:rsid w:val="61D88227"/>
    <w:rsid w:val="61DBD8A3"/>
    <w:rsid w:val="61FA9682"/>
    <w:rsid w:val="62011288"/>
    <w:rsid w:val="622011BB"/>
    <w:rsid w:val="6221CD01"/>
    <w:rsid w:val="622569F0"/>
    <w:rsid w:val="622E42D6"/>
    <w:rsid w:val="6234C7DA"/>
    <w:rsid w:val="6235059D"/>
    <w:rsid w:val="62403628"/>
    <w:rsid w:val="6255F7E7"/>
    <w:rsid w:val="62562AB8"/>
    <w:rsid w:val="625B8221"/>
    <w:rsid w:val="6261B99D"/>
    <w:rsid w:val="626508AA"/>
    <w:rsid w:val="62660BFE"/>
    <w:rsid w:val="626979F0"/>
    <w:rsid w:val="628C8870"/>
    <w:rsid w:val="628E43C0"/>
    <w:rsid w:val="62ACCD95"/>
    <w:rsid w:val="62BF7B99"/>
    <w:rsid w:val="62C76DF2"/>
    <w:rsid w:val="62C91190"/>
    <w:rsid w:val="62E37005"/>
    <w:rsid w:val="62EF257A"/>
    <w:rsid w:val="62F4E9DA"/>
    <w:rsid w:val="62F6AD77"/>
    <w:rsid w:val="62F70555"/>
    <w:rsid w:val="62F97E2D"/>
    <w:rsid w:val="62FDF5C1"/>
    <w:rsid w:val="63009B80"/>
    <w:rsid w:val="6303FA9D"/>
    <w:rsid w:val="630F8488"/>
    <w:rsid w:val="631B4C5F"/>
    <w:rsid w:val="63260609"/>
    <w:rsid w:val="632EC0FE"/>
    <w:rsid w:val="632F53B0"/>
    <w:rsid w:val="63369E60"/>
    <w:rsid w:val="633B9CD2"/>
    <w:rsid w:val="633D45C3"/>
    <w:rsid w:val="6342646D"/>
    <w:rsid w:val="634DC749"/>
    <w:rsid w:val="63525AD0"/>
    <w:rsid w:val="63624A11"/>
    <w:rsid w:val="63792686"/>
    <w:rsid w:val="637B03AB"/>
    <w:rsid w:val="63828082"/>
    <w:rsid w:val="6396023C"/>
    <w:rsid w:val="63A0FA4A"/>
    <w:rsid w:val="63A5FCCA"/>
    <w:rsid w:val="63B0A7A9"/>
    <w:rsid w:val="63B57899"/>
    <w:rsid w:val="63BF13E2"/>
    <w:rsid w:val="63C17DD9"/>
    <w:rsid w:val="63C63D17"/>
    <w:rsid w:val="63D80F20"/>
    <w:rsid w:val="63E67862"/>
    <w:rsid w:val="63EDB20D"/>
    <w:rsid w:val="63EF3892"/>
    <w:rsid w:val="63F93368"/>
    <w:rsid w:val="6401A5C2"/>
    <w:rsid w:val="640AC369"/>
    <w:rsid w:val="64108390"/>
    <w:rsid w:val="641B1436"/>
    <w:rsid w:val="64310A51"/>
    <w:rsid w:val="6434E46B"/>
    <w:rsid w:val="6434F954"/>
    <w:rsid w:val="6435048C"/>
    <w:rsid w:val="64391D87"/>
    <w:rsid w:val="643987B6"/>
    <w:rsid w:val="644169A9"/>
    <w:rsid w:val="64477A40"/>
    <w:rsid w:val="645F73AD"/>
    <w:rsid w:val="64668FD0"/>
    <w:rsid w:val="648C712F"/>
    <w:rsid w:val="64925F5D"/>
    <w:rsid w:val="64A46437"/>
    <w:rsid w:val="64B1C6A6"/>
    <w:rsid w:val="64B299DC"/>
    <w:rsid w:val="64BAE5FE"/>
    <w:rsid w:val="64CE24D0"/>
    <w:rsid w:val="64D83B71"/>
    <w:rsid w:val="64DAA1A7"/>
    <w:rsid w:val="64F1D3DC"/>
    <w:rsid w:val="6500D43E"/>
    <w:rsid w:val="6509EAFB"/>
    <w:rsid w:val="651C419B"/>
    <w:rsid w:val="651CF3E4"/>
    <w:rsid w:val="651F5E3E"/>
    <w:rsid w:val="652220C5"/>
    <w:rsid w:val="65274E4C"/>
    <w:rsid w:val="652D92AA"/>
    <w:rsid w:val="65373ABF"/>
    <w:rsid w:val="6537F2B7"/>
    <w:rsid w:val="6539209B"/>
    <w:rsid w:val="653A3259"/>
    <w:rsid w:val="654FFD5F"/>
    <w:rsid w:val="6557DBD6"/>
    <w:rsid w:val="6563EF8B"/>
    <w:rsid w:val="6568CC0E"/>
    <w:rsid w:val="656FD920"/>
    <w:rsid w:val="6578D1FD"/>
    <w:rsid w:val="6583287F"/>
    <w:rsid w:val="65A8F20D"/>
    <w:rsid w:val="65AB0076"/>
    <w:rsid w:val="65C87533"/>
    <w:rsid w:val="65DC5A35"/>
    <w:rsid w:val="65DDB97B"/>
    <w:rsid w:val="65DFB216"/>
    <w:rsid w:val="65EB9088"/>
    <w:rsid w:val="65F01310"/>
    <w:rsid w:val="65F19554"/>
    <w:rsid w:val="660196E3"/>
    <w:rsid w:val="6618515A"/>
    <w:rsid w:val="661D3965"/>
    <w:rsid w:val="6625429B"/>
    <w:rsid w:val="662F7D10"/>
    <w:rsid w:val="665A2B13"/>
    <w:rsid w:val="665FAA8D"/>
    <w:rsid w:val="667E4180"/>
    <w:rsid w:val="66835113"/>
    <w:rsid w:val="66855DA3"/>
    <w:rsid w:val="6694BCE2"/>
    <w:rsid w:val="66953288"/>
    <w:rsid w:val="6697370C"/>
    <w:rsid w:val="66A71CC1"/>
    <w:rsid w:val="66A78AF4"/>
    <w:rsid w:val="66AA03CC"/>
    <w:rsid w:val="66AE732A"/>
    <w:rsid w:val="66B1B039"/>
    <w:rsid w:val="66B39034"/>
    <w:rsid w:val="66BCD38C"/>
    <w:rsid w:val="66C00A27"/>
    <w:rsid w:val="66DFC468"/>
    <w:rsid w:val="66E25851"/>
    <w:rsid w:val="66E582D0"/>
    <w:rsid w:val="6702B018"/>
    <w:rsid w:val="670653AA"/>
    <w:rsid w:val="6710A1AF"/>
    <w:rsid w:val="6710C8ED"/>
    <w:rsid w:val="6713D815"/>
    <w:rsid w:val="67174E07"/>
    <w:rsid w:val="671A5CCC"/>
    <w:rsid w:val="671D70DC"/>
    <w:rsid w:val="671DFDBD"/>
    <w:rsid w:val="67209675"/>
    <w:rsid w:val="6724EE28"/>
    <w:rsid w:val="6728319D"/>
    <w:rsid w:val="673321F5"/>
    <w:rsid w:val="673A0D64"/>
    <w:rsid w:val="673D9F31"/>
    <w:rsid w:val="6741A592"/>
    <w:rsid w:val="674505F6"/>
    <w:rsid w:val="675615F8"/>
    <w:rsid w:val="67598BA2"/>
    <w:rsid w:val="675BA935"/>
    <w:rsid w:val="676F5FDE"/>
    <w:rsid w:val="6778D0EF"/>
    <w:rsid w:val="6780707D"/>
    <w:rsid w:val="678E45F5"/>
    <w:rsid w:val="679195A3"/>
    <w:rsid w:val="6794C9C2"/>
    <w:rsid w:val="67AC01D5"/>
    <w:rsid w:val="67AD9B64"/>
    <w:rsid w:val="67C1235C"/>
    <w:rsid w:val="67C497B7"/>
    <w:rsid w:val="67C9E9F4"/>
    <w:rsid w:val="67CD709D"/>
    <w:rsid w:val="67D14ECD"/>
    <w:rsid w:val="67D7B245"/>
    <w:rsid w:val="67D818D2"/>
    <w:rsid w:val="67EFF70A"/>
    <w:rsid w:val="681818A8"/>
    <w:rsid w:val="681A95C7"/>
    <w:rsid w:val="68236729"/>
    <w:rsid w:val="683BC744"/>
    <w:rsid w:val="6849013C"/>
    <w:rsid w:val="684BFB64"/>
    <w:rsid w:val="685AAD3F"/>
    <w:rsid w:val="685F0EAC"/>
    <w:rsid w:val="686031EB"/>
    <w:rsid w:val="686BA430"/>
    <w:rsid w:val="687B3022"/>
    <w:rsid w:val="687E28B2"/>
    <w:rsid w:val="68937C84"/>
    <w:rsid w:val="6894B4FD"/>
    <w:rsid w:val="68A2E65B"/>
    <w:rsid w:val="68A78779"/>
    <w:rsid w:val="68B2CDC1"/>
    <w:rsid w:val="68B754CD"/>
    <w:rsid w:val="68BBF5FF"/>
    <w:rsid w:val="68BC9422"/>
    <w:rsid w:val="68BF8287"/>
    <w:rsid w:val="68C055D3"/>
    <w:rsid w:val="68CD2381"/>
    <w:rsid w:val="68D6B858"/>
    <w:rsid w:val="68EC542B"/>
    <w:rsid w:val="68F3C207"/>
    <w:rsid w:val="68F90DCF"/>
    <w:rsid w:val="68FBB80A"/>
    <w:rsid w:val="68FCCBD3"/>
    <w:rsid w:val="690477BA"/>
    <w:rsid w:val="69073B7A"/>
    <w:rsid w:val="690CF8D9"/>
    <w:rsid w:val="690D79C0"/>
    <w:rsid w:val="690E314F"/>
    <w:rsid w:val="69112E01"/>
    <w:rsid w:val="69324141"/>
    <w:rsid w:val="6934F6E3"/>
    <w:rsid w:val="693E09E4"/>
    <w:rsid w:val="6940EC62"/>
    <w:rsid w:val="6951852E"/>
    <w:rsid w:val="6951EFC8"/>
    <w:rsid w:val="69544EEA"/>
    <w:rsid w:val="6957C8C6"/>
    <w:rsid w:val="6959047A"/>
    <w:rsid w:val="69617B01"/>
    <w:rsid w:val="6964A9B6"/>
    <w:rsid w:val="697053DB"/>
    <w:rsid w:val="69779CD7"/>
    <w:rsid w:val="69889CCD"/>
    <w:rsid w:val="698CDFD4"/>
    <w:rsid w:val="69A14504"/>
    <w:rsid w:val="69A3C294"/>
    <w:rsid w:val="69A5EFA8"/>
    <w:rsid w:val="69A91315"/>
    <w:rsid w:val="69A9A0A5"/>
    <w:rsid w:val="69B114BC"/>
    <w:rsid w:val="69B54ACA"/>
    <w:rsid w:val="69BB0EE8"/>
    <w:rsid w:val="69BB5FF0"/>
    <w:rsid w:val="69C37A0A"/>
    <w:rsid w:val="69C50B19"/>
    <w:rsid w:val="69C710EC"/>
    <w:rsid w:val="69C8E1EC"/>
    <w:rsid w:val="69C9CDEE"/>
    <w:rsid w:val="69CFD8C3"/>
    <w:rsid w:val="69EAF7D6"/>
    <w:rsid w:val="69EFD28B"/>
    <w:rsid w:val="69F71371"/>
    <w:rsid w:val="6A0368D8"/>
    <w:rsid w:val="6A0F8E2B"/>
    <w:rsid w:val="6A183B3A"/>
    <w:rsid w:val="6A1E16AE"/>
    <w:rsid w:val="6A2FD8CA"/>
    <w:rsid w:val="6A318D24"/>
    <w:rsid w:val="6A36D8B6"/>
    <w:rsid w:val="6A4A3AAF"/>
    <w:rsid w:val="6A4FD704"/>
    <w:rsid w:val="6A5021ED"/>
    <w:rsid w:val="6A6907E2"/>
    <w:rsid w:val="6A76C694"/>
    <w:rsid w:val="6A78D8D4"/>
    <w:rsid w:val="6A8D2DCD"/>
    <w:rsid w:val="6A9E1430"/>
    <w:rsid w:val="6AA24F27"/>
    <w:rsid w:val="6AB335B7"/>
    <w:rsid w:val="6AB84344"/>
    <w:rsid w:val="6ABF82F8"/>
    <w:rsid w:val="6AC390C2"/>
    <w:rsid w:val="6AC75904"/>
    <w:rsid w:val="6ACD8022"/>
    <w:rsid w:val="6AD4475F"/>
    <w:rsid w:val="6AD839CC"/>
    <w:rsid w:val="6ADBF27A"/>
    <w:rsid w:val="6AE387B3"/>
    <w:rsid w:val="6AE6CFBD"/>
    <w:rsid w:val="6AEAC6B1"/>
    <w:rsid w:val="6AEE26A5"/>
    <w:rsid w:val="6AF559BF"/>
    <w:rsid w:val="6AFCE61C"/>
    <w:rsid w:val="6AFD3A33"/>
    <w:rsid w:val="6AFF3F83"/>
    <w:rsid w:val="6B045507"/>
    <w:rsid w:val="6B07F9D5"/>
    <w:rsid w:val="6B0EDBB3"/>
    <w:rsid w:val="6B156D77"/>
    <w:rsid w:val="6B19FEF5"/>
    <w:rsid w:val="6B1D30BB"/>
    <w:rsid w:val="6B1DDE89"/>
    <w:rsid w:val="6B205F46"/>
    <w:rsid w:val="6B20B6C8"/>
    <w:rsid w:val="6B220C53"/>
    <w:rsid w:val="6B271EAF"/>
    <w:rsid w:val="6B328F94"/>
    <w:rsid w:val="6B35E01B"/>
    <w:rsid w:val="6B394D75"/>
    <w:rsid w:val="6B807643"/>
    <w:rsid w:val="6B962E61"/>
    <w:rsid w:val="6B9DA99C"/>
    <w:rsid w:val="6BBAE3FA"/>
    <w:rsid w:val="6BDEE4CE"/>
    <w:rsid w:val="6BF71921"/>
    <w:rsid w:val="6C0D8ED1"/>
    <w:rsid w:val="6C2FD15F"/>
    <w:rsid w:val="6C30178F"/>
    <w:rsid w:val="6C310183"/>
    <w:rsid w:val="6C44787C"/>
    <w:rsid w:val="6C4D9870"/>
    <w:rsid w:val="6C560618"/>
    <w:rsid w:val="6C7961A9"/>
    <w:rsid w:val="6C82E3A6"/>
    <w:rsid w:val="6C83C81F"/>
    <w:rsid w:val="6C873DF7"/>
    <w:rsid w:val="6C8A0B5C"/>
    <w:rsid w:val="6CA9F97A"/>
    <w:rsid w:val="6CB210B0"/>
    <w:rsid w:val="6CC0AF28"/>
    <w:rsid w:val="6CDC7533"/>
    <w:rsid w:val="6CE1D0B9"/>
    <w:rsid w:val="6CE48982"/>
    <w:rsid w:val="6CEA4EC4"/>
    <w:rsid w:val="6CEC8A63"/>
    <w:rsid w:val="6CEDD881"/>
    <w:rsid w:val="6CF002DD"/>
    <w:rsid w:val="6CFB5617"/>
    <w:rsid w:val="6CFBDC52"/>
    <w:rsid w:val="6D04B6A1"/>
    <w:rsid w:val="6D16DB1B"/>
    <w:rsid w:val="6D3900A6"/>
    <w:rsid w:val="6D46D4DE"/>
    <w:rsid w:val="6D476C56"/>
    <w:rsid w:val="6D4DC411"/>
    <w:rsid w:val="6D4DD6FC"/>
    <w:rsid w:val="6D66EDA7"/>
    <w:rsid w:val="6D6A0201"/>
    <w:rsid w:val="6D6DF1DA"/>
    <w:rsid w:val="6D711F33"/>
    <w:rsid w:val="6D75BADA"/>
    <w:rsid w:val="6D84FF9E"/>
    <w:rsid w:val="6D946182"/>
    <w:rsid w:val="6D9AE877"/>
    <w:rsid w:val="6DAA0188"/>
    <w:rsid w:val="6DC8D159"/>
    <w:rsid w:val="6DCBA2F4"/>
    <w:rsid w:val="6DD0F005"/>
    <w:rsid w:val="6DD389E3"/>
    <w:rsid w:val="6DDC83BC"/>
    <w:rsid w:val="6DEB17BC"/>
    <w:rsid w:val="6DEC47FE"/>
    <w:rsid w:val="6DFDB5A6"/>
    <w:rsid w:val="6E09F323"/>
    <w:rsid w:val="6E0CA882"/>
    <w:rsid w:val="6E13A5D3"/>
    <w:rsid w:val="6E1BB781"/>
    <w:rsid w:val="6E23C56E"/>
    <w:rsid w:val="6E2CDC46"/>
    <w:rsid w:val="6E2EADE5"/>
    <w:rsid w:val="6E37EB2F"/>
    <w:rsid w:val="6E52B87C"/>
    <w:rsid w:val="6E58C913"/>
    <w:rsid w:val="6E5CBD5B"/>
    <w:rsid w:val="6E6C6643"/>
    <w:rsid w:val="6E6E1B20"/>
    <w:rsid w:val="6E715CA9"/>
    <w:rsid w:val="6E751FB5"/>
    <w:rsid w:val="6E8B8A18"/>
    <w:rsid w:val="6E8E7E39"/>
    <w:rsid w:val="6EB6C68F"/>
    <w:rsid w:val="6EB6CB1A"/>
    <w:rsid w:val="6EC0ABB2"/>
    <w:rsid w:val="6EC132CA"/>
    <w:rsid w:val="6ECA8367"/>
    <w:rsid w:val="6ED45A38"/>
    <w:rsid w:val="6ED7D0BB"/>
    <w:rsid w:val="6EF2B6C1"/>
    <w:rsid w:val="6EF5EFF0"/>
    <w:rsid w:val="6EF8FF82"/>
    <w:rsid w:val="6EFAB05E"/>
    <w:rsid w:val="6F0CC484"/>
    <w:rsid w:val="6F150468"/>
    <w:rsid w:val="6F1E537D"/>
    <w:rsid w:val="6F21433A"/>
    <w:rsid w:val="6F232EC0"/>
    <w:rsid w:val="6F3B6C56"/>
    <w:rsid w:val="6F504283"/>
    <w:rsid w:val="6F65F0EF"/>
    <w:rsid w:val="6F769AF3"/>
    <w:rsid w:val="6F816FF4"/>
    <w:rsid w:val="6F83D86C"/>
    <w:rsid w:val="6F846654"/>
    <w:rsid w:val="6FC6EEF6"/>
    <w:rsid w:val="6FC78A40"/>
    <w:rsid w:val="6FD69BDD"/>
    <w:rsid w:val="6FDBCB79"/>
    <w:rsid w:val="6FDC7264"/>
    <w:rsid w:val="6FE2E199"/>
    <w:rsid w:val="6FED71C9"/>
    <w:rsid w:val="6FF487C2"/>
    <w:rsid w:val="6FF6C8FC"/>
    <w:rsid w:val="7010F016"/>
    <w:rsid w:val="70146322"/>
    <w:rsid w:val="70168770"/>
    <w:rsid w:val="7018D182"/>
    <w:rsid w:val="701A4187"/>
    <w:rsid w:val="7036B3D7"/>
    <w:rsid w:val="703FE8BD"/>
    <w:rsid w:val="7043766A"/>
    <w:rsid w:val="7047F204"/>
    <w:rsid w:val="7047FC9C"/>
    <w:rsid w:val="70569336"/>
    <w:rsid w:val="706C65E8"/>
    <w:rsid w:val="7083CEF4"/>
    <w:rsid w:val="708CFAD2"/>
    <w:rsid w:val="70938BE9"/>
    <w:rsid w:val="70950F21"/>
    <w:rsid w:val="70956CA8"/>
    <w:rsid w:val="709588D3"/>
    <w:rsid w:val="7097E185"/>
    <w:rsid w:val="70A35932"/>
    <w:rsid w:val="70B43BA8"/>
    <w:rsid w:val="70BE0686"/>
    <w:rsid w:val="70C59C3E"/>
    <w:rsid w:val="70C7AC69"/>
    <w:rsid w:val="70CC2CEC"/>
    <w:rsid w:val="70CF5FED"/>
    <w:rsid w:val="70D3186F"/>
    <w:rsid w:val="70D48B5F"/>
    <w:rsid w:val="70D934CA"/>
    <w:rsid w:val="70D97E75"/>
    <w:rsid w:val="70E6E06F"/>
    <w:rsid w:val="71078DCE"/>
    <w:rsid w:val="710F5432"/>
    <w:rsid w:val="711981AF"/>
    <w:rsid w:val="712E4910"/>
    <w:rsid w:val="713A5EB3"/>
    <w:rsid w:val="713CAF4F"/>
    <w:rsid w:val="713F2A1E"/>
    <w:rsid w:val="714D8B4E"/>
    <w:rsid w:val="715EDBD2"/>
    <w:rsid w:val="71670EAF"/>
    <w:rsid w:val="7167B737"/>
    <w:rsid w:val="716DC71E"/>
    <w:rsid w:val="71848B54"/>
    <w:rsid w:val="7189C1C6"/>
    <w:rsid w:val="71AA3A0A"/>
    <w:rsid w:val="71AEB01F"/>
    <w:rsid w:val="71B2BE0D"/>
    <w:rsid w:val="71B39C07"/>
    <w:rsid w:val="71D5278E"/>
    <w:rsid w:val="71D90320"/>
    <w:rsid w:val="71DAFFFD"/>
    <w:rsid w:val="71DCE243"/>
    <w:rsid w:val="71DEE2EA"/>
    <w:rsid w:val="71F33234"/>
    <w:rsid w:val="71F4C853"/>
    <w:rsid w:val="71F70D67"/>
    <w:rsid w:val="72018DDE"/>
    <w:rsid w:val="7201AF48"/>
    <w:rsid w:val="72020F2B"/>
    <w:rsid w:val="72035337"/>
    <w:rsid w:val="7203B3C1"/>
    <w:rsid w:val="721CEBE2"/>
    <w:rsid w:val="7221DF97"/>
    <w:rsid w:val="7233DC8E"/>
    <w:rsid w:val="723BAFCC"/>
    <w:rsid w:val="7242EAF3"/>
    <w:rsid w:val="724B2967"/>
    <w:rsid w:val="724CC73F"/>
    <w:rsid w:val="724F2DDF"/>
    <w:rsid w:val="724FF2B2"/>
    <w:rsid w:val="7261B000"/>
    <w:rsid w:val="7267B65B"/>
    <w:rsid w:val="7280D53D"/>
    <w:rsid w:val="72816422"/>
    <w:rsid w:val="728F985E"/>
    <w:rsid w:val="7296FB36"/>
    <w:rsid w:val="72ABEFA0"/>
    <w:rsid w:val="72AED1C2"/>
    <w:rsid w:val="72B25220"/>
    <w:rsid w:val="72C32F6A"/>
    <w:rsid w:val="72D3576E"/>
    <w:rsid w:val="72DA0D15"/>
    <w:rsid w:val="72E18158"/>
    <w:rsid w:val="72E1D033"/>
    <w:rsid w:val="72EAFABF"/>
    <w:rsid w:val="72F2F2F1"/>
    <w:rsid w:val="72F4DF32"/>
    <w:rsid w:val="73007EF7"/>
    <w:rsid w:val="7303C605"/>
    <w:rsid w:val="73069BED"/>
    <w:rsid w:val="7306A84E"/>
    <w:rsid w:val="730B5C52"/>
    <w:rsid w:val="730DA0DD"/>
    <w:rsid w:val="730DFD61"/>
    <w:rsid w:val="7313418C"/>
    <w:rsid w:val="73157D67"/>
    <w:rsid w:val="7315817E"/>
    <w:rsid w:val="731E51FE"/>
    <w:rsid w:val="732A2BA0"/>
    <w:rsid w:val="733C3FFE"/>
    <w:rsid w:val="7342DF6D"/>
    <w:rsid w:val="7349EF00"/>
    <w:rsid w:val="735F79FD"/>
    <w:rsid w:val="736E09F7"/>
    <w:rsid w:val="737EAD56"/>
    <w:rsid w:val="7386C64D"/>
    <w:rsid w:val="73929AD7"/>
    <w:rsid w:val="739A6569"/>
    <w:rsid w:val="73A7F094"/>
    <w:rsid w:val="73AEFE72"/>
    <w:rsid w:val="73BB501B"/>
    <w:rsid w:val="73D02D73"/>
    <w:rsid w:val="73DB06C0"/>
    <w:rsid w:val="73DB64C2"/>
    <w:rsid w:val="73DCEA11"/>
    <w:rsid w:val="73DFA4B5"/>
    <w:rsid w:val="73E5D45A"/>
    <w:rsid w:val="73F25BE9"/>
    <w:rsid w:val="73F6C2C6"/>
    <w:rsid w:val="73FCD859"/>
    <w:rsid w:val="740342D8"/>
    <w:rsid w:val="740F19A7"/>
    <w:rsid w:val="7419BFCC"/>
    <w:rsid w:val="7420EA8C"/>
    <w:rsid w:val="7425DBA4"/>
    <w:rsid w:val="742B155B"/>
    <w:rsid w:val="7434DA00"/>
    <w:rsid w:val="743EEB90"/>
    <w:rsid w:val="7448354E"/>
    <w:rsid w:val="744F0970"/>
    <w:rsid w:val="745533B4"/>
    <w:rsid w:val="745B4168"/>
    <w:rsid w:val="746BD8DD"/>
    <w:rsid w:val="746F4713"/>
    <w:rsid w:val="747C9062"/>
    <w:rsid w:val="74A72CB3"/>
    <w:rsid w:val="74AB5586"/>
    <w:rsid w:val="74BF4DA4"/>
    <w:rsid w:val="74C99217"/>
    <w:rsid w:val="74CD5DE0"/>
    <w:rsid w:val="74D8D4B0"/>
    <w:rsid w:val="74DFF252"/>
    <w:rsid w:val="74E1F5DD"/>
    <w:rsid w:val="74E5CAF4"/>
    <w:rsid w:val="74E71CF0"/>
    <w:rsid w:val="74EAF9B4"/>
    <w:rsid w:val="74F459F2"/>
    <w:rsid w:val="74F55076"/>
    <w:rsid w:val="7507B055"/>
    <w:rsid w:val="750C509D"/>
    <w:rsid w:val="750D49E3"/>
    <w:rsid w:val="7515ECD6"/>
    <w:rsid w:val="751BA642"/>
    <w:rsid w:val="75224DF8"/>
    <w:rsid w:val="7523D963"/>
    <w:rsid w:val="752C3E54"/>
    <w:rsid w:val="7539D5F2"/>
    <w:rsid w:val="753A4765"/>
    <w:rsid w:val="7540B63E"/>
    <w:rsid w:val="7544031E"/>
    <w:rsid w:val="754E7268"/>
    <w:rsid w:val="754F1D91"/>
    <w:rsid w:val="755240D2"/>
    <w:rsid w:val="75532BDE"/>
    <w:rsid w:val="755A0ABF"/>
    <w:rsid w:val="755A95B1"/>
    <w:rsid w:val="756A5689"/>
    <w:rsid w:val="756C71BB"/>
    <w:rsid w:val="756DD07C"/>
    <w:rsid w:val="757478A7"/>
    <w:rsid w:val="75802AA8"/>
    <w:rsid w:val="758688CC"/>
    <w:rsid w:val="758C97E7"/>
    <w:rsid w:val="75A2EF5F"/>
    <w:rsid w:val="75A2FEE2"/>
    <w:rsid w:val="75CBBD27"/>
    <w:rsid w:val="75D0F1B4"/>
    <w:rsid w:val="75D48A26"/>
    <w:rsid w:val="75DA4ADF"/>
    <w:rsid w:val="75DE98FD"/>
    <w:rsid w:val="75E35C85"/>
    <w:rsid w:val="75EB218C"/>
    <w:rsid w:val="75F3020E"/>
    <w:rsid w:val="75FDE15E"/>
    <w:rsid w:val="75FF2982"/>
    <w:rsid w:val="760130EA"/>
    <w:rsid w:val="76027FA7"/>
    <w:rsid w:val="76172F99"/>
    <w:rsid w:val="761F1075"/>
    <w:rsid w:val="7621B6F0"/>
    <w:rsid w:val="7630187B"/>
    <w:rsid w:val="76303567"/>
    <w:rsid w:val="763720A7"/>
    <w:rsid w:val="7638E303"/>
    <w:rsid w:val="7649E32E"/>
    <w:rsid w:val="764B9540"/>
    <w:rsid w:val="765B2F56"/>
    <w:rsid w:val="766734F7"/>
    <w:rsid w:val="76679809"/>
    <w:rsid w:val="766DC0BC"/>
    <w:rsid w:val="767A995E"/>
    <w:rsid w:val="76881D2D"/>
    <w:rsid w:val="768BC68A"/>
    <w:rsid w:val="7690D215"/>
    <w:rsid w:val="76A6A0B9"/>
    <w:rsid w:val="76B7524B"/>
    <w:rsid w:val="76B8BDA7"/>
    <w:rsid w:val="76BDCF97"/>
    <w:rsid w:val="76BE55E6"/>
    <w:rsid w:val="76C5A738"/>
    <w:rsid w:val="76E8D521"/>
    <w:rsid w:val="76F48AEA"/>
    <w:rsid w:val="77038456"/>
    <w:rsid w:val="77045BB2"/>
    <w:rsid w:val="772B40E5"/>
    <w:rsid w:val="773AF42A"/>
    <w:rsid w:val="77411BCB"/>
    <w:rsid w:val="774B3365"/>
    <w:rsid w:val="774CE7BF"/>
    <w:rsid w:val="775C4B9E"/>
    <w:rsid w:val="775D0003"/>
    <w:rsid w:val="776A1F13"/>
    <w:rsid w:val="777862E9"/>
    <w:rsid w:val="77897E39"/>
    <w:rsid w:val="778BD1DA"/>
    <w:rsid w:val="77906376"/>
    <w:rsid w:val="779C2E62"/>
    <w:rsid w:val="779DB218"/>
    <w:rsid w:val="779F02FA"/>
    <w:rsid w:val="77B35311"/>
    <w:rsid w:val="77D2918D"/>
    <w:rsid w:val="77DED94E"/>
    <w:rsid w:val="77EA571A"/>
    <w:rsid w:val="77FB51BA"/>
    <w:rsid w:val="7809A6A9"/>
    <w:rsid w:val="7809EF5F"/>
    <w:rsid w:val="78105C56"/>
    <w:rsid w:val="781977B0"/>
    <w:rsid w:val="7821D2E7"/>
    <w:rsid w:val="78247D68"/>
    <w:rsid w:val="782BF5C4"/>
    <w:rsid w:val="7835C551"/>
    <w:rsid w:val="78365BCE"/>
    <w:rsid w:val="78410BDB"/>
    <w:rsid w:val="78453E39"/>
    <w:rsid w:val="784AF66C"/>
    <w:rsid w:val="7854D4E9"/>
    <w:rsid w:val="78561BC0"/>
    <w:rsid w:val="785D238F"/>
    <w:rsid w:val="785E8416"/>
    <w:rsid w:val="78629002"/>
    <w:rsid w:val="78664465"/>
    <w:rsid w:val="78677086"/>
    <w:rsid w:val="7868B138"/>
    <w:rsid w:val="787AE7B1"/>
    <w:rsid w:val="789487A5"/>
    <w:rsid w:val="78D39DB0"/>
    <w:rsid w:val="78F0BD74"/>
    <w:rsid w:val="78F82618"/>
    <w:rsid w:val="790781D2"/>
    <w:rsid w:val="790F8D0B"/>
    <w:rsid w:val="791C88CE"/>
    <w:rsid w:val="7924E30B"/>
    <w:rsid w:val="7924F4BD"/>
    <w:rsid w:val="79250A49"/>
    <w:rsid w:val="7926BEA3"/>
    <w:rsid w:val="792E13B6"/>
    <w:rsid w:val="7932FC07"/>
    <w:rsid w:val="79347F0E"/>
    <w:rsid w:val="79395AF5"/>
    <w:rsid w:val="7945529E"/>
    <w:rsid w:val="794CB614"/>
    <w:rsid w:val="79594752"/>
    <w:rsid w:val="7959FB53"/>
    <w:rsid w:val="795FD317"/>
    <w:rsid w:val="79643ACE"/>
    <w:rsid w:val="798612FE"/>
    <w:rsid w:val="798FBAB7"/>
    <w:rsid w:val="79912188"/>
    <w:rsid w:val="79939B45"/>
    <w:rsid w:val="79A29A27"/>
    <w:rsid w:val="79A68845"/>
    <w:rsid w:val="79AAB834"/>
    <w:rsid w:val="79B456D1"/>
    <w:rsid w:val="79C0678E"/>
    <w:rsid w:val="79C139B5"/>
    <w:rsid w:val="79C3B3DF"/>
    <w:rsid w:val="79D2B4D5"/>
    <w:rsid w:val="79D9A518"/>
    <w:rsid w:val="79DD632D"/>
    <w:rsid w:val="79DFBE8B"/>
    <w:rsid w:val="79F31417"/>
    <w:rsid w:val="79F76FF7"/>
    <w:rsid w:val="79FA0B51"/>
    <w:rsid w:val="79FBEFAA"/>
    <w:rsid w:val="7A0211F7"/>
    <w:rsid w:val="7A0891C2"/>
    <w:rsid w:val="7A08FDFD"/>
    <w:rsid w:val="7A158859"/>
    <w:rsid w:val="7A1D1106"/>
    <w:rsid w:val="7A205A06"/>
    <w:rsid w:val="7A2FB403"/>
    <w:rsid w:val="7A3D1E82"/>
    <w:rsid w:val="7A3F5FBC"/>
    <w:rsid w:val="7A45F927"/>
    <w:rsid w:val="7A4F0E91"/>
    <w:rsid w:val="7A6788CA"/>
    <w:rsid w:val="7A704DBA"/>
    <w:rsid w:val="7A7E7E09"/>
    <w:rsid w:val="7AA990C7"/>
    <w:rsid w:val="7AB511C4"/>
    <w:rsid w:val="7ABAD59E"/>
    <w:rsid w:val="7ACB12C1"/>
    <w:rsid w:val="7ACE94B7"/>
    <w:rsid w:val="7ACEDF29"/>
    <w:rsid w:val="7ADD7AEB"/>
    <w:rsid w:val="7AE18A8F"/>
    <w:rsid w:val="7AE7D18B"/>
    <w:rsid w:val="7AEE255B"/>
    <w:rsid w:val="7AF259A5"/>
    <w:rsid w:val="7AFBB904"/>
    <w:rsid w:val="7B094C87"/>
    <w:rsid w:val="7B0FF966"/>
    <w:rsid w:val="7B2B8B18"/>
    <w:rsid w:val="7B2BDEAF"/>
    <w:rsid w:val="7B2C1A27"/>
    <w:rsid w:val="7B2FC437"/>
    <w:rsid w:val="7B366588"/>
    <w:rsid w:val="7B36E95F"/>
    <w:rsid w:val="7B39A9FB"/>
    <w:rsid w:val="7B3B63EB"/>
    <w:rsid w:val="7B442EA2"/>
    <w:rsid w:val="7B492AC6"/>
    <w:rsid w:val="7B4DDE44"/>
    <w:rsid w:val="7B509671"/>
    <w:rsid w:val="7B81EDD7"/>
    <w:rsid w:val="7B84AD4B"/>
    <w:rsid w:val="7B8852CB"/>
    <w:rsid w:val="7B8CE669"/>
    <w:rsid w:val="7B9B1099"/>
    <w:rsid w:val="7BA5EA51"/>
    <w:rsid w:val="7BB2AFF7"/>
    <w:rsid w:val="7BB32E8A"/>
    <w:rsid w:val="7BB67DD5"/>
    <w:rsid w:val="7BCDBCB7"/>
    <w:rsid w:val="7BD225B5"/>
    <w:rsid w:val="7BD43FB1"/>
    <w:rsid w:val="7BE0281B"/>
    <w:rsid w:val="7BE6A36F"/>
    <w:rsid w:val="7BF9D0FA"/>
    <w:rsid w:val="7BFBAD47"/>
    <w:rsid w:val="7C0903CF"/>
    <w:rsid w:val="7C1BE4BB"/>
    <w:rsid w:val="7C1C8685"/>
    <w:rsid w:val="7C318399"/>
    <w:rsid w:val="7C3789F0"/>
    <w:rsid w:val="7C37CC89"/>
    <w:rsid w:val="7C38C15E"/>
    <w:rsid w:val="7C3ABAC7"/>
    <w:rsid w:val="7C421A1B"/>
    <w:rsid w:val="7C43087B"/>
    <w:rsid w:val="7C48098B"/>
    <w:rsid w:val="7C4A249E"/>
    <w:rsid w:val="7C53C41D"/>
    <w:rsid w:val="7C72FED3"/>
    <w:rsid w:val="7C85F47F"/>
    <w:rsid w:val="7C868DB5"/>
    <w:rsid w:val="7C8802E8"/>
    <w:rsid w:val="7C8DA3CD"/>
    <w:rsid w:val="7C991F6B"/>
    <w:rsid w:val="7CA0E344"/>
    <w:rsid w:val="7CB9EDBA"/>
    <w:rsid w:val="7CC519F5"/>
    <w:rsid w:val="7CCC3089"/>
    <w:rsid w:val="7CCCF9D7"/>
    <w:rsid w:val="7CEB3BA8"/>
    <w:rsid w:val="7CEC7B28"/>
    <w:rsid w:val="7D0B39A6"/>
    <w:rsid w:val="7D13E40E"/>
    <w:rsid w:val="7D3191A1"/>
    <w:rsid w:val="7D4905E6"/>
    <w:rsid w:val="7D4CD988"/>
    <w:rsid w:val="7D5D63B6"/>
    <w:rsid w:val="7D62398C"/>
    <w:rsid w:val="7D70C8D0"/>
    <w:rsid w:val="7D79E4BB"/>
    <w:rsid w:val="7D94DBBA"/>
    <w:rsid w:val="7D981520"/>
    <w:rsid w:val="7DAF3186"/>
    <w:rsid w:val="7DB1DE57"/>
    <w:rsid w:val="7DC75C43"/>
    <w:rsid w:val="7DCED463"/>
    <w:rsid w:val="7DD8FBAB"/>
    <w:rsid w:val="7DD91697"/>
    <w:rsid w:val="7DFE3984"/>
    <w:rsid w:val="7E2224B7"/>
    <w:rsid w:val="7E2671DB"/>
    <w:rsid w:val="7E2C1AF8"/>
    <w:rsid w:val="7E3144E2"/>
    <w:rsid w:val="7E31C7BB"/>
    <w:rsid w:val="7E380AD5"/>
    <w:rsid w:val="7E3C7719"/>
    <w:rsid w:val="7E3FF71D"/>
    <w:rsid w:val="7E467BC8"/>
    <w:rsid w:val="7E47F277"/>
    <w:rsid w:val="7E4C1AAE"/>
    <w:rsid w:val="7E64575D"/>
    <w:rsid w:val="7E77C4D0"/>
    <w:rsid w:val="7E89548A"/>
    <w:rsid w:val="7E9FB6DF"/>
    <w:rsid w:val="7EA14A74"/>
    <w:rsid w:val="7EC35936"/>
    <w:rsid w:val="7EC594A5"/>
    <w:rsid w:val="7ED5E92C"/>
    <w:rsid w:val="7EE406E7"/>
    <w:rsid w:val="7EF7083C"/>
    <w:rsid w:val="7EFF1765"/>
    <w:rsid w:val="7F0B3F80"/>
    <w:rsid w:val="7F0B4F5D"/>
    <w:rsid w:val="7F11A691"/>
    <w:rsid w:val="7F169D3F"/>
    <w:rsid w:val="7F17C90D"/>
    <w:rsid w:val="7F19F8A6"/>
    <w:rsid w:val="7F1D7FAB"/>
    <w:rsid w:val="7F351AD6"/>
    <w:rsid w:val="7F3D2070"/>
    <w:rsid w:val="7F49E5FB"/>
    <w:rsid w:val="7F4AAA4C"/>
    <w:rsid w:val="7F4BFA6C"/>
    <w:rsid w:val="7F522BD3"/>
    <w:rsid w:val="7F638FA5"/>
    <w:rsid w:val="7F723188"/>
    <w:rsid w:val="7F884105"/>
    <w:rsid w:val="7F8B255E"/>
    <w:rsid w:val="7FB3BACA"/>
    <w:rsid w:val="7FBE42E4"/>
    <w:rsid w:val="7FBF45A5"/>
    <w:rsid w:val="7FC09C4B"/>
    <w:rsid w:val="7FC23ABD"/>
    <w:rsid w:val="7FC59B72"/>
    <w:rsid w:val="7FC77B05"/>
    <w:rsid w:val="7FC7A243"/>
    <w:rsid w:val="7FC9C2A1"/>
    <w:rsid w:val="7FEB58EC"/>
    <w:rsid w:val="7FF0BD39"/>
    <w:rsid w:val="7FF44F71"/>
    <w:rsid w:val="7FF54770"/>
    <w:rsid w:val="7FFBAD76"/>
  </w:rsids>
  <m:mathPr>
    <m:mathFont m:val="Cambria Math"/>
    <m:brkBin m:val="before"/>
    <m:brkBinSub m:val="--"/>
    <m:smallFrac m:val="0"/>
    <m:dispDef/>
    <m:lMargin m:val="0"/>
    <m:rMargin m:val="0"/>
    <m:defJc m:val="centerGroup"/>
    <m:wrapIndent m:val="1440"/>
    <m:intLim m:val="subSup"/>
    <m:naryLim m:val="undOvr"/>
  </m:mathPr>
  <w:themeFontLang w:val="en-US" w:eastAsia="nb-NO"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C58F15"/>
  <w15:chartTrackingRefBased/>
  <w15:docId w15:val="{97810352-7FD9-432D-A78D-BC836C2FA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2"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2273"/>
    <w:pPr>
      <w:tabs>
        <w:tab w:val="left" w:pos="2155"/>
      </w:tabs>
      <w:spacing w:after="200" w:line="276" w:lineRule="auto"/>
    </w:pPr>
  </w:style>
  <w:style w:type="paragraph" w:styleId="Overskrift1">
    <w:name w:val="heading 1"/>
    <w:basedOn w:val="Normal"/>
    <w:next w:val="Normal"/>
    <w:link w:val="Overskrift1Tegn"/>
    <w:uiPriority w:val="9"/>
    <w:qFormat/>
    <w:rsid w:val="00DC1BFB"/>
    <w:pPr>
      <w:keepNext/>
      <w:keepLines/>
      <w:spacing w:before="240" w:after="480"/>
      <w:outlineLvl w:val="0"/>
    </w:pPr>
    <w:rPr>
      <w:rFonts w:asciiTheme="majorHAnsi" w:eastAsiaTheme="majorEastAsia" w:hAnsiTheme="majorHAnsi" w:cstheme="majorBidi"/>
      <w:b/>
      <w:color w:val="262682" w:themeColor="accent1"/>
      <w:sz w:val="44"/>
      <w:szCs w:val="32"/>
    </w:rPr>
  </w:style>
  <w:style w:type="paragraph" w:styleId="Overskrift2">
    <w:name w:val="heading 2"/>
    <w:basedOn w:val="Normal"/>
    <w:next w:val="Normal"/>
    <w:link w:val="Overskrift2Tegn"/>
    <w:uiPriority w:val="9"/>
    <w:qFormat/>
    <w:rsid w:val="000B7B51"/>
    <w:pPr>
      <w:keepNext/>
      <w:keepLines/>
      <w:spacing w:before="300" w:after="300"/>
      <w:outlineLvl w:val="1"/>
    </w:pPr>
    <w:rPr>
      <w:rFonts w:asciiTheme="majorHAnsi" w:eastAsiaTheme="majorEastAsia" w:hAnsiTheme="majorHAnsi" w:cstheme="majorBidi"/>
      <w:b/>
      <w:color w:val="262682" w:themeColor="accent1"/>
      <w:sz w:val="26"/>
      <w:szCs w:val="26"/>
    </w:rPr>
  </w:style>
  <w:style w:type="paragraph" w:styleId="Overskrift3">
    <w:name w:val="heading 3"/>
    <w:basedOn w:val="Normal"/>
    <w:next w:val="Normal"/>
    <w:link w:val="Overskrift3Tegn"/>
    <w:uiPriority w:val="9"/>
    <w:qFormat/>
    <w:rsid w:val="00893D2C"/>
    <w:pPr>
      <w:keepNext/>
      <w:keepLines/>
      <w:spacing w:before="300" w:after="0"/>
      <w:outlineLvl w:val="2"/>
    </w:pPr>
    <w:rPr>
      <w:rFonts w:asciiTheme="majorHAnsi" w:eastAsiaTheme="majorEastAsia" w:hAnsiTheme="majorHAnsi" w:cstheme="majorBidi"/>
      <w:b/>
      <w:color w:val="131340" w:themeColor="accent1" w:themeShade="7F"/>
      <w:sz w:val="26"/>
      <w:szCs w:val="24"/>
    </w:rPr>
  </w:style>
  <w:style w:type="paragraph" w:styleId="Overskrift4">
    <w:name w:val="heading 4"/>
    <w:basedOn w:val="Normal"/>
    <w:next w:val="Normal"/>
    <w:link w:val="Overskrift4Tegn"/>
    <w:uiPriority w:val="9"/>
    <w:qFormat/>
    <w:rsid w:val="00AE4781"/>
    <w:pPr>
      <w:keepNext/>
      <w:keepLines/>
      <w:spacing w:before="200" w:after="0"/>
      <w:outlineLvl w:val="3"/>
    </w:pPr>
    <w:rPr>
      <w:rFonts w:asciiTheme="majorHAnsi" w:eastAsiaTheme="majorEastAsia" w:hAnsiTheme="majorHAnsi" w:cstheme="majorBidi"/>
      <w:b/>
      <w:iCs/>
      <w:color w:val="26261E" w:themeColor="text1"/>
    </w:rPr>
  </w:style>
  <w:style w:type="paragraph" w:styleId="Overskrift5">
    <w:name w:val="heading 5"/>
    <w:basedOn w:val="Normal"/>
    <w:next w:val="Normal"/>
    <w:link w:val="Overskrift5Tegn"/>
    <w:uiPriority w:val="9"/>
    <w:qFormat/>
    <w:rsid w:val="00042F5E"/>
    <w:pPr>
      <w:keepNext/>
      <w:keepLines/>
      <w:spacing w:before="200" w:after="0"/>
      <w:outlineLvl w:val="4"/>
    </w:pPr>
    <w:rPr>
      <w:rFonts w:asciiTheme="majorHAnsi" w:eastAsiaTheme="majorEastAsia" w:hAnsiTheme="majorHAnsi" w:cstheme="majorBidi"/>
      <w:b/>
      <w:color w:val="262682" w:themeColor="accent1"/>
      <w:u w:val="single"/>
    </w:rPr>
  </w:style>
  <w:style w:type="paragraph" w:styleId="Overskrift6">
    <w:name w:val="heading 6"/>
    <w:basedOn w:val="Normal"/>
    <w:next w:val="Normal"/>
    <w:link w:val="Overskrift6Tegn"/>
    <w:uiPriority w:val="9"/>
    <w:semiHidden/>
    <w:qFormat/>
    <w:rsid w:val="00893D2C"/>
    <w:pPr>
      <w:keepNext/>
      <w:keepLines/>
      <w:spacing w:before="40" w:after="0"/>
      <w:outlineLvl w:val="5"/>
    </w:pPr>
    <w:rPr>
      <w:rFonts w:asciiTheme="majorHAnsi" w:eastAsiaTheme="majorEastAsia" w:hAnsiTheme="majorHAnsi" w:cstheme="majorBidi"/>
      <w:color w:val="131340" w:themeColor="accent1" w:themeShade="7F"/>
    </w:rPr>
  </w:style>
  <w:style w:type="paragraph" w:styleId="Overskrift7">
    <w:name w:val="heading 7"/>
    <w:basedOn w:val="Normal"/>
    <w:next w:val="Normal"/>
    <w:link w:val="Overskrift7Tegn"/>
    <w:uiPriority w:val="9"/>
    <w:semiHidden/>
    <w:qFormat/>
    <w:rsid w:val="00893D2C"/>
    <w:pPr>
      <w:keepNext/>
      <w:keepLines/>
      <w:spacing w:before="40" w:after="0"/>
      <w:outlineLvl w:val="6"/>
    </w:pPr>
    <w:rPr>
      <w:rFonts w:asciiTheme="majorHAnsi" w:eastAsiaTheme="majorEastAsia" w:hAnsiTheme="majorHAnsi" w:cstheme="majorBidi"/>
      <w:i/>
      <w:iCs/>
      <w:color w:val="131340" w:themeColor="accent1" w:themeShade="7F"/>
    </w:rPr>
  </w:style>
  <w:style w:type="paragraph" w:styleId="Overskrift8">
    <w:name w:val="heading 8"/>
    <w:basedOn w:val="Normal"/>
    <w:next w:val="Normal"/>
    <w:link w:val="Overskrift8Tegn"/>
    <w:uiPriority w:val="9"/>
    <w:semiHidden/>
    <w:qFormat/>
    <w:rsid w:val="00893D2C"/>
    <w:pPr>
      <w:keepNext/>
      <w:keepLines/>
      <w:spacing w:before="40" w:after="0"/>
      <w:outlineLvl w:val="7"/>
    </w:pPr>
    <w:rPr>
      <w:rFonts w:asciiTheme="majorHAnsi" w:eastAsiaTheme="majorEastAsia" w:hAnsiTheme="majorHAnsi" w:cstheme="majorBidi"/>
      <w:color w:val="4B4B3B" w:themeColor="text1" w:themeTint="D8"/>
      <w:sz w:val="21"/>
      <w:szCs w:val="21"/>
    </w:rPr>
  </w:style>
  <w:style w:type="paragraph" w:styleId="Overskrift9">
    <w:name w:val="heading 9"/>
    <w:basedOn w:val="Normal"/>
    <w:next w:val="Normal"/>
    <w:link w:val="Overskrift9Tegn"/>
    <w:uiPriority w:val="9"/>
    <w:semiHidden/>
    <w:qFormat/>
    <w:rsid w:val="00893D2C"/>
    <w:pPr>
      <w:keepNext/>
      <w:keepLines/>
      <w:spacing w:before="40" w:after="0"/>
      <w:outlineLvl w:val="8"/>
    </w:pPr>
    <w:rPr>
      <w:rFonts w:asciiTheme="majorHAnsi" w:eastAsiaTheme="majorEastAsia" w:hAnsiTheme="majorHAnsi" w:cstheme="majorBidi"/>
      <w:i/>
      <w:iCs/>
      <w:color w:val="4B4B3B" w:themeColor="text1" w:themeTint="D8"/>
      <w:sz w:val="21"/>
      <w:szCs w:val="2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link w:val="TopptekstTegn"/>
    <w:uiPriority w:val="99"/>
    <w:unhideWhenUsed/>
    <w:rsid w:val="00893D2C"/>
    <w:pPr>
      <w:tabs>
        <w:tab w:val="center" w:pos="4513"/>
        <w:tab w:val="right" w:pos="9026"/>
      </w:tabs>
      <w:spacing w:after="0" w:line="240" w:lineRule="auto"/>
    </w:pPr>
  </w:style>
  <w:style w:type="character" w:customStyle="1" w:styleId="TopptekstTegn">
    <w:name w:val="Topptekst Tegn"/>
    <w:basedOn w:val="Standardskriftforavsnitt"/>
    <w:link w:val="Topptekst"/>
    <w:uiPriority w:val="99"/>
    <w:rsid w:val="00893D2C"/>
  </w:style>
  <w:style w:type="paragraph" w:styleId="Bunntekst">
    <w:name w:val="footer"/>
    <w:basedOn w:val="Normal"/>
    <w:link w:val="BunntekstTegn"/>
    <w:uiPriority w:val="99"/>
    <w:unhideWhenUsed/>
    <w:rsid w:val="00376FD2"/>
    <w:pPr>
      <w:tabs>
        <w:tab w:val="center" w:pos="4513"/>
        <w:tab w:val="right" w:pos="9026"/>
      </w:tabs>
      <w:spacing w:after="0" w:line="240" w:lineRule="auto"/>
      <w:ind w:right="-737"/>
      <w:jc w:val="right"/>
    </w:pPr>
    <w:rPr>
      <w:sz w:val="16"/>
    </w:rPr>
  </w:style>
  <w:style w:type="character" w:customStyle="1" w:styleId="BunntekstTegn">
    <w:name w:val="Bunntekst Tegn"/>
    <w:basedOn w:val="Standardskriftforavsnitt"/>
    <w:link w:val="Bunntekst"/>
    <w:uiPriority w:val="99"/>
    <w:rsid w:val="00376FD2"/>
    <w:rPr>
      <w:sz w:val="16"/>
    </w:rPr>
  </w:style>
  <w:style w:type="numbering" w:styleId="111111">
    <w:name w:val="Outline List 2"/>
    <w:basedOn w:val="Ingenliste"/>
    <w:uiPriority w:val="99"/>
    <w:semiHidden/>
    <w:unhideWhenUsed/>
    <w:rsid w:val="00893D2C"/>
    <w:pPr>
      <w:numPr>
        <w:numId w:val="1"/>
      </w:numPr>
    </w:pPr>
  </w:style>
  <w:style w:type="numbering" w:styleId="1ai">
    <w:name w:val="Outline List 1"/>
    <w:basedOn w:val="Ingenliste"/>
    <w:uiPriority w:val="99"/>
    <w:semiHidden/>
    <w:unhideWhenUsed/>
    <w:rsid w:val="00893D2C"/>
    <w:pPr>
      <w:numPr>
        <w:numId w:val="2"/>
      </w:numPr>
    </w:pPr>
  </w:style>
  <w:style w:type="character" w:customStyle="1" w:styleId="Overskrift1Tegn">
    <w:name w:val="Overskrift 1 Tegn"/>
    <w:basedOn w:val="Standardskriftforavsnitt"/>
    <w:link w:val="Overskrift1"/>
    <w:uiPriority w:val="9"/>
    <w:rsid w:val="00DC1BFB"/>
    <w:rPr>
      <w:rFonts w:asciiTheme="majorHAnsi" w:eastAsiaTheme="majorEastAsia" w:hAnsiTheme="majorHAnsi" w:cstheme="majorBidi"/>
      <w:b/>
      <w:color w:val="262682" w:themeColor="accent1"/>
      <w:sz w:val="44"/>
      <w:szCs w:val="32"/>
    </w:rPr>
  </w:style>
  <w:style w:type="character" w:customStyle="1" w:styleId="Overskrift2Tegn">
    <w:name w:val="Overskrift 2 Tegn"/>
    <w:basedOn w:val="Standardskriftforavsnitt"/>
    <w:link w:val="Overskrift2"/>
    <w:uiPriority w:val="9"/>
    <w:rsid w:val="000B7B51"/>
    <w:rPr>
      <w:rFonts w:asciiTheme="majorHAnsi" w:eastAsiaTheme="majorEastAsia" w:hAnsiTheme="majorHAnsi" w:cstheme="majorBidi"/>
      <w:b/>
      <w:color w:val="262682" w:themeColor="accent1"/>
      <w:sz w:val="26"/>
      <w:szCs w:val="26"/>
    </w:rPr>
  </w:style>
  <w:style w:type="character" w:customStyle="1" w:styleId="Overskrift3Tegn">
    <w:name w:val="Overskrift 3 Tegn"/>
    <w:basedOn w:val="Standardskriftforavsnitt"/>
    <w:link w:val="Overskrift3"/>
    <w:uiPriority w:val="9"/>
    <w:rsid w:val="00AE4781"/>
    <w:rPr>
      <w:rFonts w:asciiTheme="majorHAnsi" w:eastAsiaTheme="majorEastAsia" w:hAnsiTheme="majorHAnsi" w:cstheme="majorBidi"/>
      <w:b/>
      <w:color w:val="131340" w:themeColor="accent1" w:themeShade="7F"/>
      <w:sz w:val="26"/>
      <w:szCs w:val="24"/>
    </w:rPr>
  </w:style>
  <w:style w:type="character" w:customStyle="1" w:styleId="Overskrift4Tegn">
    <w:name w:val="Overskrift 4 Tegn"/>
    <w:basedOn w:val="Standardskriftforavsnitt"/>
    <w:link w:val="Overskrift4"/>
    <w:uiPriority w:val="9"/>
    <w:rsid w:val="00AE4781"/>
    <w:rPr>
      <w:rFonts w:asciiTheme="majorHAnsi" w:eastAsiaTheme="majorEastAsia" w:hAnsiTheme="majorHAnsi" w:cstheme="majorBidi"/>
      <w:b/>
      <w:iCs/>
      <w:color w:val="26261E" w:themeColor="text1"/>
    </w:rPr>
  </w:style>
  <w:style w:type="character" w:customStyle="1" w:styleId="Overskrift5Tegn">
    <w:name w:val="Overskrift 5 Tegn"/>
    <w:basedOn w:val="Standardskriftforavsnitt"/>
    <w:link w:val="Overskrift5"/>
    <w:uiPriority w:val="9"/>
    <w:rsid w:val="00042F5E"/>
    <w:rPr>
      <w:rFonts w:asciiTheme="majorHAnsi" w:eastAsiaTheme="majorEastAsia" w:hAnsiTheme="majorHAnsi" w:cstheme="majorBidi"/>
      <w:b/>
      <w:color w:val="262682" w:themeColor="accent1"/>
      <w:u w:val="single"/>
    </w:rPr>
  </w:style>
  <w:style w:type="character" w:customStyle="1" w:styleId="Overskrift6Tegn">
    <w:name w:val="Overskrift 6 Tegn"/>
    <w:basedOn w:val="Standardskriftforavsnitt"/>
    <w:link w:val="Overskrift6"/>
    <w:uiPriority w:val="9"/>
    <w:semiHidden/>
    <w:rsid w:val="00D5282D"/>
    <w:rPr>
      <w:rFonts w:asciiTheme="majorHAnsi" w:eastAsiaTheme="majorEastAsia" w:hAnsiTheme="majorHAnsi" w:cstheme="majorBidi"/>
      <w:color w:val="131340" w:themeColor="accent1" w:themeShade="7F"/>
    </w:rPr>
  </w:style>
  <w:style w:type="character" w:customStyle="1" w:styleId="Overskrift7Tegn">
    <w:name w:val="Overskrift 7 Tegn"/>
    <w:basedOn w:val="Standardskriftforavsnitt"/>
    <w:link w:val="Overskrift7"/>
    <w:uiPriority w:val="9"/>
    <w:semiHidden/>
    <w:rsid w:val="00D5282D"/>
    <w:rPr>
      <w:rFonts w:asciiTheme="majorHAnsi" w:eastAsiaTheme="majorEastAsia" w:hAnsiTheme="majorHAnsi" w:cstheme="majorBidi"/>
      <w:i/>
      <w:iCs/>
      <w:color w:val="131340" w:themeColor="accent1" w:themeShade="7F"/>
    </w:rPr>
  </w:style>
  <w:style w:type="character" w:customStyle="1" w:styleId="Overskrift8Tegn">
    <w:name w:val="Overskrift 8 Tegn"/>
    <w:basedOn w:val="Standardskriftforavsnitt"/>
    <w:link w:val="Overskrift8"/>
    <w:uiPriority w:val="9"/>
    <w:semiHidden/>
    <w:rsid w:val="00D5282D"/>
    <w:rPr>
      <w:rFonts w:asciiTheme="majorHAnsi" w:eastAsiaTheme="majorEastAsia" w:hAnsiTheme="majorHAnsi" w:cstheme="majorBidi"/>
      <w:color w:val="4B4B3B" w:themeColor="text1" w:themeTint="D8"/>
      <w:sz w:val="21"/>
      <w:szCs w:val="21"/>
    </w:rPr>
  </w:style>
  <w:style w:type="character" w:customStyle="1" w:styleId="Overskrift9Tegn">
    <w:name w:val="Overskrift 9 Tegn"/>
    <w:basedOn w:val="Standardskriftforavsnitt"/>
    <w:link w:val="Overskrift9"/>
    <w:uiPriority w:val="9"/>
    <w:semiHidden/>
    <w:rsid w:val="00D5282D"/>
    <w:rPr>
      <w:rFonts w:asciiTheme="majorHAnsi" w:eastAsiaTheme="majorEastAsia" w:hAnsiTheme="majorHAnsi" w:cstheme="majorBidi"/>
      <w:i/>
      <w:iCs/>
      <w:color w:val="4B4B3B" w:themeColor="text1" w:themeTint="D8"/>
      <w:sz w:val="21"/>
      <w:szCs w:val="21"/>
    </w:rPr>
  </w:style>
  <w:style w:type="numbering" w:styleId="Artikkelavsnitt">
    <w:name w:val="Outline List 3"/>
    <w:basedOn w:val="Ingenliste"/>
    <w:uiPriority w:val="99"/>
    <w:semiHidden/>
    <w:unhideWhenUsed/>
    <w:rsid w:val="00893D2C"/>
    <w:pPr>
      <w:numPr>
        <w:numId w:val="3"/>
      </w:numPr>
    </w:pPr>
  </w:style>
  <w:style w:type="paragraph" w:styleId="Avsenderadresse">
    <w:name w:val="envelope return"/>
    <w:basedOn w:val="Normal"/>
    <w:uiPriority w:val="99"/>
    <w:semiHidden/>
    <w:unhideWhenUsed/>
    <w:rsid w:val="00893D2C"/>
    <w:pPr>
      <w:spacing w:after="0" w:line="240" w:lineRule="auto"/>
    </w:pPr>
    <w:rPr>
      <w:rFonts w:asciiTheme="majorHAnsi" w:eastAsiaTheme="majorEastAsia" w:hAnsiTheme="majorHAnsi" w:cstheme="majorBidi"/>
      <w:sz w:val="20"/>
      <w:szCs w:val="20"/>
    </w:rPr>
  </w:style>
  <w:style w:type="paragraph" w:styleId="Bibliografi">
    <w:name w:val="Bibliography"/>
    <w:basedOn w:val="Normal"/>
    <w:next w:val="Normal"/>
    <w:uiPriority w:val="37"/>
    <w:semiHidden/>
    <w:unhideWhenUsed/>
    <w:rsid w:val="00893D2C"/>
  </w:style>
  <w:style w:type="paragraph" w:styleId="Bildetekst">
    <w:name w:val="caption"/>
    <w:basedOn w:val="Normal"/>
    <w:next w:val="Normal"/>
    <w:uiPriority w:val="35"/>
    <w:semiHidden/>
    <w:unhideWhenUsed/>
    <w:qFormat/>
    <w:rsid w:val="00893D2C"/>
    <w:pPr>
      <w:spacing w:line="240" w:lineRule="auto"/>
    </w:pPr>
    <w:rPr>
      <w:i/>
      <w:iCs/>
      <w:color w:val="828282" w:themeColor="text2"/>
      <w:sz w:val="18"/>
      <w:szCs w:val="18"/>
    </w:rPr>
  </w:style>
  <w:style w:type="paragraph" w:styleId="Blokktekst">
    <w:name w:val="Block Text"/>
    <w:basedOn w:val="Normal"/>
    <w:uiPriority w:val="99"/>
    <w:semiHidden/>
    <w:unhideWhenUsed/>
    <w:rsid w:val="00893D2C"/>
    <w:pPr>
      <w:pBdr>
        <w:top w:val="single" w:sz="2" w:space="10" w:color="262682" w:themeColor="accent1"/>
        <w:left w:val="single" w:sz="2" w:space="10" w:color="262682" w:themeColor="accent1"/>
        <w:bottom w:val="single" w:sz="2" w:space="10" w:color="262682" w:themeColor="accent1"/>
        <w:right w:val="single" w:sz="2" w:space="10" w:color="262682" w:themeColor="accent1"/>
      </w:pBdr>
      <w:ind w:left="1152" w:right="1152"/>
    </w:pPr>
    <w:rPr>
      <w:rFonts w:eastAsiaTheme="minorEastAsia"/>
      <w:i/>
      <w:iCs/>
      <w:color w:val="262682" w:themeColor="accent1"/>
    </w:rPr>
  </w:style>
  <w:style w:type="paragraph" w:styleId="Bobletekst">
    <w:name w:val="Balloon Text"/>
    <w:basedOn w:val="Normal"/>
    <w:link w:val="BobletekstTegn"/>
    <w:uiPriority w:val="99"/>
    <w:semiHidden/>
    <w:unhideWhenUsed/>
    <w:rsid w:val="00893D2C"/>
    <w:pPr>
      <w:spacing w:after="0" w:line="240" w:lineRule="auto"/>
    </w:pPr>
    <w:rPr>
      <w:rFonts w:ascii="Segoe UI" w:hAnsi="Segoe UI" w:cs="Segoe UI"/>
      <w:sz w:val="18"/>
      <w:szCs w:val="18"/>
    </w:rPr>
  </w:style>
  <w:style w:type="character" w:customStyle="1" w:styleId="BobletekstTegn">
    <w:name w:val="Bobletekst Tegn"/>
    <w:basedOn w:val="Standardskriftforavsnitt"/>
    <w:link w:val="Bobletekst"/>
    <w:uiPriority w:val="99"/>
    <w:semiHidden/>
    <w:rsid w:val="00893D2C"/>
    <w:rPr>
      <w:rFonts w:ascii="Segoe UI" w:hAnsi="Segoe UI" w:cs="Segoe UI"/>
      <w:sz w:val="18"/>
      <w:szCs w:val="18"/>
    </w:rPr>
  </w:style>
  <w:style w:type="character" w:styleId="Boktittel">
    <w:name w:val="Book Title"/>
    <w:basedOn w:val="Standardskriftforavsnitt"/>
    <w:uiPriority w:val="33"/>
    <w:semiHidden/>
    <w:qFormat/>
    <w:rsid w:val="00893D2C"/>
    <w:rPr>
      <w:b/>
      <w:bCs/>
      <w:i/>
      <w:iCs/>
      <w:spacing w:val="5"/>
    </w:rPr>
  </w:style>
  <w:style w:type="paragraph" w:styleId="Brdtekst">
    <w:name w:val="Body Text"/>
    <w:basedOn w:val="Normal"/>
    <w:link w:val="BrdtekstTegn"/>
    <w:unhideWhenUsed/>
    <w:rsid w:val="00893D2C"/>
    <w:pPr>
      <w:spacing w:after="120"/>
    </w:pPr>
  </w:style>
  <w:style w:type="character" w:customStyle="1" w:styleId="BrdtekstTegn">
    <w:name w:val="Brødtekst Tegn"/>
    <w:basedOn w:val="Standardskriftforavsnitt"/>
    <w:link w:val="Brdtekst"/>
    <w:rsid w:val="00893D2C"/>
  </w:style>
  <w:style w:type="paragraph" w:styleId="Brdtekst-frsteinnrykk">
    <w:name w:val="Body Text First Indent"/>
    <w:basedOn w:val="Brdtekst"/>
    <w:link w:val="Brdtekst-frsteinnrykkTegn"/>
    <w:uiPriority w:val="99"/>
    <w:semiHidden/>
    <w:unhideWhenUsed/>
    <w:rsid w:val="00893D2C"/>
    <w:pPr>
      <w:spacing w:after="160"/>
      <w:ind w:firstLine="360"/>
    </w:pPr>
  </w:style>
  <w:style w:type="character" w:customStyle="1" w:styleId="Brdtekst-frsteinnrykkTegn">
    <w:name w:val="Brødtekst - første innrykk Tegn"/>
    <w:basedOn w:val="BrdtekstTegn"/>
    <w:link w:val="Brdtekst-frsteinnrykk"/>
    <w:uiPriority w:val="99"/>
    <w:semiHidden/>
    <w:rsid w:val="00893D2C"/>
  </w:style>
  <w:style w:type="paragraph" w:styleId="Brdtekstinnrykk">
    <w:name w:val="Body Text Indent"/>
    <w:basedOn w:val="Normal"/>
    <w:link w:val="BrdtekstinnrykkTegn"/>
    <w:uiPriority w:val="99"/>
    <w:semiHidden/>
    <w:unhideWhenUsed/>
    <w:rsid w:val="00893D2C"/>
    <w:pPr>
      <w:spacing w:after="120"/>
      <w:ind w:left="283"/>
    </w:pPr>
  </w:style>
  <w:style w:type="character" w:customStyle="1" w:styleId="BrdtekstinnrykkTegn">
    <w:name w:val="Brødtekstinnrykk Tegn"/>
    <w:basedOn w:val="Standardskriftforavsnitt"/>
    <w:link w:val="Brdtekstinnrykk"/>
    <w:uiPriority w:val="99"/>
    <w:semiHidden/>
    <w:rsid w:val="00893D2C"/>
  </w:style>
  <w:style w:type="paragraph" w:styleId="Brdtekst-frsteinnrykk2">
    <w:name w:val="Body Text First Indent 2"/>
    <w:basedOn w:val="Brdtekstinnrykk"/>
    <w:link w:val="Brdtekst-frsteinnrykk2Tegn"/>
    <w:uiPriority w:val="99"/>
    <w:semiHidden/>
    <w:unhideWhenUsed/>
    <w:rsid w:val="00893D2C"/>
    <w:pPr>
      <w:spacing w:after="160"/>
      <w:ind w:left="360" w:firstLine="360"/>
    </w:pPr>
  </w:style>
  <w:style w:type="character" w:customStyle="1" w:styleId="Brdtekst-frsteinnrykk2Tegn">
    <w:name w:val="Brødtekst - første innrykk 2 Tegn"/>
    <w:basedOn w:val="BrdtekstinnrykkTegn"/>
    <w:link w:val="Brdtekst-frsteinnrykk2"/>
    <w:uiPriority w:val="99"/>
    <w:semiHidden/>
    <w:rsid w:val="00893D2C"/>
  </w:style>
  <w:style w:type="paragraph" w:styleId="Brdtekst2">
    <w:name w:val="Body Text 2"/>
    <w:basedOn w:val="Normal"/>
    <w:link w:val="Brdtekst2Tegn"/>
    <w:uiPriority w:val="99"/>
    <w:semiHidden/>
    <w:unhideWhenUsed/>
    <w:rsid w:val="00893D2C"/>
    <w:pPr>
      <w:spacing w:after="120" w:line="480" w:lineRule="auto"/>
    </w:pPr>
  </w:style>
  <w:style w:type="character" w:customStyle="1" w:styleId="Brdtekst2Tegn">
    <w:name w:val="Brødtekst 2 Tegn"/>
    <w:basedOn w:val="Standardskriftforavsnitt"/>
    <w:link w:val="Brdtekst2"/>
    <w:uiPriority w:val="99"/>
    <w:semiHidden/>
    <w:rsid w:val="00893D2C"/>
  </w:style>
  <w:style w:type="paragraph" w:styleId="Brdtekst3">
    <w:name w:val="Body Text 3"/>
    <w:basedOn w:val="Normal"/>
    <w:link w:val="Brdtekst3Tegn"/>
    <w:uiPriority w:val="99"/>
    <w:semiHidden/>
    <w:unhideWhenUsed/>
    <w:rsid w:val="00893D2C"/>
    <w:pPr>
      <w:spacing w:after="120"/>
    </w:pPr>
    <w:rPr>
      <w:sz w:val="16"/>
      <w:szCs w:val="16"/>
    </w:rPr>
  </w:style>
  <w:style w:type="character" w:customStyle="1" w:styleId="Brdtekst3Tegn">
    <w:name w:val="Brødtekst 3 Tegn"/>
    <w:basedOn w:val="Standardskriftforavsnitt"/>
    <w:link w:val="Brdtekst3"/>
    <w:uiPriority w:val="99"/>
    <w:semiHidden/>
    <w:rsid w:val="00893D2C"/>
    <w:rPr>
      <w:sz w:val="16"/>
      <w:szCs w:val="16"/>
    </w:rPr>
  </w:style>
  <w:style w:type="paragraph" w:styleId="Brdtekstinnrykk2">
    <w:name w:val="Body Text Indent 2"/>
    <w:basedOn w:val="Normal"/>
    <w:link w:val="Brdtekstinnrykk2Tegn"/>
    <w:uiPriority w:val="99"/>
    <w:semiHidden/>
    <w:unhideWhenUsed/>
    <w:rsid w:val="00893D2C"/>
    <w:pPr>
      <w:spacing w:after="120" w:line="480" w:lineRule="auto"/>
      <w:ind w:left="283"/>
    </w:pPr>
  </w:style>
  <w:style w:type="character" w:customStyle="1" w:styleId="Brdtekstinnrykk2Tegn">
    <w:name w:val="Brødtekstinnrykk 2 Tegn"/>
    <w:basedOn w:val="Standardskriftforavsnitt"/>
    <w:link w:val="Brdtekstinnrykk2"/>
    <w:uiPriority w:val="99"/>
    <w:semiHidden/>
    <w:rsid w:val="00893D2C"/>
  </w:style>
  <w:style w:type="paragraph" w:styleId="Brdtekstinnrykk3">
    <w:name w:val="Body Text Indent 3"/>
    <w:basedOn w:val="Normal"/>
    <w:link w:val="Brdtekstinnrykk3Tegn"/>
    <w:uiPriority w:val="99"/>
    <w:semiHidden/>
    <w:unhideWhenUsed/>
    <w:rsid w:val="00893D2C"/>
    <w:pPr>
      <w:spacing w:after="120"/>
      <w:ind w:left="283"/>
    </w:pPr>
    <w:rPr>
      <w:sz w:val="16"/>
      <w:szCs w:val="16"/>
    </w:rPr>
  </w:style>
  <w:style w:type="character" w:customStyle="1" w:styleId="Brdtekstinnrykk3Tegn">
    <w:name w:val="Brødtekstinnrykk 3 Tegn"/>
    <w:basedOn w:val="Standardskriftforavsnitt"/>
    <w:link w:val="Brdtekstinnrykk3"/>
    <w:uiPriority w:val="99"/>
    <w:semiHidden/>
    <w:rsid w:val="00893D2C"/>
    <w:rPr>
      <w:sz w:val="16"/>
      <w:szCs w:val="16"/>
    </w:rPr>
  </w:style>
  <w:style w:type="paragraph" w:styleId="Dato">
    <w:name w:val="Date"/>
    <w:basedOn w:val="Normal"/>
    <w:next w:val="Normal"/>
    <w:link w:val="DatoTegn"/>
    <w:uiPriority w:val="99"/>
    <w:semiHidden/>
    <w:unhideWhenUsed/>
    <w:rsid w:val="00893D2C"/>
  </w:style>
  <w:style w:type="character" w:customStyle="1" w:styleId="DatoTegn">
    <w:name w:val="Dato Tegn"/>
    <w:basedOn w:val="Standardskriftforavsnitt"/>
    <w:link w:val="Dato"/>
    <w:uiPriority w:val="99"/>
    <w:semiHidden/>
    <w:rsid w:val="00893D2C"/>
  </w:style>
  <w:style w:type="paragraph" w:styleId="Dokumentkart">
    <w:name w:val="Document Map"/>
    <w:basedOn w:val="Normal"/>
    <w:link w:val="DokumentkartTegn"/>
    <w:uiPriority w:val="99"/>
    <w:semiHidden/>
    <w:unhideWhenUsed/>
    <w:rsid w:val="00893D2C"/>
    <w:pPr>
      <w:spacing w:after="0" w:line="240" w:lineRule="auto"/>
    </w:pPr>
    <w:rPr>
      <w:rFonts w:ascii="Segoe UI" w:hAnsi="Segoe UI" w:cs="Segoe UI"/>
      <w:sz w:val="16"/>
      <w:szCs w:val="16"/>
    </w:rPr>
  </w:style>
  <w:style w:type="character" w:customStyle="1" w:styleId="DokumentkartTegn">
    <w:name w:val="Dokumentkart Tegn"/>
    <w:basedOn w:val="Standardskriftforavsnitt"/>
    <w:link w:val="Dokumentkart"/>
    <w:uiPriority w:val="99"/>
    <w:semiHidden/>
    <w:rsid w:val="00893D2C"/>
    <w:rPr>
      <w:rFonts w:ascii="Segoe UI" w:hAnsi="Segoe UI" w:cs="Segoe UI"/>
      <w:sz w:val="16"/>
      <w:szCs w:val="16"/>
    </w:rPr>
  </w:style>
  <w:style w:type="character" w:styleId="Emneknagg">
    <w:name w:val="Hashtag"/>
    <w:basedOn w:val="Standardskriftforavsnitt"/>
    <w:uiPriority w:val="99"/>
    <w:semiHidden/>
    <w:unhideWhenUsed/>
    <w:rsid w:val="00893D2C"/>
    <w:rPr>
      <w:color w:val="2B579A"/>
      <w:shd w:val="clear" w:color="auto" w:fill="E1DFDD"/>
    </w:rPr>
  </w:style>
  <w:style w:type="table" w:styleId="Enkelttabell1">
    <w:name w:val="Table Simple 1"/>
    <w:basedOn w:val="Vanligtabell"/>
    <w:uiPriority w:val="99"/>
    <w:semiHidden/>
    <w:unhideWhenUsed/>
    <w:rsid w:val="00893D2C"/>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tabell2">
    <w:name w:val="Table Simple 2"/>
    <w:basedOn w:val="Vanligtabell"/>
    <w:uiPriority w:val="99"/>
    <w:semiHidden/>
    <w:unhideWhenUsed/>
    <w:rsid w:val="00893D2C"/>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tabell3">
    <w:name w:val="Table Simple 3"/>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postsignatur">
    <w:name w:val="E-mail Signature"/>
    <w:basedOn w:val="Normal"/>
    <w:link w:val="E-postsignaturTegn"/>
    <w:uiPriority w:val="99"/>
    <w:semiHidden/>
    <w:unhideWhenUsed/>
    <w:rsid w:val="00893D2C"/>
    <w:pPr>
      <w:spacing w:after="0" w:line="240" w:lineRule="auto"/>
    </w:pPr>
  </w:style>
  <w:style w:type="character" w:customStyle="1" w:styleId="E-postsignaturTegn">
    <w:name w:val="E-postsignatur Tegn"/>
    <w:basedOn w:val="Standardskriftforavsnitt"/>
    <w:link w:val="E-postsignatur"/>
    <w:uiPriority w:val="99"/>
    <w:semiHidden/>
    <w:rsid w:val="00893D2C"/>
  </w:style>
  <w:style w:type="table" w:styleId="Fargerikliste">
    <w:name w:val="Colorful List"/>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CECE6" w:themeFill="text1"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EC1" w:themeFill="text1" w:themeFillTint="3F"/>
      </w:tcPr>
    </w:tblStylePr>
    <w:tblStylePr w:type="band1Horz">
      <w:tblPr/>
      <w:tcPr>
        <w:shd w:val="clear" w:color="auto" w:fill="D8D8CD" w:themeFill="text1" w:themeFillTint="33"/>
      </w:tcPr>
    </w:tblStylePr>
  </w:style>
  <w:style w:type="table" w:styleId="Fargeriklisteuthevingsfarge1">
    <w:name w:val="Colorful List Accent 1"/>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4E4F7" w:themeFill="accent1"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BDEB" w:themeFill="accent1" w:themeFillTint="3F"/>
      </w:tcPr>
    </w:tblStylePr>
    <w:tblStylePr w:type="band1Horz">
      <w:tblPr/>
      <w:tcPr>
        <w:shd w:val="clear" w:color="auto" w:fill="C9C9EF" w:themeFill="accent1" w:themeFillTint="33"/>
      </w:tcPr>
    </w:tblStylePr>
  </w:style>
  <w:style w:type="table" w:styleId="Fargeriklisteuthevingsfarge2">
    <w:name w:val="Colorful List Accent 2"/>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FF7F0" w:themeFill="accent2" w:themeFillTint="19"/>
    </w:tcPr>
    <w:tblStylePr w:type="firstRow">
      <w:rPr>
        <w:b/>
        <w:bCs/>
        <w:color w:val="FFFFFF" w:themeColor="background1"/>
      </w:rPr>
      <w:tblPr/>
      <w:tcPr>
        <w:tcBorders>
          <w:bottom w:val="single" w:sz="12" w:space="0" w:color="FFFFFF" w:themeColor="background1"/>
        </w:tcBorders>
        <w:shd w:val="clear" w:color="auto" w:fill="FF8B24" w:themeFill="accent2" w:themeFillShade="CC"/>
      </w:tcPr>
    </w:tblStylePr>
    <w:tblStylePr w:type="lastRow">
      <w:rPr>
        <w:b/>
        <w:bCs/>
        <w:color w:val="FF8B24" w:themeColor="accent2"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DA" w:themeFill="accent2" w:themeFillTint="3F"/>
      </w:tcPr>
    </w:tblStylePr>
    <w:tblStylePr w:type="band1Horz">
      <w:tblPr/>
      <w:tcPr>
        <w:shd w:val="clear" w:color="auto" w:fill="FFEFE1" w:themeFill="accent2" w:themeFillTint="33"/>
      </w:tcPr>
    </w:tblStylePr>
  </w:style>
  <w:style w:type="table" w:styleId="Fargeriklisteuthevingsfarge3">
    <w:name w:val="Colorful List Accent 3"/>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AF5F6" w:themeFill="accent3" w:themeFillTint="19"/>
    </w:tcPr>
    <w:tblStylePr w:type="firstRow">
      <w:rPr>
        <w:b/>
        <w:bCs/>
        <w:color w:val="FFFFFF" w:themeColor="background1"/>
      </w:rPr>
      <w:tblPr/>
      <w:tcPr>
        <w:tcBorders>
          <w:bottom w:val="single" w:sz="12" w:space="0" w:color="FFFFFF" w:themeColor="background1"/>
        </w:tcBorders>
        <w:shd w:val="clear" w:color="auto" w:fill="1E1E18" w:themeFill="accent4" w:themeFillShade="CC"/>
      </w:tcPr>
    </w:tblStylePr>
    <w:tblStylePr w:type="lastRow">
      <w:rPr>
        <w:b/>
        <w:bCs/>
        <w:color w:val="1E1E18" w:themeColor="accent4"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AE6E9" w:themeFill="accent3" w:themeFillTint="3F"/>
      </w:tcPr>
    </w:tblStylePr>
    <w:tblStylePr w:type="band1Horz">
      <w:tblPr/>
      <w:tcPr>
        <w:shd w:val="clear" w:color="auto" w:fill="D4EBED" w:themeFill="accent3" w:themeFillTint="33"/>
      </w:tcPr>
    </w:tblStylePr>
  </w:style>
  <w:style w:type="table" w:styleId="Fargeriklisteuthevingsfarge4">
    <w:name w:val="Colorful List Accent 4"/>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ECECE6" w:themeFill="accent4" w:themeFillTint="19"/>
    </w:tcPr>
    <w:tblStylePr w:type="firstRow">
      <w:rPr>
        <w:b/>
        <w:bCs/>
        <w:color w:val="FFFFFF" w:themeColor="background1"/>
      </w:rPr>
      <w:tblPr/>
      <w:tcPr>
        <w:tcBorders>
          <w:bottom w:val="single" w:sz="12" w:space="0" w:color="FFFFFF" w:themeColor="background1"/>
        </w:tcBorders>
        <w:shd w:val="clear" w:color="auto" w:fill="317279" w:themeFill="accent3" w:themeFillShade="CC"/>
      </w:tcPr>
    </w:tblStylePr>
    <w:tblStylePr w:type="lastRow">
      <w:rPr>
        <w:b/>
        <w:bCs/>
        <w:color w:val="317279" w:themeColor="accent3"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ECEC1" w:themeFill="accent4" w:themeFillTint="3F"/>
      </w:tcPr>
    </w:tblStylePr>
    <w:tblStylePr w:type="band1Horz">
      <w:tblPr/>
      <w:tcPr>
        <w:shd w:val="clear" w:color="auto" w:fill="D8D8CD" w:themeFill="accent4" w:themeFillTint="33"/>
      </w:tcPr>
    </w:tblStylePr>
  </w:style>
  <w:style w:type="table" w:styleId="Fargeriklisteuthevingsfarge5">
    <w:name w:val="Colorful List Accent 5"/>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EFDFB" w:themeFill="accent5" w:themeFillTint="19"/>
    </w:tcPr>
    <w:tblStylePr w:type="firstRow">
      <w:rPr>
        <w:b/>
        <w:bCs/>
        <w:color w:val="FFFFFF" w:themeColor="background1"/>
      </w:rPr>
      <w:tblPr/>
      <w:tcPr>
        <w:tcBorders>
          <w:bottom w:val="single" w:sz="12" w:space="0" w:color="FFFFFF" w:themeColor="background1"/>
        </w:tcBorders>
        <w:shd w:val="clear" w:color="auto" w:fill="B2D5D5" w:themeFill="accent6" w:themeFillShade="CC"/>
      </w:tcPr>
    </w:tblStylePr>
    <w:tblStylePr w:type="lastRow">
      <w:rPr>
        <w:b/>
        <w:bCs/>
        <w:color w:val="B2D5D5" w:themeColor="accent6"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FAF6" w:themeFill="accent5" w:themeFillTint="3F"/>
      </w:tcPr>
    </w:tblStylePr>
    <w:tblStylePr w:type="band1Horz">
      <w:tblPr/>
      <w:tcPr>
        <w:shd w:val="clear" w:color="auto" w:fill="FEFBF8" w:themeFill="accent5" w:themeFillTint="33"/>
      </w:tcPr>
    </w:tblStylePr>
  </w:style>
  <w:style w:type="table" w:styleId="Fargeriklisteuthevingsfarge6">
    <w:name w:val="Colorful List Accent 6"/>
    <w:basedOn w:val="Vanligtabell"/>
    <w:uiPriority w:val="72"/>
    <w:semiHidden/>
    <w:unhideWhenUsed/>
    <w:rsid w:val="00893D2C"/>
    <w:pPr>
      <w:spacing w:after="0" w:line="240" w:lineRule="auto"/>
    </w:pPr>
    <w:rPr>
      <w:color w:val="26261E" w:themeColor="text1"/>
    </w:rPr>
    <w:tblPr>
      <w:tblStyleRowBandSize w:val="1"/>
      <w:tblStyleColBandSize w:val="1"/>
    </w:tblPr>
    <w:tcPr>
      <w:shd w:val="clear" w:color="auto" w:fill="FDFEFE" w:themeFill="accent6" w:themeFillTint="19"/>
    </w:tcPr>
    <w:tblStylePr w:type="firstRow">
      <w:rPr>
        <w:b/>
        <w:bCs/>
        <w:color w:val="FFFFFF" w:themeColor="background1"/>
      </w:rPr>
      <w:tblPr/>
      <w:tcPr>
        <w:tcBorders>
          <w:bottom w:val="single" w:sz="12" w:space="0" w:color="FFFFFF" w:themeColor="background1"/>
        </w:tcBorders>
        <w:shd w:val="clear" w:color="auto" w:fill="F4B986" w:themeFill="accent5" w:themeFillShade="CC"/>
      </w:tcPr>
    </w:tblStylePr>
    <w:tblStylePr w:type="lastRow">
      <w:rPr>
        <w:b/>
        <w:bCs/>
        <w:color w:val="F4B986" w:themeColor="accent5" w:themeShade="CC"/>
      </w:rPr>
      <w:tblPr/>
      <w:tcPr>
        <w:tcBorders>
          <w:top w:val="single" w:sz="12" w:space="0" w:color="26261E"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FDFD" w:themeFill="accent6" w:themeFillTint="3F"/>
      </w:tcPr>
    </w:tblStylePr>
    <w:tblStylePr w:type="band1Horz">
      <w:tblPr/>
      <w:tcPr>
        <w:shd w:val="clear" w:color="auto" w:fill="FCFDFD" w:themeFill="accent6" w:themeFillTint="33"/>
      </w:tcPr>
    </w:tblStylePr>
  </w:style>
  <w:style w:type="table" w:styleId="Fargerikskyggelegging">
    <w:name w:val="Colorful Shading"/>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26261E" w:themeColor="text1"/>
        <w:bottom w:val="single" w:sz="4" w:space="0" w:color="26261E" w:themeColor="text1"/>
        <w:right w:val="single" w:sz="4" w:space="0" w:color="26261E" w:themeColor="text1"/>
        <w:insideH w:val="single" w:sz="4" w:space="0" w:color="FFFFFF" w:themeColor="background1"/>
        <w:insideV w:val="single" w:sz="4" w:space="0" w:color="FFFFFF" w:themeColor="background1"/>
      </w:tblBorders>
    </w:tblPr>
    <w:tcPr>
      <w:shd w:val="clear" w:color="auto" w:fill="ECECE6" w:themeFill="text1"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12" w:themeFill="text1" w:themeFillShade="99"/>
      </w:tcPr>
    </w:tblStylePr>
    <w:tblStylePr w:type="firstCol">
      <w:rPr>
        <w:color w:val="FFFFFF" w:themeColor="background1"/>
      </w:rPr>
      <w:tblPr/>
      <w:tcPr>
        <w:tcBorders>
          <w:top w:val="nil"/>
          <w:left w:val="nil"/>
          <w:bottom w:val="nil"/>
          <w:right w:val="nil"/>
          <w:insideH w:val="single" w:sz="4" w:space="0" w:color="161612" w:themeColor="text1" w:themeShade="99"/>
          <w:insideV w:val="nil"/>
        </w:tcBorders>
        <w:shd w:val="clear" w:color="auto" w:fill="161612"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C1C16" w:themeFill="text1" w:themeFillShade="BF"/>
      </w:tcPr>
    </w:tblStylePr>
    <w:tblStylePr w:type="band1Vert">
      <w:tblPr/>
      <w:tcPr>
        <w:shd w:val="clear" w:color="auto" w:fill="B1B19C" w:themeFill="text1" w:themeFillTint="66"/>
      </w:tcPr>
    </w:tblStylePr>
    <w:tblStylePr w:type="band1Horz">
      <w:tblPr/>
      <w:tcPr>
        <w:shd w:val="clear" w:color="auto" w:fill="9D9D83" w:themeFill="text1" w:themeFillTint="7F"/>
      </w:tcPr>
    </w:tblStylePr>
    <w:tblStylePr w:type="neCell">
      <w:rPr>
        <w:color w:val="26261E" w:themeColor="text1"/>
      </w:rPr>
    </w:tblStylePr>
    <w:tblStylePr w:type="nwCell">
      <w:rPr>
        <w:color w:val="26261E" w:themeColor="text1"/>
      </w:rPr>
    </w:tblStylePr>
  </w:style>
  <w:style w:type="table" w:styleId="Fargerikskyggelegginguthevingsfarge1">
    <w:name w:val="Colorful Shading Accent 1"/>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262682" w:themeColor="accent1"/>
        <w:bottom w:val="single" w:sz="4" w:space="0" w:color="262682" w:themeColor="accent1"/>
        <w:right w:val="single" w:sz="4" w:space="0" w:color="262682" w:themeColor="accent1"/>
        <w:insideH w:val="single" w:sz="4" w:space="0" w:color="FFFFFF" w:themeColor="background1"/>
        <w:insideV w:val="single" w:sz="4" w:space="0" w:color="FFFFFF" w:themeColor="background1"/>
      </w:tblBorders>
    </w:tblPr>
    <w:tcPr>
      <w:shd w:val="clear" w:color="auto" w:fill="E4E4F7" w:themeFill="accent1"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4D" w:themeFill="accent1" w:themeFillShade="99"/>
      </w:tcPr>
    </w:tblStylePr>
    <w:tblStylePr w:type="firstCol">
      <w:rPr>
        <w:color w:val="FFFFFF" w:themeColor="background1"/>
      </w:rPr>
      <w:tblPr/>
      <w:tcPr>
        <w:tcBorders>
          <w:top w:val="nil"/>
          <w:left w:val="nil"/>
          <w:bottom w:val="nil"/>
          <w:right w:val="nil"/>
          <w:insideH w:val="single" w:sz="4" w:space="0" w:color="16164D" w:themeColor="accent1" w:themeShade="99"/>
          <w:insideV w:val="nil"/>
        </w:tcBorders>
        <w:shd w:val="clear" w:color="auto" w:fill="1616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16164D" w:themeFill="accent1" w:themeFillShade="99"/>
      </w:tcPr>
    </w:tblStylePr>
    <w:tblStylePr w:type="band1Vert">
      <w:tblPr/>
      <w:tcPr>
        <w:shd w:val="clear" w:color="auto" w:fill="9595E0" w:themeFill="accent1" w:themeFillTint="66"/>
      </w:tcPr>
    </w:tblStylePr>
    <w:tblStylePr w:type="band1Horz">
      <w:tblPr/>
      <w:tcPr>
        <w:shd w:val="clear" w:color="auto" w:fill="7B7BD8" w:themeFill="accent1" w:themeFillTint="7F"/>
      </w:tcPr>
    </w:tblStylePr>
    <w:tblStylePr w:type="neCell">
      <w:rPr>
        <w:color w:val="26261E" w:themeColor="text1"/>
      </w:rPr>
    </w:tblStylePr>
    <w:tblStylePr w:type="nwCell">
      <w:rPr>
        <w:color w:val="26261E" w:themeColor="text1"/>
      </w:rPr>
    </w:tblStylePr>
  </w:style>
  <w:style w:type="table" w:styleId="Fargerikskyggelegginguthevingsfarge2">
    <w:name w:val="Colorful Shading Accent 2"/>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FB26D" w:themeColor="accent2"/>
        <w:left w:val="single" w:sz="4" w:space="0" w:color="FFB26D" w:themeColor="accent2"/>
        <w:bottom w:val="single" w:sz="4" w:space="0" w:color="FFB26D" w:themeColor="accent2"/>
        <w:right w:val="single" w:sz="4" w:space="0" w:color="FFB26D" w:themeColor="accent2"/>
        <w:insideH w:val="single" w:sz="4" w:space="0" w:color="FFFFFF" w:themeColor="background1"/>
        <w:insideV w:val="single" w:sz="4" w:space="0" w:color="FFFFFF" w:themeColor="background1"/>
      </w:tblBorders>
    </w:tblPr>
    <w:tcPr>
      <w:shd w:val="clear" w:color="auto" w:fill="FFF7F0" w:themeFill="accent2" w:themeFillTint="19"/>
    </w:tcPr>
    <w:tblStylePr w:type="firstRow">
      <w:rPr>
        <w:b/>
        <w:bCs/>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A6600" w:themeFill="accent2" w:themeFillShade="99"/>
      </w:tcPr>
    </w:tblStylePr>
    <w:tblStylePr w:type="firstCol">
      <w:rPr>
        <w:color w:val="FFFFFF" w:themeColor="background1"/>
      </w:rPr>
      <w:tblPr/>
      <w:tcPr>
        <w:tcBorders>
          <w:top w:val="nil"/>
          <w:left w:val="nil"/>
          <w:bottom w:val="nil"/>
          <w:right w:val="nil"/>
          <w:insideH w:val="single" w:sz="4" w:space="0" w:color="DA6600" w:themeColor="accent2" w:themeShade="99"/>
          <w:insideV w:val="nil"/>
        </w:tcBorders>
        <w:shd w:val="clear" w:color="auto" w:fill="DA66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DA6600" w:themeFill="accent2" w:themeFillShade="99"/>
      </w:tcPr>
    </w:tblStylePr>
    <w:tblStylePr w:type="band1Vert">
      <w:tblPr/>
      <w:tcPr>
        <w:shd w:val="clear" w:color="auto" w:fill="FFDFC4" w:themeFill="accent2" w:themeFillTint="66"/>
      </w:tcPr>
    </w:tblStylePr>
    <w:tblStylePr w:type="band1Horz">
      <w:tblPr/>
      <w:tcPr>
        <w:shd w:val="clear" w:color="auto" w:fill="FFD8B6" w:themeFill="accent2" w:themeFillTint="7F"/>
      </w:tcPr>
    </w:tblStylePr>
    <w:tblStylePr w:type="neCell">
      <w:rPr>
        <w:color w:val="26261E" w:themeColor="text1"/>
      </w:rPr>
    </w:tblStylePr>
    <w:tblStylePr w:type="nwCell">
      <w:rPr>
        <w:color w:val="26261E" w:themeColor="text1"/>
      </w:rPr>
    </w:tblStylePr>
  </w:style>
  <w:style w:type="table" w:styleId="Fargerikskyggelegginguthevingsfarge3">
    <w:name w:val="Colorful Shading Accent 3"/>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26261E" w:themeColor="accent4"/>
        <w:left w:val="single" w:sz="4" w:space="0" w:color="3E8F98" w:themeColor="accent3"/>
        <w:bottom w:val="single" w:sz="4" w:space="0" w:color="3E8F98" w:themeColor="accent3"/>
        <w:right w:val="single" w:sz="4" w:space="0" w:color="3E8F98" w:themeColor="accent3"/>
        <w:insideH w:val="single" w:sz="4" w:space="0" w:color="FFFFFF" w:themeColor="background1"/>
        <w:insideV w:val="single" w:sz="4" w:space="0" w:color="FFFFFF" w:themeColor="background1"/>
      </w:tblBorders>
    </w:tblPr>
    <w:tcPr>
      <w:shd w:val="clear" w:color="auto" w:fill="EAF5F6" w:themeFill="accent3" w:themeFillTint="19"/>
    </w:tcPr>
    <w:tblStylePr w:type="firstRow">
      <w:rPr>
        <w:b/>
        <w:bCs/>
      </w:rPr>
      <w:tblPr/>
      <w:tcPr>
        <w:tcBorders>
          <w:top w:val="nil"/>
          <w:left w:val="nil"/>
          <w:bottom w:val="single" w:sz="24" w:space="0" w:color="26261E"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55B" w:themeFill="accent3" w:themeFillShade="99"/>
      </w:tcPr>
    </w:tblStylePr>
    <w:tblStylePr w:type="firstCol">
      <w:rPr>
        <w:color w:val="FFFFFF" w:themeColor="background1"/>
      </w:rPr>
      <w:tblPr/>
      <w:tcPr>
        <w:tcBorders>
          <w:top w:val="nil"/>
          <w:left w:val="nil"/>
          <w:bottom w:val="nil"/>
          <w:right w:val="nil"/>
          <w:insideH w:val="single" w:sz="4" w:space="0" w:color="25555B" w:themeColor="accent3" w:themeShade="99"/>
          <w:insideV w:val="nil"/>
        </w:tcBorders>
        <w:shd w:val="clear" w:color="auto" w:fill="25555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25555B" w:themeFill="accent3" w:themeFillShade="99"/>
      </w:tcPr>
    </w:tblStylePr>
    <w:tblStylePr w:type="band1Vert">
      <w:tblPr/>
      <w:tcPr>
        <w:shd w:val="clear" w:color="auto" w:fill="AAD7DC" w:themeFill="accent3" w:themeFillTint="66"/>
      </w:tcPr>
    </w:tblStylePr>
    <w:tblStylePr w:type="band1Horz">
      <w:tblPr/>
      <w:tcPr>
        <w:shd w:val="clear" w:color="auto" w:fill="96CDD4" w:themeFill="accent3" w:themeFillTint="7F"/>
      </w:tcPr>
    </w:tblStylePr>
  </w:style>
  <w:style w:type="table" w:styleId="Fargerikskyggelegginguthevingsfarge4">
    <w:name w:val="Colorful Shading Accent 4"/>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3E8F98" w:themeColor="accent3"/>
        <w:left w:val="single" w:sz="4" w:space="0" w:color="26261E" w:themeColor="accent4"/>
        <w:bottom w:val="single" w:sz="4" w:space="0" w:color="26261E" w:themeColor="accent4"/>
        <w:right w:val="single" w:sz="4" w:space="0" w:color="26261E" w:themeColor="accent4"/>
        <w:insideH w:val="single" w:sz="4" w:space="0" w:color="FFFFFF" w:themeColor="background1"/>
        <w:insideV w:val="single" w:sz="4" w:space="0" w:color="FFFFFF" w:themeColor="background1"/>
      </w:tblBorders>
    </w:tblPr>
    <w:tcPr>
      <w:shd w:val="clear" w:color="auto" w:fill="ECECE6" w:themeFill="accent4" w:themeFillTint="19"/>
    </w:tcPr>
    <w:tblStylePr w:type="firstRow">
      <w:rPr>
        <w:b/>
        <w:bCs/>
      </w:rPr>
      <w:tblPr/>
      <w:tcPr>
        <w:tcBorders>
          <w:top w:val="nil"/>
          <w:left w:val="nil"/>
          <w:bottom w:val="single" w:sz="24" w:space="0" w:color="3E8F98"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61612" w:themeFill="accent4" w:themeFillShade="99"/>
      </w:tcPr>
    </w:tblStylePr>
    <w:tblStylePr w:type="firstCol">
      <w:rPr>
        <w:color w:val="FFFFFF" w:themeColor="background1"/>
      </w:rPr>
      <w:tblPr/>
      <w:tcPr>
        <w:tcBorders>
          <w:top w:val="nil"/>
          <w:left w:val="nil"/>
          <w:bottom w:val="nil"/>
          <w:right w:val="nil"/>
          <w:insideH w:val="single" w:sz="4" w:space="0" w:color="161612" w:themeColor="accent4" w:themeShade="99"/>
          <w:insideV w:val="nil"/>
        </w:tcBorders>
        <w:shd w:val="clear" w:color="auto" w:fill="16161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61612" w:themeFill="accent4" w:themeFillShade="99"/>
      </w:tcPr>
    </w:tblStylePr>
    <w:tblStylePr w:type="band1Vert">
      <w:tblPr/>
      <w:tcPr>
        <w:shd w:val="clear" w:color="auto" w:fill="B1B19C" w:themeFill="accent4" w:themeFillTint="66"/>
      </w:tcPr>
    </w:tblStylePr>
    <w:tblStylePr w:type="band1Horz">
      <w:tblPr/>
      <w:tcPr>
        <w:shd w:val="clear" w:color="auto" w:fill="9D9D83" w:themeFill="accent4" w:themeFillTint="7F"/>
      </w:tcPr>
    </w:tblStylePr>
    <w:tblStylePr w:type="neCell">
      <w:rPr>
        <w:color w:val="26261E" w:themeColor="text1"/>
      </w:rPr>
    </w:tblStylePr>
    <w:tblStylePr w:type="nwCell">
      <w:rPr>
        <w:color w:val="26261E" w:themeColor="text1"/>
      </w:rPr>
    </w:tblStylePr>
  </w:style>
  <w:style w:type="table" w:styleId="Fargerikskyggelegginguthevingsfarge5">
    <w:name w:val="Colorful Shading Accent 5"/>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2F8F8" w:themeColor="accent6"/>
        <w:left w:val="single" w:sz="4" w:space="0" w:color="FCECDE" w:themeColor="accent5"/>
        <w:bottom w:val="single" w:sz="4" w:space="0" w:color="FCECDE" w:themeColor="accent5"/>
        <w:right w:val="single" w:sz="4" w:space="0" w:color="FCECDE" w:themeColor="accent5"/>
        <w:insideH w:val="single" w:sz="4" w:space="0" w:color="FFFFFF" w:themeColor="background1"/>
        <w:insideV w:val="single" w:sz="4" w:space="0" w:color="FFFFFF" w:themeColor="background1"/>
      </w:tblBorders>
    </w:tblPr>
    <w:tcPr>
      <w:shd w:val="clear" w:color="auto" w:fill="FEFDFB" w:themeFill="accent5" w:themeFillTint="19"/>
    </w:tcPr>
    <w:tblStylePr w:type="firstRow">
      <w:rPr>
        <w:b/>
        <w:bCs/>
      </w:rPr>
      <w:tblPr/>
      <w:tcPr>
        <w:tcBorders>
          <w:top w:val="nil"/>
          <w:left w:val="nil"/>
          <w:bottom w:val="single" w:sz="24" w:space="0" w:color="F2F8F8"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C8730" w:themeFill="accent5" w:themeFillShade="99"/>
      </w:tcPr>
    </w:tblStylePr>
    <w:tblStylePr w:type="firstCol">
      <w:rPr>
        <w:color w:val="FFFFFF" w:themeColor="background1"/>
      </w:rPr>
      <w:tblPr/>
      <w:tcPr>
        <w:tcBorders>
          <w:top w:val="nil"/>
          <w:left w:val="nil"/>
          <w:bottom w:val="nil"/>
          <w:right w:val="nil"/>
          <w:insideH w:val="single" w:sz="4" w:space="0" w:color="EC8730" w:themeColor="accent5" w:themeShade="99"/>
          <w:insideV w:val="nil"/>
        </w:tcBorders>
        <w:shd w:val="clear" w:color="auto" w:fill="EC873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EC8730" w:themeFill="accent5" w:themeFillShade="99"/>
      </w:tcPr>
    </w:tblStylePr>
    <w:tblStylePr w:type="band1Vert">
      <w:tblPr/>
      <w:tcPr>
        <w:shd w:val="clear" w:color="auto" w:fill="FDF7F1" w:themeFill="accent5" w:themeFillTint="66"/>
      </w:tcPr>
    </w:tblStylePr>
    <w:tblStylePr w:type="band1Horz">
      <w:tblPr/>
      <w:tcPr>
        <w:shd w:val="clear" w:color="auto" w:fill="FDF5EE" w:themeFill="accent5" w:themeFillTint="7F"/>
      </w:tcPr>
    </w:tblStylePr>
    <w:tblStylePr w:type="neCell">
      <w:rPr>
        <w:color w:val="26261E" w:themeColor="text1"/>
      </w:rPr>
    </w:tblStylePr>
    <w:tblStylePr w:type="nwCell">
      <w:rPr>
        <w:color w:val="26261E" w:themeColor="text1"/>
      </w:rPr>
    </w:tblStylePr>
  </w:style>
  <w:style w:type="table" w:styleId="Fargerikskyggelegginguthevingsfarge6">
    <w:name w:val="Colorful Shading Accent 6"/>
    <w:basedOn w:val="Vanligtabell"/>
    <w:uiPriority w:val="71"/>
    <w:semiHidden/>
    <w:unhideWhenUsed/>
    <w:rsid w:val="00893D2C"/>
    <w:pPr>
      <w:spacing w:after="0" w:line="240" w:lineRule="auto"/>
    </w:pPr>
    <w:rPr>
      <w:color w:val="26261E" w:themeColor="text1"/>
    </w:rPr>
    <w:tblPr>
      <w:tblStyleRowBandSize w:val="1"/>
      <w:tblStyleColBandSize w:val="1"/>
      <w:tblBorders>
        <w:top w:val="single" w:sz="24" w:space="0" w:color="FCECDE" w:themeColor="accent5"/>
        <w:left w:val="single" w:sz="4" w:space="0" w:color="F2F8F8" w:themeColor="accent6"/>
        <w:bottom w:val="single" w:sz="4" w:space="0" w:color="F2F8F8" w:themeColor="accent6"/>
        <w:right w:val="single" w:sz="4" w:space="0" w:color="F2F8F8" w:themeColor="accent6"/>
        <w:insideH w:val="single" w:sz="4" w:space="0" w:color="FFFFFF" w:themeColor="background1"/>
        <w:insideV w:val="single" w:sz="4" w:space="0" w:color="FFFFFF" w:themeColor="background1"/>
      </w:tblBorders>
    </w:tblPr>
    <w:tcPr>
      <w:shd w:val="clear" w:color="auto" w:fill="FDFEFE" w:themeFill="accent6" w:themeFillTint="19"/>
    </w:tcPr>
    <w:tblStylePr w:type="firstRow">
      <w:rPr>
        <w:b/>
        <w:bCs/>
      </w:rPr>
      <w:tblPr/>
      <w:tcPr>
        <w:tcBorders>
          <w:top w:val="nil"/>
          <w:left w:val="nil"/>
          <w:bottom w:val="single" w:sz="24" w:space="0" w:color="FCECDE"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B3B3" w:themeFill="accent6" w:themeFillShade="99"/>
      </w:tcPr>
    </w:tblStylePr>
    <w:tblStylePr w:type="firstCol">
      <w:rPr>
        <w:color w:val="FFFFFF" w:themeColor="background1"/>
      </w:rPr>
      <w:tblPr/>
      <w:tcPr>
        <w:tcBorders>
          <w:top w:val="nil"/>
          <w:left w:val="nil"/>
          <w:bottom w:val="nil"/>
          <w:right w:val="nil"/>
          <w:insideH w:val="single" w:sz="4" w:space="0" w:color="72B3B3" w:themeColor="accent6" w:themeShade="99"/>
          <w:insideV w:val="nil"/>
        </w:tcBorders>
        <w:shd w:val="clear" w:color="auto" w:fill="72B3B3"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2B3B3" w:themeFill="accent6" w:themeFillShade="99"/>
      </w:tcPr>
    </w:tblStylePr>
    <w:tblStylePr w:type="band1Vert">
      <w:tblPr/>
      <w:tcPr>
        <w:shd w:val="clear" w:color="auto" w:fill="F9FCFC" w:themeFill="accent6" w:themeFillTint="66"/>
      </w:tcPr>
    </w:tblStylePr>
    <w:tblStylePr w:type="band1Horz">
      <w:tblPr/>
      <w:tcPr>
        <w:shd w:val="clear" w:color="auto" w:fill="F8FBFB" w:themeFill="accent6" w:themeFillTint="7F"/>
      </w:tcPr>
    </w:tblStylePr>
    <w:tblStylePr w:type="neCell">
      <w:rPr>
        <w:color w:val="26261E" w:themeColor="text1"/>
      </w:rPr>
    </w:tblStylePr>
    <w:tblStylePr w:type="nwCell">
      <w:rPr>
        <w:color w:val="26261E" w:themeColor="text1"/>
      </w:rPr>
    </w:tblStylePr>
  </w:style>
  <w:style w:type="table" w:styleId="Fargeriktrutenett">
    <w:name w:val="Colorful Grid"/>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8D8CD" w:themeFill="text1" w:themeFillTint="33"/>
    </w:tcPr>
    <w:tblStylePr w:type="firstRow">
      <w:rPr>
        <w:b/>
        <w:bCs/>
      </w:rPr>
      <w:tblPr/>
      <w:tcPr>
        <w:shd w:val="clear" w:color="auto" w:fill="B1B19C" w:themeFill="text1" w:themeFillTint="66"/>
      </w:tcPr>
    </w:tblStylePr>
    <w:tblStylePr w:type="lastRow">
      <w:rPr>
        <w:b/>
        <w:bCs/>
        <w:color w:val="26261E" w:themeColor="text1"/>
      </w:rPr>
      <w:tblPr/>
      <w:tcPr>
        <w:shd w:val="clear" w:color="auto" w:fill="B1B19C" w:themeFill="text1" w:themeFillTint="66"/>
      </w:tcPr>
    </w:tblStylePr>
    <w:tblStylePr w:type="firstCol">
      <w:rPr>
        <w:color w:val="FFFFFF" w:themeColor="background1"/>
      </w:rPr>
      <w:tblPr/>
      <w:tcPr>
        <w:shd w:val="clear" w:color="auto" w:fill="1C1C16" w:themeFill="text1" w:themeFillShade="BF"/>
      </w:tcPr>
    </w:tblStylePr>
    <w:tblStylePr w:type="lastCol">
      <w:rPr>
        <w:color w:val="FFFFFF" w:themeColor="background1"/>
      </w:rPr>
      <w:tblPr/>
      <w:tcPr>
        <w:shd w:val="clear" w:color="auto" w:fill="1C1C16" w:themeFill="text1" w:themeFillShade="BF"/>
      </w:tcPr>
    </w:tblStylePr>
    <w:tblStylePr w:type="band1Vert">
      <w:tblPr/>
      <w:tcPr>
        <w:shd w:val="clear" w:color="auto" w:fill="9D9D83" w:themeFill="text1" w:themeFillTint="7F"/>
      </w:tcPr>
    </w:tblStylePr>
    <w:tblStylePr w:type="band1Horz">
      <w:tblPr/>
      <w:tcPr>
        <w:shd w:val="clear" w:color="auto" w:fill="9D9D83" w:themeFill="text1" w:themeFillTint="7F"/>
      </w:tcPr>
    </w:tblStylePr>
  </w:style>
  <w:style w:type="table" w:styleId="Fargeriktrutenettuthevingsfarge1">
    <w:name w:val="Colorful Grid Accent 1"/>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C9C9EF" w:themeFill="accent1" w:themeFillTint="33"/>
    </w:tcPr>
    <w:tblStylePr w:type="firstRow">
      <w:rPr>
        <w:b/>
        <w:bCs/>
      </w:rPr>
      <w:tblPr/>
      <w:tcPr>
        <w:shd w:val="clear" w:color="auto" w:fill="9595E0" w:themeFill="accent1" w:themeFillTint="66"/>
      </w:tcPr>
    </w:tblStylePr>
    <w:tblStylePr w:type="lastRow">
      <w:rPr>
        <w:b/>
        <w:bCs/>
        <w:color w:val="26261E" w:themeColor="text1"/>
      </w:rPr>
      <w:tblPr/>
      <w:tcPr>
        <w:shd w:val="clear" w:color="auto" w:fill="9595E0" w:themeFill="accent1" w:themeFillTint="66"/>
      </w:tcPr>
    </w:tblStylePr>
    <w:tblStylePr w:type="firstCol">
      <w:rPr>
        <w:color w:val="FFFFFF" w:themeColor="background1"/>
      </w:rPr>
      <w:tblPr/>
      <w:tcPr>
        <w:shd w:val="clear" w:color="auto" w:fill="1C1C61" w:themeFill="accent1" w:themeFillShade="BF"/>
      </w:tcPr>
    </w:tblStylePr>
    <w:tblStylePr w:type="lastCol">
      <w:rPr>
        <w:color w:val="FFFFFF" w:themeColor="background1"/>
      </w:rPr>
      <w:tblPr/>
      <w:tcPr>
        <w:shd w:val="clear" w:color="auto" w:fill="1C1C61" w:themeFill="accent1" w:themeFillShade="BF"/>
      </w:tcPr>
    </w:tblStylePr>
    <w:tblStylePr w:type="band1Vert">
      <w:tblPr/>
      <w:tcPr>
        <w:shd w:val="clear" w:color="auto" w:fill="7B7BD8" w:themeFill="accent1" w:themeFillTint="7F"/>
      </w:tcPr>
    </w:tblStylePr>
    <w:tblStylePr w:type="band1Horz">
      <w:tblPr/>
      <w:tcPr>
        <w:shd w:val="clear" w:color="auto" w:fill="7B7BD8" w:themeFill="accent1" w:themeFillTint="7F"/>
      </w:tcPr>
    </w:tblStylePr>
  </w:style>
  <w:style w:type="table" w:styleId="Fargeriktrutenettuthevingsfarge2">
    <w:name w:val="Colorful Grid Accent 2"/>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FEFE1" w:themeFill="accent2" w:themeFillTint="33"/>
    </w:tcPr>
    <w:tblStylePr w:type="firstRow">
      <w:rPr>
        <w:b/>
        <w:bCs/>
      </w:rPr>
      <w:tblPr/>
      <w:tcPr>
        <w:shd w:val="clear" w:color="auto" w:fill="FFDFC4" w:themeFill="accent2" w:themeFillTint="66"/>
      </w:tcPr>
    </w:tblStylePr>
    <w:tblStylePr w:type="lastRow">
      <w:rPr>
        <w:b/>
        <w:bCs/>
        <w:color w:val="26261E" w:themeColor="text1"/>
      </w:rPr>
      <w:tblPr/>
      <w:tcPr>
        <w:shd w:val="clear" w:color="auto" w:fill="FFDFC4" w:themeFill="accent2" w:themeFillTint="66"/>
      </w:tcPr>
    </w:tblStylePr>
    <w:tblStylePr w:type="firstCol">
      <w:rPr>
        <w:color w:val="FFFFFF" w:themeColor="background1"/>
      </w:rPr>
      <w:tblPr/>
      <w:tcPr>
        <w:shd w:val="clear" w:color="auto" w:fill="FF8111" w:themeFill="accent2" w:themeFillShade="BF"/>
      </w:tcPr>
    </w:tblStylePr>
    <w:tblStylePr w:type="lastCol">
      <w:rPr>
        <w:color w:val="FFFFFF" w:themeColor="background1"/>
      </w:rPr>
      <w:tblPr/>
      <w:tcPr>
        <w:shd w:val="clear" w:color="auto" w:fill="FF8111" w:themeFill="accent2" w:themeFillShade="BF"/>
      </w:tcPr>
    </w:tblStylePr>
    <w:tblStylePr w:type="band1Vert">
      <w:tblPr/>
      <w:tcPr>
        <w:shd w:val="clear" w:color="auto" w:fill="FFD8B6" w:themeFill="accent2" w:themeFillTint="7F"/>
      </w:tcPr>
    </w:tblStylePr>
    <w:tblStylePr w:type="band1Horz">
      <w:tblPr/>
      <w:tcPr>
        <w:shd w:val="clear" w:color="auto" w:fill="FFD8B6" w:themeFill="accent2" w:themeFillTint="7F"/>
      </w:tcPr>
    </w:tblStylePr>
  </w:style>
  <w:style w:type="table" w:styleId="Fargeriktrutenettuthevingsfarge3">
    <w:name w:val="Colorful Grid Accent 3"/>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4EBED" w:themeFill="accent3" w:themeFillTint="33"/>
    </w:tcPr>
    <w:tblStylePr w:type="firstRow">
      <w:rPr>
        <w:b/>
        <w:bCs/>
      </w:rPr>
      <w:tblPr/>
      <w:tcPr>
        <w:shd w:val="clear" w:color="auto" w:fill="AAD7DC" w:themeFill="accent3" w:themeFillTint="66"/>
      </w:tcPr>
    </w:tblStylePr>
    <w:tblStylePr w:type="lastRow">
      <w:rPr>
        <w:b/>
        <w:bCs/>
        <w:color w:val="26261E" w:themeColor="text1"/>
      </w:rPr>
      <w:tblPr/>
      <w:tcPr>
        <w:shd w:val="clear" w:color="auto" w:fill="AAD7DC" w:themeFill="accent3" w:themeFillTint="66"/>
      </w:tcPr>
    </w:tblStylePr>
    <w:tblStylePr w:type="firstCol">
      <w:rPr>
        <w:color w:val="FFFFFF" w:themeColor="background1"/>
      </w:rPr>
      <w:tblPr/>
      <w:tcPr>
        <w:shd w:val="clear" w:color="auto" w:fill="2E6A71" w:themeFill="accent3" w:themeFillShade="BF"/>
      </w:tcPr>
    </w:tblStylePr>
    <w:tblStylePr w:type="lastCol">
      <w:rPr>
        <w:color w:val="FFFFFF" w:themeColor="background1"/>
      </w:rPr>
      <w:tblPr/>
      <w:tcPr>
        <w:shd w:val="clear" w:color="auto" w:fill="2E6A71" w:themeFill="accent3" w:themeFillShade="BF"/>
      </w:tcPr>
    </w:tblStylePr>
    <w:tblStylePr w:type="band1Vert">
      <w:tblPr/>
      <w:tcPr>
        <w:shd w:val="clear" w:color="auto" w:fill="96CDD4" w:themeFill="accent3" w:themeFillTint="7F"/>
      </w:tcPr>
    </w:tblStylePr>
    <w:tblStylePr w:type="band1Horz">
      <w:tblPr/>
      <w:tcPr>
        <w:shd w:val="clear" w:color="auto" w:fill="96CDD4" w:themeFill="accent3" w:themeFillTint="7F"/>
      </w:tcPr>
    </w:tblStylePr>
  </w:style>
  <w:style w:type="table" w:styleId="Fargeriktrutenettuthevingsfarge4">
    <w:name w:val="Colorful Grid Accent 4"/>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D8D8CD" w:themeFill="accent4" w:themeFillTint="33"/>
    </w:tcPr>
    <w:tblStylePr w:type="firstRow">
      <w:rPr>
        <w:b/>
        <w:bCs/>
      </w:rPr>
      <w:tblPr/>
      <w:tcPr>
        <w:shd w:val="clear" w:color="auto" w:fill="B1B19C" w:themeFill="accent4" w:themeFillTint="66"/>
      </w:tcPr>
    </w:tblStylePr>
    <w:tblStylePr w:type="lastRow">
      <w:rPr>
        <w:b/>
        <w:bCs/>
        <w:color w:val="26261E" w:themeColor="text1"/>
      </w:rPr>
      <w:tblPr/>
      <w:tcPr>
        <w:shd w:val="clear" w:color="auto" w:fill="B1B19C" w:themeFill="accent4" w:themeFillTint="66"/>
      </w:tcPr>
    </w:tblStylePr>
    <w:tblStylePr w:type="firstCol">
      <w:rPr>
        <w:color w:val="FFFFFF" w:themeColor="background1"/>
      </w:rPr>
      <w:tblPr/>
      <w:tcPr>
        <w:shd w:val="clear" w:color="auto" w:fill="1C1C16" w:themeFill="accent4" w:themeFillShade="BF"/>
      </w:tcPr>
    </w:tblStylePr>
    <w:tblStylePr w:type="lastCol">
      <w:rPr>
        <w:color w:val="FFFFFF" w:themeColor="background1"/>
      </w:rPr>
      <w:tblPr/>
      <w:tcPr>
        <w:shd w:val="clear" w:color="auto" w:fill="1C1C16" w:themeFill="accent4" w:themeFillShade="BF"/>
      </w:tcPr>
    </w:tblStylePr>
    <w:tblStylePr w:type="band1Vert">
      <w:tblPr/>
      <w:tcPr>
        <w:shd w:val="clear" w:color="auto" w:fill="9D9D83" w:themeFill="accent4" w:themeFillTint="7F"/>
      </w:tcPr>
    </w:tblStylePr>
    <w:tblStylePr w:type="band1Horz">
      <w:tblPr/>
      <w:tcPr>
        <w:shd w:val="clear" w:color="auto" w:fill="9D9D83" w:themeFill="accent4" w:themeFillTint="7F"/>
      </w:tcPr>
    </w:tblStylePr>
  </w:style>
  <w:style w:type="table" w:styleId="Fargeriktrutenettuthevingsfarge5">
    <w:name w:val="Colorful Grid Accent 5"/>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EFBF8" w:themeFill="accent5" w:themeFillTint="33"/>
    </w:tcPr>
    <w:tblStylePr w:type="firstRow">
      <w:rPr>
        <w:b/>
        <w:bCs/>
      </w:rPr>
      <w:tblPr/>
      <w:tcPr>
        <w:shd w:val="clear" w:color="auto" w:fill="FDF7F1" w:themeFill="accent5" w:themeFillTint="66"/>
      </w:tcPr>
    </w:tblStylePr>
    <w:tblStylePr w:type="lastRow">
      <w:rPr>
        <w:b/>
        <w:bCs/>
        <w:color w:val="26261E" w:themeColor="text1"/>
      </w:rPr>
      <w:tblPr/>
      <w:tcPr>
        <w:shd w:val="clear" w:color="auto" w:fill="FDF7F1" w:themeFill="accent5" w:themeFillTint="66"/>
      </w:tcPr>
    </w:tblStylePr>
    <w:tblStylePr w:type="firstCol">
      <w:rPr>
        <w:color w:val="FFFFFF" w:themeColor="background1"/>
      </w:rPr>
      <w:tblPr/>
      <w:tcPr>
        <w:shd w:val="clear" w:color="auto" w:fill="F2AD70" w:themeFill="accent5" w:themeFillShade="BF"/>
      </w:tcPr>
    </w:tblStylePr>
    <w:tblStylePr w:type="lastCol">
      <w:rPr>
        <w:color w:val="FFFFFF" w:themeColor="background1"/>
      </w:rPr>
      <w:tblPr/>
      <w:tcPr>
        <w:shd w:val="clear" w:color="auto" w:fill="F2AD70" w:themeFill="accent5" w:themeFillShade="BF"/>
      </w:tcPr>
    </w:tblStylePr>
    <w:tblStylePr w:type="band1Vert">
      <w:tblPr/>
      <w:tcPr>
        <w:shd w:val="clear" w:color="auto" w:fill="FDF5EE" w:themeFill="accent5" w:themeFillTint="7F"/>
      </w:tcPr>
    </w:tblStylePr>
    <w:tblStylePr w:type="band1Horz">
      <w:tblPr/>
      <w:tcPr>
        <w:shd w:val="clear" w:color="auto" w:fill="FDF5EE" w:themeFill="accent5" w:themeFillTint="7F"/>
      </w:tcPr>
    </w:tblStylePr>
  </w:style>
  <w:style w:type="table" w:styleId="Fargeriktrutenettuthevingsfarge6">
    <w:name w:val="Colorful Grid Accent 6"/>
    <w:basedOn w:val="Vanligtabell"/>
    <w:uiPriority w:val="73"/>
    <w:semiHidden/>
    <w:unhideWhenUsed/>
    <w:rsid w:val="00893D2C"/>
    <w:pPr>
      <w:spacing w:after="0" w:line="240" w:lineRule="auto"/>
    </w:pPr>
    <w:rPr>
      <w:color w:val="26261E" w:themeColor="text1"/>
    </w:rPr>
    <w:tblPr>
      <w:tblStyleRowBandSize w:val="1"/>
      <w:tblStyleColBandSize w:val="1"/>
      <w:tblBorders>
        <w:insideH w:val="single" w:sz="4" w:space="0" w:color="FFFFFF" w:themeColor="background1"/>
      </w:tblBorders>
    </w:tblPr>
    <w:tcPr>
      <w:shd w:val="clear" w:color="auto" w:fill="FCFDFD" w:themeFill="accent6" w:themeFillTint="33"/>
    </w:tcPr>
    <w:tblStylePr w:type="firstRow">
      <w:rPr>
        <w:b/>
        <w:bCs/>
      </w:rPr>
      <w:tblPr/>
      <w:tcPr>
        <w:shd w:val="clear" w:color="auto" w:fill="F9FCFC" w:themeFill="accent6" w:themeFillTint="66"/>
      </w:tcPr>
    </w:tblStylePr>
    <w:tblStylePr w:type="lastRow">
      <w:rPr>
        <w:b/>
        <w:bCs/>
        <w:color w:val="26261E" w:themeColor="text1"/>
      </w:rPr>
      <w:tblPr/>
      <w:tcPr>
        <w:shd w:val="clear" w:color="auto" w:fill="F9FCFC" w:themeFill="accent6" w:themeFillTint="66"/>
      </w:tcPr>
    </w:tblStylePr>
    <w:tblStylePr w:type="firstCol">
      <w:rPr>
        <w:color w:val="FFFFFF" w:themeColor="background1"/>
      </w:rPr>
      <w:tblPr/>
      <w:tcPr>
        <w:shd w:val="clear" w:color="auto" w:fill="A2CDCD" w:themeFill="accent6" w:themeFillShade="BF"/>
      </w:tcPr>
    </w:tblStylePr>
    <w:tblStylePr w:type="lastCol">
      <w:rPr>
        <w:color w:val="FFFFFF" w:themeColor="background1"/>
      </w:rPr>
      <w:tblPr/>
      <w:tcPr>
        <w:shd w:val="clear" w:color="auto" w:fill="A2CDCD" w:themeFill="accent6" w:themeFillShade="BF"/>
      </w:tcPr>
    </w:tblStylePr>
    <w:tblStylePr w:type="band1Vert">
      <w:tblPr/>
      <w:tcPr>
        <w:shd w:val="clear" w:color="auto" w:fill="F8FBFB" w:themeFill="accent6" w:themeFillTint="7F"/>
      </w:tcPr>
    </w:tblStylePr>
    <w:tblStylePr w:type="band1Horz">
      <w:tblPr/>
      <w:tcPr>
        <w:shd w:val="clear" w:color="auto" w:fill="F8FBFB" w:themeFill="accent6" w:themeFillTint="7F"/>
      </w:tcPr>
    </w:tblStylePr>
  </w:style>
  <w:style w:type="paragraph" w:styleId="Figurliste">
    <w:name w:val="table of figures"/>
    <w:basedOn w:val="Normal"/>
    <w:next w:val="Normal"/>
    <w:uiPriority w:val="99"/>
    <w:semiHidden/>
    <w:unhideWhenUsed/>
    <w:rsid w:val="00893D2C"/>
    <w:pPr>
      <w:spacing w:after="0"/>
    </w:pPr>
  </w:style>
  <w:style w:type="character" w:styleId="Fotnotereferanse">
    <w:name w:val="footnote reference"/>
    <w:basedOn w:val="Standardskriftforavsnitt"/>
    <w:uiPriority w:val="99"/>
    <w:semiHidden/>
    <w:unhideWhenUsed/>
    <w:rsid w:val="00893D2C"/>
    <w:rPr>
      <w:vertAlign w:val="superscript"/>
    </w:rPr>
  </w:style>
  <w:style w:type="paragraph" w:styleId="Fotnotetekst">
    <w:name w:val="footnote text"/>
    <w:basedOn w:val="Normal"/>
    <w:link w:val="FotnotetekstTegn"/>
    <w:uiPriority w:val="99"/>
    <w:semiHidden/>
    <w:unhideWhenUsed/>
    <w:rsid w:val="00893D2C"/>
    <w:pPr>
      <w:spacing w:after="0" w:line="240" w:lineRule="auto"/>
    </w:pPr>
    <w:rPr>
      <w:sz w:val="20"/>
      <w:szCs w:val="20"/>
    </w:rPr>
  </w:style>
  <w:style w:type="character" w:customStyle="1" w:styleId="FotnotetekstTegn">
    <w:name w:val="Fotnotetekst Tegn"/>
    <w:basedOn w:val="Standardskriftforavsnitt"/>
    <w:link w:val="Fotnotetekst"/>
    <w:uiPriority w:val="99"/>
    <w:semiHidden/>
    <w:rsid w:val="00893D2C"/>
    <w:rPr>
      <w:sz w:val="20"/>
      <w:szCs w:val="20"/>
    </w:rPr>
  </w:style>
  <w:style w:type="character" w:styleId="Fulgthyperkobling">
    <w:name w:val="FollowedHyperlink"/>
    <w:basedOn w:val="Standardskriftforavsnitt"/>
    <w:uiPriority w:val="99"/>
    <w:semiHidden/>
    <w:unhideWhenUsed/>
    <w:rsid w:val="00893D2C"/>
    <w:rPr>
      <w:color w:val="954F72" w:themeColor="followedHyperlink"/>
      <w:u w:val="single"/>
    </w:rPr>
  </w:style>
  <w:style w:type="paragraph" w:styleId="Hilsen">
    <w:name w:val="Closing"/>
    <w:basedOn w:val="Normal"/>
    <w:link w:val="HilsenTegn"/>
    <w:uiPriority w:val="99"/>
    <w:semiHidden/>
    <w:unhideWhenUsed/>
    <w:rsid w:val="00893D2C"/>
    <w:pPr>
      <w:spacing w:after="0" w:line="240" w:lineRule="auto"/>
      <w:ind w:left="4252"/>
    </w:pPr>
  </w:style>
  <w:style w:type="character" w:customStyle="1" w:styleId="HilsenTegn">
    <w:name w:val="Hilsen Tegn"/>
    <w:basedOn w:val="Standardskriftforavsnitt"/>
    <w:link w:val="Hilsen"/>
    <w:uiPriority w:val="99"/>
    <w:semiHidden/>
    <w:rsid w:val="00893D2C"/>
  </w:style>
  <w:style w:type="paragraph" w:styleId="HTML-adresse">
    <w:name w:val="HTML Address"/>
    <w:basedOn w:val="Normal"/>
    <w:link w:val="HTML-adresseTegn"/>
    <w:uiPriority w:val="99"/>
    <w:semiHidden/>
    <w:unhideWhenUsed/>
    <w:rsid w:val="00893D2C"/>
    <w:pPr>
      <w:spacing w:after="0" w:line="240" w:lineRule="auto"/>
    </w:pPr>
    <w:rPr>
      <w:i/>
      <w:iCs/>
    </w:rPr>
  </w:style>
  <w:style w:type="character" w:customStyle="1" w:styleId="HTML-adresseTegn">
    <w:name w:val="HTML-adresse Tegn"/>
    <w:basedOn w:val="Standardskriftforavsnitt"/>
    <w:link w:val="HTML-adresse"/>
    <w:uiPriority w:val="99"/>
    <w:semiHidden/>
    <w:rsid w:val="00893D2C"/>
    <w:rPr>
      <w:i/>
      <w:iCs/>
    </w:rPr>
  </w:style>
  <w:style w:type="character" w:styleId="HTML-akronym">
    <w:name w:val="HTML Acronym"/>
    <w:basedOn w:val="Standardskriftforavsnitt"/>
    <w:uiPriority w:val="99"/>
    <w:semiHidden/>
    <w:unhideWhenUsed/>
    <w:rsid w:val="00893D2C"/>
  </w:style>
  <w:style w:type="character" w:styleId="HTML-definisjon">
    <w:name w:val="HTML Definition"/>
    <w:basedOn w:val="Standardskriftforavsnitt"/>
    <w:uiPriority w:val="99"/>
    <w:semiHidden/>
    <w:unhideWhenUsed/>
    <w:rsid w:val="00893D2C"/>
    <w:rPr>
      <w:i/>
      <w:iCs/>
    </w:rPr>
  </w:style>
  <w:style w:type="character" w:styleId="HTML-eksempel">
    <w:name w:val="HTML Sample"/>
    <w:basedOn w:val="Standardskriftforavsnitt"/>
    <w:uiPriority w:val="99"/>
    <w:semiHidden/>
    <w:unhideWhenUsed/>
    <w:rsid w:val="00893D2C"/>
    <w:rPr>
      <w:rFonts w:ascii="Consolas" w:hAnsi="Consolas"/>
      <w:sz w:val="24"/>
      <w:szCs w:val="24"/>
    </w:rPr>
  </w:style>
  <w:style w:type="paragraph" w:styleId="HTML-forhndsformatert">
    <w:name w:val="HTML Preformatted"/>
    <w:basedOn w:val="Normal"/>
    <w:link w:val="HTML-forhndsformatertTegn"/>
    <w:uiPriority w:val="99"/>
    <w:semiHidden/>
    <w:unhideWhenUsed/>
    <w:rsid w:val="00893D2C"/>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893D2C"/>
    <w:rPr>
      <w:rFonts w:ascii="Consolas" w:hAnsi="Consolas"/>
      <w:sz w:val="20"/>
      <w:szCs w:val="20"/>
    </w:rPr>
  </w:style>
  <w:style w:type="character" w:styleId="HTML-kode">
    <w:name w:val="HTML Code"/>
    <w:basedOn w:val="Standardskriftforavsnitt"/>
    <w:uiPriority w:val="99"/>
    <w:semiHidden/>
    <w:unhideWhenUsed/>
    <w:rsid w:val="00893D2C"/>
    <w:rPr>
      <w:rFonts w:ascii="Consolas" w:hAnsi="Consolas"/>
      <w:sz w:val="20"/>
      <w:szCs w:val="20"/>
    </w:rPr>
  </w:style>
  <w:style w:type="character" w:styleId="HTML-sitat">
    <w:name w:val="HTML Cite"/>
    <w:basedOn w:val="Standardskriftforavsnitt"/>
    <w:uiPriority w:val="99"/>
    <w:semiHidden/>
    <w:unhideWhenUsed/>
    <w:rsid w:val="00893D2C"/>
    <w:rPr>
      <w:i/>
      <w:iCs/>
    </w:rPr>
  </w:style>
  <w:style w:type="character" w:styleId="HTML-skrivemaskin">
    <w:name w:val="HTML Typewriter"/>
    <w:basedOn w:val="Standardskriftforavsnitt"/>
    <w:uiPriority w:val="99"/>
    <w:semiHidden/>
    <w:unhideWhenUsed/>
    <w:rsid w:val="00893D2C"/>
    <w:rPr>
      <w:rFonts w:ascii="Consolas" w:hAnsi="Consolas"/>
      <w:sz w:val="20"/>
      <w:szCs w:val="20"/>
    </w:rPr>
  </w:style>
  <w:style w:type="character" w:styleId="HTML-tastatur">
    <w:name w:val="HTML Keyboard"/>
    <w:basedOn w:val="Standardskriftforavsnitt"/>
    <w:uiPriority w:val="99"/>
    <w:semiHidden/>
    <w:unhideWhenUsed/>
    <w:rsid w:val="00893D2C"/>
    <w:rPr>
      <w:rFonts w:ascii="Consolas" w:hAnsi="Consolas"/>
      <w:sz w:val="20"/>
      <w:szCs w:val="20"/>
    </w:rPr>
  </w:style>
  <w:style w:type="character" w:styleId="HTML-variabel">
    <w:name w:val="HTML Variable"/>
    <w:basedOn w:val="Standardskriftforavsnitt"/>
    <w:uiPriority w:val="99"/>
    <w:semiHidden/>
    <w:unhideWhenUsed/>
    <w:rsid w:val="00893D2C"/>
    <w:rPr>
      <w:i/>
      <w:iCs/>
    </w:rPr>
  </w:style>
  <w:style w:type="character" w:styleId="Hyperkobling">
    <w:name w:val="Hyperlink"/>
    <w:basedOn w:val="Standardskriftforavsnitt"/>
    <w:uiPriority w:val="99"/>
    <w:unhideWhenUsed/>
    <w:rsid w:val="00893D2C"/>
    <w:rPr>
      <w:color w:val="0563C1" w:themeColor="hyperlink"/>
      <w:u w:val="single"/>
    </w:rPr>
  </w:style>
  <w:style w:type="paragraph" w:styleId="Indeks1">
    <w:name w:val="index 1"/>
    <w:basedOn w:val="Normal"/>
    <w:next w:val="Normal"/>
    <w:autoRedefine/>
    <w:uiPriority w:val="99"/>
    <w:semiHidden/>
    <w:unhideWhenUsed/>
    <w:rsid w:val="00893D2C"/>
    <w:pPr>
      <w:spacing w:after="0" w:line="240" w:lineRule="auto"/>
      <w:ind w:left="220" w:hanging="220"/>
    </w:pPr>
  </w:style>
  <w:style w:type="paragraph" w:styleId="Indeks2">
    <w:name w:val="index 2"/>
    <w:basedOn w:val="Normal"/>
    <w:next w:val="Normal"/>
    <w:autoRedefine/>
    <w:uiPriority w:val="99"/>
    <w:semiHidden/>
    <w:unhideWhenUsed/>
    <w:rsid w:val="00893D2C"/>
    <w:pPr>
      <w:spacing w:after="0" w:line="240" w:lineRule="auto"/>
      <w:ind w:left="440" w:hanging="220"/>
    </w:pPr>
  </w:style>
  <w:style w:type="paragraph" w:styleId="Indeks3">
    <w:name w:val="index 3"/>
    <w:basedOn w:val="Normal"/>
    <w:next w:val="Normal"/>
    <w:autoRedefine/>
    <w:uiPriority w:val="99"/>
    <w:semiHidden/>
    <w:unhideWhenUsed/>
    <w:rsid w:val="00893D2C"/>
    <w:pPr>
      <w:spacing w:after="0" w:line="240" w:lineRule="auto"/>
      <w:ind w:left="660" w:hanging="220"/>
    </w:pPr>
  </w:style>
  <w:style w:type="paragraph" w:styleId="Indeks4">
    <w:name w:val="index 4"/>
    <w:basedOn w:val="Normal"/>
    <w:next w:val="Normal"/>
    <w:autoRedefine/>
    <w:uiPriority w:val="99"/>
    <w:semiHidden/>
    <w:unhideWhenUsed/>
    <w:rsid w:val="00893D2C"/>
    <w:pPr>
      <w:spacing w:after="0" w:line="240" w:lineRule="auto"/>
      <w:ind w:left="880" w:hanging="220"/>
    </w:pPr>
  </w:style>
  <w:style w:type="paragraph" w:styleId="Indeks5">
    <w:name w:val="index 5"/>
    <w:basedOn w:val="Normal"/>
    <w:next w:val="Normal"/>
    <w:autoRedefine/>
    <w:uiPriority w:val="99"/>
    <w:semiHidden/>
    <w:unhideWhenUsed/>
    <w:rsid w:val="00893D2C"/>
    <w:pPr>
      <w:spacing w:after="0" w:line="240" w:lineRule="auto"/>
      <w:ind w:left="1100" w:hanging="220"/>
    </w:pPr>
  </w:style>
  <w:style w:type="paragraph" w:styleId="Indeks6">
    <w:name w:val="index 6"/>
    <w:basedOn w:val="Normal"/>
    <w:next w:val="Normal"/>
    <w:autoRedefine/>
    <w:uiPriority w:val="99"/>
    <w:semiHidden/>
    <w:unhideWhenUsed/>
    <w:rsid w:val="00893D2C"/>
    <w:pPr>
      <w:spacing w:after="0" w:line="240" w:lineRule="auto"/>
      <w:ind w:left="1320" w:hanging="220"/>
    </w:pPr>
  </w:style>
  <w:style w:type="paragraph" w:styleId="Indeks7">
    <w:name w:val="index 7"/>
    <w:basedOn w:val="Normal"/>
    <w:next w:val="Normal"/>
    <w:autoRedefine/>
    <w:uiPriority w:val="99"/>
    <w:semiHidden/>
    <w:unhideWhenUsed/>
    <w:rsid w:val="00893D2C"/>
    <w:pPr>
      <w:spacing w:after="0" w:line="240" w:lineRule="auto"/>
      <w:ind w:left="1540" w:hanging="220"/>
    </w:pPr>
  </w:style>
  <w:style w:type="paragraph" w:styleId="Indeks8">
    <w:name w:val="index 8"/>
    <w:basedOn w:val="Normal"/>
    <w:next w:val="Normal"/>
    <w:autoRedefine/>
    <w:uiPriority w:val="99"/>
    <w:semiHidden/>
    <w:unhideWhenUsed/>
    <w:rsid w:val="00893D2C"/>
    <w:pPr>
      <w:spacing w:after="0" w:line="240" w:lineRule="auto"/>
      <w:ind w:left="1760" w:hanging="220"/>
    </w:pPr>
  </w:style>
  <w:style w:type="paragraph" w:styleId="Indeks9">
    <w:name w:val="index 9"/>
    <w:basedOn w:val="Normal"/>
    <w:next w:val="Normal"/>
    <w:autoRedefine/>
    <w:uiPriority w:val="99"/>
    <w:semiHidden/>
    <w:unhideWhenUsed/>
    <w:rsid w:val="00893D2C"/>
    <w:pPr>
      <w:spacing w:after="0" w:line="240" w:lineRule="auto"/>
      <w:ind w:left="1980" w:hanging="220"/>
    </w:pPr>
  </w:style>
  <w:style w:type="paragraph" w:styleId="Ingenmellomrom">
    <w:name w:val="No Spacing"/>
    <w:uiPriority w:val="1"/>
    <w:semiHidden/>
    <w:rsid w:val="00893D2C"/>
    <w:pPr>
      <w:spacing w:after="0" w:line="240" w:lineRule="auto"/>
    </w:pPr>
  </w:style>
  <w:style w:type="paragraph" w:styleId="INNH1">
    <w:name w:val="toc 1"/>
    <w:basedOn w:val="Normal"/>
    <w:next w:val="Normal"/>
    <w:autoRedefine/>
    <w:uiPriority w:val="39"/>
    <w:unhideWhenUsed/>
    <w:rsid w:val="00EB3EE8"/>
    <w:pPr>
      <w:spacing w:after="100"/>
    </w:pPr>
    <w:rPr>
      <w:b/>
      <w:bCs/>
    </w:rPr>
  </w:style>
  <w:style w:type="paragraph" w:styleId="INNH2">
    <w:name w:val="toc 2"/>
    <w:basedOn w:val="Normal"/>
    <w:next w:val="Normal"/>
    <w:autoRedefine/>
    <w:uiPriority w:val="39"/>
    <w:unhideWhenUsed/>
    <w:rsid w:val="00893D2C"/>
    <w:pPr>
      <w:spacing w:after="100"/>
      <w:ind w:left="220"/>
    </w:pPr>
  </w:style>
  <w:style w:type="paragraph" w:styleId="INNH3">
    <w:name w:val="toc 3"/>
    <w:basedOn w:val="Normal"/>
    <w:next w:val="Normal"/>
    <w:autoRedefine/>
    <w:uiPriority w:val="39"/>
    <w:unhideWhenUsed/>
    <w:rsid w:val="00893D2C"/>
    <w:pPr>
      <w:spacing w:after="100"/>
      <w:ind w:left="440"/>
    </w:pPr>
  </w:style>
  <w:style w:type="paragraph" w:styleId="INNH4">
    <w:name w:val="toc 4"/>
    <w:basedOn w:val="Normal"/>
    <w:next w:val="Normal"/>
    <w:autoRedefine/>
    <w:uiPriority w:val="39"/>
    <w:semiHidden/>
    <w:unhideWhenUsed/>
    <w:rsid w:val="00893D2C"/>
    <w:pPr>
      <w:spacing w:after="100"/>
      <w:ind w:left="660"/>
    </w:pPr>
  </w:style>
  <w:style w:type="paragraph" w:styleId="INNH5">
    <w:name w:val="toc 5"/>
    <w:basedOn w:val="Normal"/>
    <w:next w:val="Normal"/>
    <w:autoRedefine/>
    <w:uiPriority w:val="39"/>
    <w:semiHidden/>
    <w:unhideWhenUsed/>
    <w:rsid w:val="00893D2C"/>
    <w:pPr>
      <w:spacing w:after="100"/>
      <w:ind w:left="880"/>
    </w:pPr>
  </w:style>
  <w:style w:type="paragraph" w:styleId="INNH6">
    <w:name w:val="toc 6"/>
    <w:basedOn w:val="Normal"/>
    <w:next w:val="Normal"/>
    <w:autoRedefine/>
    <w:uiPriority w:val="39"/>
    <w:semiHidden/>
    <w:unhideWhenUsed/>
    <w:rsid w:val="00893D2C"/>
    <w:pPr>
      <w:spacing w:after="100"/>
      <w:ind w:left="1100"/>
    </w:pPr>
  </w:style>
  <w:style w:type="paragraph" w:styleId="INNH7">
    <w:name w:val="toc 7"/>
    <w:basedOn w:val="Normal"/>
    <w:next w:val="Normal"/>
    <w:autoRedefine/>
    <w:uiPriority w:val="39"/>
    <w:semiHidden/>
    <w:unhideWhenUsed/>
    <w:rsid w:val="00893D2C"/>
    <w:pPr>
      <w:spacing w:after="100"/>
      <w:ind w:left="1320"/>
    </w:pPr>
  </w:style>
  <w:style w:type="paragraph" w:styleId="INNH8">
    <w:name w:val="toc 8"/>
    <w:basedOn w:val="Normal"/>
    <w:next w:val="Normal"/>
    <w:autoRedefine/>
    <w:uiPriority w:val="39"/>
    <w:semiHidden/>
    <w:unhideWhenUsed/>
    <w:rsid w:val="00893D2C"/>
    <w:pPr>
      <w:spacing w:after="100"/>
      <w:ind w:left="1540"/>
    </w:pPr>
  </w:style>
  <w:style w:type="paragraph" w:styleId="INNH9">
    <w:name w:val="toc 9"/>
    <w:basedOn w:val="Normal"/>
    <w:next w:val="Normal"/>
    <w:autoRedefine/>
    <w:uiPriority w:val="39"/>
    <w:semiHidden/>
    <w:unhideWhenUsed/>
    <w:rsid w:val="00893D2C"/>
    <w:pPr>
      <w:spacing w:after="100"/>
      <w:ind w:left="1760"/>
    </w:pPr>
  </w:style>
  <w:style w:type="paragraph" w:styleId="Innledendehilsen">
    <w:name w:val="Salutation"/>
    <w:basedOn w:val="Normal"/>
    <w:next w:val="Normal"/>
    <w:link w:val="InnledendehilsenTegn"/>
    <w:uiPriority w:val="99"/>
    <w:semiHidden/>
    <w:unhideWhenUsed/>
    <w:rsid w:val="00893D2C"/>
  </w:style>
  <w:style w:type="character" w:customStyle="1" w:styleId="InnledendehilsenTegn">
    <w:name w:val="Innledende hilsen Tegn"/>
    <w:basedOn w:val="Standardskriftforavsnitt"/>
    <w:link w:val="Innledendehilsen"/>
    <w:uiPriority w:val="99"/>
    <w:semiHidden/>
    <w:rsid w:val="00893D2C"/>
  </w:style>
  <w:style w:type="paragraph" w:styleId="Kildeliste">
    <w:name w:val="table of authorities"/>
    <w:basedOn w:val="Normal"/>
    <w:next w:val="Normal"/>
    <w:uiPriority w:val="99"/>
    <w:semiHidden/>
    <w:unhideWhenUsed/>
    <w:rsid w:val="00893D2C"/>
    <w:pPr>
      <w:spacing w:after="0"/>
      <w:ind w:left="220" w:hanging="220"/>
    </w:pPr>
  </w:style>
  <w:style w:type="paragraph" w:styleId="Kildelisteoverskrift">
    <w:name w:val="toa heading"/>
    <w:basedOn w:val="Normal"/>
    <w:next w:val="Normal"/>
    <w:uiPriority w:val="99"/>
    <w:semiHidden/>
    <w:unhideWhenUsed/>
    <w:rsid w:val="00893D2C"/>
    <w:pPr>
      <w:spacing w:before="120"/>
    </w:pPr>
    <w:rPr>
      <w:rFonts w:asciiTheme="majorHAnsi" w:eastAsiaTheme="majorEastAsia" w:hAnsiTheme="majorHAnsi" w:cstheme="majorBidi"/>
      <w:b/>
      <w:bCs/>
      <w:sz w:val="24"/>
      <w:szCs w:val="24"/>
    </w:rPr>
  </w:style>
  <w:style w:type="paragraph" w:styleId="Merknadstekst">
    <w:name w:val="annotation text"/>
    <w:basedOn w:val="Normal"/>
    <w:link w:val="MerknadstekstTegn"/>
    <w:uiPriority w:val="99"/>
    <w:unhideWhenUsed/>
    <w:rsid w:val="00893D2C"/>
    <w:pPr>
      <w:spacing w:line="240" w:lineRule="auto"/>
    </w:pPr>
    <w:rPr>
      <w:sz w:val="20"/>
      <w:szCs w:val="20"/>
    </w:rPr>
  </w:style>
  <w:style w:type="character" w:customStyle="1" w:styleId="MerknadstekstTegn">
    <w:name w:val="Merknadstekst Tegn"/>
    <w:basedOn w:val="Standardskriftforavsnitt"/>
    <w:link w:val="Merknadstekst"/>
    <w:uiPriority w:val="99"/>
    <w:rsid w:val="00893D2C"/>
    <w:rPr>
      <w:sz w:val="20"/>
      <w:szCs w:val="20"/>
    </w:rPr>
  </w:style>
  <w:style w:type="paragraph" w:styleId="Kommentaremne">
    <w:name w:val="annotation subject"/>
    <w:basedOn w:val="Merknadstekst"/>
    <w:next w:val="Merknadstekst"/>
    <w:link w:val="KommentaremneTegn"/>
    <w:uiPriority w:val="99"/>
    <w:semiHidden/>
    <w:unhideWhenUsed/>
    <w:rsid w:val="00893D2C"/>
    <w:rPr>
      <w:b/>
      <w:bCs/>
    </w:rPr>
  </w:style>
  <w:style w:type="character" w:customStyle="1" w:styleId="KommentaremneTegn">
    <w:name w:val="Kommentaremne Tegn"/>
    <w:basedOn w:val="MerknadstekstTegn"/>
    <w:link w:val="Kommentaremne"/>
    <w:uiPriority w:val="99"/>
    <w:semiHidden/>
    <w:rsid w:val="00893D2C"/>
    <w:rPr>
      <w:b/>
      <w:bCs/>
      <w:sz w:val="20"/>
      <w:szCs w:val="20"/>
    </w:rPr>
  </w:style>
  <w:style w:type="paragraph" w:styleId="Konvoluttadresse">
    <w:name w:val="envelope address"/>
    <w:basedOn w:val="Normal"/>
    <w:uiPriority w:val="99"/>
    <w:semiHidden/>
    <w:unhideWhenUsed/>
    <w:rsid w:val="00893D2C"/>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character" w:styleId="Linjenummer">
    <w:name w:val="line number"/>
    <w:basedOn w:val="Standardskriftforavsnitt"/>
    <w:uiPriority w:val="99"/>
    <w:semiHidden/>
    <w:unhideWhenUsed/>
    <w:rsid w:val="00893D2C"/>
  </w:style>
  <w:style w:type="paragraph" w:styleId="Liste">
    <w:name w:val="List"/>
    <w:basedOn w:val="Normal"/>
    <w:uiPriority w:val="99"/>
    <w:semiHidden/>
    <w:unhideWhenUsed/>
    <w:rsid w:val="00893D2C"/>
    <w:pPr>
      <w:ind w:left="283" w:hanging="283"/>
      <w:contextualSpacing/>
    </w:pPr>
  </w:style>
  <w:style w:type="paragraph" w:styleId="Liste-forts">
    <w:name w:val="List Continue"/>
    <w:basedOn w:val="Normal"/>
    <w:uiPriority w:val="99"/>
    <w:semiHidden/>
    <w:unhideWhenUsed/>
    <w:rsid w:val="00893D2C"/>
    <w:pPr>
      <w:spacing w:after="120"/>
      <w:ind w:left="283"/>
      <w:contextualSpacing/>
    </w:pPr>
  </w:style>
  <w:style w:type="paragraph" w:styleId="Liste-forts2">
    <w:name w:val="List Continue 2"/>
    <w:basedOn w:val="Normal"/>
    <w:uiPriority w:val="99"/>
    <w:semiHidden/>
    <w:unhideWhenUsed/>
    <w:rsid w:val="00893D2C"/>
    <w:pPr>
      <w:spacing w:after="120"/>
      <w:ind w:left="566"/>
      <w:contextualSpacing/>
    </w:pPr>
  </w:style>
  <w:style w:type="paragraph" w:styleId="Liste-forts3">
    <w:name w:val="List Continue 3"/>
    <w:basedOn w:val="Normal"/>
    <w:uiPriority w:val="99"/>
    <w:semiHidden/>
    <w:unhideWhenUsed/>
    <w:rsid w:val="00893D2C"/>
    <w:pPr>
      <w:spacing w:after="120"/>
      <w:ind w:left="849"/>
      <w:contextualSpacing/>
    </w:pPr>
  </w:style>
  <w:style w:type="paragraph" w:styleId="Liste-forts4">
    <w:name w:val="List Continue 4"/>
    <w:basedOn w:val="Normal"/>
    <w:uiPriority w:val="99"/>
    <w:semiHidden/>
    <w:unhideWhenUsed/>
    <w:rsid w:val="00893D2C"/>
    <w:pPr>
      <w:spacing w:after="120"/>
      <w:ind w:left="1132"/>
      <w:contextualSpacing/>
    </w:pPr>
  </w:style>
  <w:style w:type="paragraph" w:styleId="Liste-forts5">
    <w:name w:val="List Continue 5"/>
    <w:basedOn w:val="Normal"/>
    <w:uiPriority w:val="99"/>
    <w:semiHidden/>
    <w:unhideWhenUsed/>
    <w:rsid w:val="00893D2C"/>
    <w:pPr>
      <w:spacing w:after="120"/>
      <w:ind w:left="1415"/>
      <w:contextualSpacing/>
    </w:pPr>
  </w:style>
  <w:style w:type="paragraph" w:styleId="Liste2">
    <w:name w:val="List 2"/>
    <w:basedOn w:val="Normal"/>
    <w:uiPriority w:val="99"/>
    <w:semiHidden/>
    <w:unhideWhenUsed/>
    <w:rsid w:val="00893D2C"/>
    <w:pPr>
      <w:ind w:left="566" w:hanging="283"/>
      <w:contextualSpacing/>
    </w:pPr>
  </w:style>
  <w:style w:type="paragraph" w:styleId="Liste3">
    <w:name w:val="List 3"/>
    <w:basedOn w:val="Normal"/>
    <w:uiPriority w:val="99"/>
    <w:semiHidden/>
    <w:unhideWhenUsed/>
    <w:rsid w:val="00893D2C"/>
    <w:pPr>
      <w:ind w:left="849" w:hanging="283"/>
      <w:contextualSpacing/>
    </w:pPr>
  </w:style>
  <w:style w:type="paragraph" w:styleId="Liste4">
    <w:name w:val="List 4"/>
    <w:basedOn w:val="Normal"/>
    <w:uiPriority w:val="99"/>
    <w:semiHidden/>
    <w:unhideWhenUsed/>
    <w:rsid w:val="00893D2C"/>
    <w:pPr>
      <w:ind w:left="1132" w:hanging="283"/>
      <w:contextualSpacing/>
    </w:pPr>
  </w:style>
  <w:style w:type="paragraph" w:styleId="Liste5">
    <w:name w:val="List 5"/>
    <w:basedOn w:val="Normal"/>
    <w:uiPriority w:val="99"/>
    <w:semiHidden/>
    <w:unhideWhenUsed/>
    <w:rsid w:val="00893D2C"/>
    <w:pPr>
      <w:ind w:left="1415" w:hanging="283"/>
      <w:contextualSpacing/>
    </w:pPr>
  </w:style>
  <w:style w:type="paragraph" w:styleId="Listeavsnitt">
    <w:name w:val="List Paragraph"/>
    <w:basedOn w:val="Normal"/>
    <w:link w:val="ListeavsnittTegn"/>
    <w:uiPriority w:val="34"/>
    <w:qFormat/>
    <w:rsid w:val="00893D2C"/>
    <w:pPr>
      <w:ind w:left="720"/>
      <w:contextualSpacing/>
    </w:pPr>
  </w:style>
  <w:style w:type="table" w:styleId="Listetabell1lys">
    <w:name w:val="List Table 1 Light"/>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8886C" w:themeColor="text1" w:themeTint="99"/>
        </w:tcBorders>
      </w:tcPr>
    </w:tblStylePr>
    <w:tblStylePr w:type="lastRow">
      <w:rPr>
        <w:b/>
        <w:bCs/>
      </w:rPr>
      <w:tblPr/>
      <w:tcPr>
        <w:tcBorders>
          <w:top w:val="sing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1lysuthevingsfarge1">
    <w:name w:val="List Table 1 Light Accent 1"/>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6060D0" w:themeColor="accent1" w:themeTint="99"/>
        </w:tcBorders>
      </w:tcPr>
    </w:tblStylePr>
    <w:tblStylePr w:type="lastRow">
      <w:rPr>
        <w:b/>
        <w:bCs/>
      </w:rPr>
      <w:tblPr/>
      <w:tcPr>
        <w:tcBorders>
          <w:top w:val="sing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1lysuthevingsfarge2">
    <w:name w:val="List Table 1 Light Accent 2"/>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FD0A7" w:themeColor="accent2" w:themeTint="99"/>
        </w:tcBorders>
      </w:tcPr>
    </w:tblStylePr>
    <w:tblStylePr w:type="lastRow">
      <w:rPr>
        <w:b/>
        <w:bCs/>
      </w:rPr>
      <w:tblPr/>
      <w:tcPr>
        <w:tcBorders>
          <w:top w:val="sing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1lysuthevingsfarge3">
    <w:name w:val="List Table 1 Light Accent 3"/>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0C3CB" w:themeColor="accent3" w:themeTint="99"/>
        </w:tcBorders>
      </w:tcPr>
    </w:tblStylePr>
    <w:tblStylePr w:type="lastRow">
      <w:rPr>
        <w:b/>
        <w:bCs/>
      </w:rPr>
      <w:tblPr/>
      <w:tcPr>
        <w:tcBorders>
          <w:top w:val="sing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1lysuthevingsfarge4">
    <w:name w:val="List Table 1 Light Accent 4"/>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88886C" w:themeColor="accent4" w:themeTint="99"/>
        </w:tcBorders>
      </w:tcPr>
    </w:tblStylePr>
    <w:tblStylePr w:type="lastRow">
      <w:rPr>
        <w:b/>
        <w:bCs/>
      </w:rPr>
      <w:tblPr/>
      <w:tcPr>
        <w:tcBorders>
          <w:top w:val="sing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1lysuthevingsfarge5">
    <w:name w:val="List Table 1 Light Accent 5"/>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DF3EB" w:themeColor="accent5" w:themeTint="99"/>
        </w:tcBorders>
      </w:tcPr>
    </w:tblStylePr>
    <w:tblStylePr w:type="lastRow">
      <w:rPr>
        <w:b/>
        <w:bCs/>
      </w:rPr>
      <w:tblPr/>
      <w:tcPr>
        <w:tcBorders>
          <w:top w:val="sing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1lysuthevingsfarge6">
    <w:name w:val="List Table 1 Light Accent 6"/>
    <w:basedOn w:val="Vanligtabell"/>
    <w:uiPriority w:val="46"/>
    <w:rsid w:val="00893D2C"/>
    <w:pPr>
      <w:spacing w:after="0" w:line="240" w:lineRule="auto"/>
    </w:pPr>
    <w:tblPr>
      <w:tblStyleRowBandSize w:val="1"/>
      <w:tblStyleColBandSize w:val="1"/>
    </w:tblPr>
    <w:tblStylePr w:type="firstRow">
      <w:rPr>
        <w:b/>
        <w:bCs/>
      </w:rPr>
      <w:tblPr/>
      <w:tcPr>
        <w:tcBorders>
          <w:bottom w:val="single" w:sz="4" w:space="0" w:color="F7FAFA" w:themeColor="accent6" w:themeTint="99"/>
        </w:tcBorders>
      </w:tcPr>
    </w:tblStylePr>
    <w:tblStylePr w:type="lastRow">
      <w:rPr>
        <w:b/>
        <w:bCs/>
      </w:rPr>
      <w:tblPr/>
      <w:tcPr>
        <w:tcBorders>
          <w:top w:val="sing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2">
    <w:name w:val="List Table 2"/>
    <w:basedOn w:val="Vanligtabell"/>
    <w:uiPriority w:val="47"/>
    <w:rsid w:val="00893D2C"/>
    <w:pPr>
      <w:spacing w:after="0" w:line="240" w:lineRule="auto"/>
    </w:pPr>
    <w:tblPr>
      <w:tblStyleRowBandSize w:val="1"/>
      <w:tblStyleColBandSize w:val="1"/>
      <w:tblBorders>
        <w:top w:val="single" w:sz="4" w:space="0" w:color="88886C" w:themeColor="text1" w:themeTint="99"/>
        <w:bottom w:val="single" w:sz="4" w:space="0" w:color="88886C" w:themeColor="text1" w:themeTint="99"/>
        <w:insideH w:val="single" w:sz="4" w:space="0" w:color="88886C"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2uthevingsfarge1">
    <w:name w:val="List Table 2 Accent 1"/>
    <w:basedOn w:val="Vanligtabell"/>
    <w:uiPriority w:val="47"/>
    <w:rsid w:val="00893D2C"/>
    <w:pPr>
      <w:spacing w:after="0" w:line="240" w:lineRule="auto"/>
    </w:pPr>
    <w:tblPr>
      <w:tblStyleRowBandSize w:val="1"/>
      <w:tblStyleColBandSize w:val="1"/>
      <w:tblBorders>
        <w:top w:val="single" w:sz="4" w:space="0" w:color="6060D0" w:themeColor="accent1" w:themeTint="99"/>
        <w:bottom w:val="single" w:sz="4" w:space="0" w:color="6060D0" w:themeColor="accent1" w:themeTint="99"/>
        <w:insideH w:val="single" w:sz="4" w:space="0" w:color="6060D0"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2uthevingsfarge2">
    <w:name w:val="List Table 2 Accent 2"/>
    <w:basedOn w:val="Vanligtabell"/>
    <w:uiPriority w:val="47"/>
    <w:rsid w:val="00893D2C"/>
    <w:pPr>
      <w:spacing w:after="0" w:line="240" w:lineRule="auto"/>
    </w:pPr>
    <w:tblPr>
      <w:tblStyleRowBandSize w:val="1"/>
      <w:tblStyleColBandSize w:val="1"/>
      <w:tblBorders>
        <w:top w:val="single" w:sz="4" w:space="0" w:color="FFD0A7" w:themeColor="accent2" w:themeTint="99"/>
        <w:bottom w:val="single" w:sz="4" w:space="0" w:color="FFD0A7" w:themeColor="accent2" w:themeTint="99"/>
        <w:insideH w:val="single" w:sz="4" w:space="0" w:color="FFD0A7"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2uthevingsfarge3">
    <w:name w:val="List Table 2 Accent 3"/>
    <w:basedOn w:val="Vanligtabell"/>
    <w:uiPriority w:val="47"/>
    <w:rsid w:val="00893D2C"/>
    <w:pPr>
      <w:spacing w:after="0" w:line="240" w:lineRule="auto"/>
    </w:pPr>
    <w:tblPr>
      <w:tblStyleRowBandSize w:val="1"/>
      <w:tblStyleColBandSize w:val="1"/>
      <w:tblBorders>
        <w:top w:val="single" w:sz="4" w:space="0" w:color="80C3CB" w:themeColor="accent3" w:themeTint="99"/>
        <w:bottom w:val="single" w:sz="4" w:space="0" w:color="80C3CB" w:themeColor="accent3" w:themeTint="99"/>
        <w:insideH w:val="single" w:sz="4" w:space="0" w:color="80C3C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2uthevingsfarge4">
    <w:name w:val="List Table 2 Accent 4"/>
    <w:basedOn w:val="Vanligtabell"/>
    <w:uiPriority w:val="47"/>
    <w:rsid w:val="00893D2C"/>
    <w:pPr>
      <w:spacing w:after="0" w:line="240" w:lineRule="auto"/>
    </w:pPr>
    <w:tblPr>
      <w:tblStyleRowBandSize w:val="1"/>
      <w:tblStyleColBandSize w:val="1"/>
      <w:tblBorders>
        <w:top w:val="single" w:sz="4" w:space="0" w:color="88886C" w:themeColor="accent4" w:themeTint="99"/>
        <w:bottom w:val="single" w:sz="4" w:space="0" w:color="88886C" w:themeColor="accent4" w:themeTint="99"/>
        <w:insideH w:val="single" w:sz="4" w:space="0" w:color="88886C"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2uthevingsfarge5">
    <w:name w:val="List Table 2 Accent 5"/>
    <w:basedOn w:val="Vanligtabell"/>
    <w:uiPriority w:val="47"/>
    <w:rsid w:val="00893D2C"/>
    <w:pPr>
      <w:spacing w:after="0" w:line="240" w:lineRule="auto"/>
    </w:pPr>
    <w:tblPr>
      <w:tblStyleRowBandSize w:val="1"/>
      <w:tblStyleColBandSize w:val="1"/>
      <w:tblBorders>
        <w:top w:val="single" w:sz="4" w:space="0" w:color="FDF3EB" w:themeColor="accent5" w:themeTint="99"/>
        <w:bottom w:val="single" w:sz="4" w:space="0" w:color="FDF3EB" w:themeColor="accent5" w:themeTint="99"/>
        <w:insideH w:val="single" w:sz="4" w:space="0" w:color="FDF3E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2uthevingsfarge6">
    <w:name w:val="List Table 2 Accent 6"/>
    <w:basedOn w:val="Vanligtabell"/>
    <w:uiPriority w:val="47"/>
    <w:rsid w:val="00893D2C"/>
    <w:pPr>
      <w:spacing w:after="0" w:line="240" w:lineRule="auto"/>
    </w:pPr>
    <w:tblPr>
      <w:tblStyleRowBandSize w:val="1"/>
      <w:tblStyleColBandSize w:val="1"/>
      <w:tblBorders>
        <w:top w:val="single" w:sz="4" w:space="0" w:color="F7FAFA" w:themeColor="accent6" w:themeTint="99"/>
        <w:bottom w:val="single" w:sz="4" w:space="0" w:color="F7FAFA" w:themeColor="accent6" w:themeTint="99"/>
        <w:insideH w:val="single" w:sz="4" w:space="0" w:color="F7FAFA"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3">
    <w:name w:val="List Table 3"/>
    <w:basedOn w:val="Vanligtabell"/>
    <w:uiPriority w:val="48"/>
    <w:rsid w:val="00893D2C"/>
    <w:pPr>
      <w:spacing w:after="0" w:line="240" w:lineRule="auto"/>
    </w:pPr>
    <w:tblPr>
      <w:tblStyleRowBandSize w:val="1"/>
      <w:tblStyleColBandSize w:val="1"/>
      <w:tblBorders>
        <w:top w:val="single" w:sz="4" w:space="0" w:color="26261E" w:themeColor="text1"/>
        <w:left w:val="single" w:sz="4" w:space="0" w:color="26261E" w:themeColor="text1"/>
        <w:bottom w:val="single" w:sz="4" w:space="0" w:color="26261E" w:themeColor="text1"/>
        <w:right w:val="single" w:sz="4" w:space="0" w:color="26261E" w:themeColor="text1"/>
      </w:tblBorders>
    </w:tblPr>
    <w:tblStylePr w:type="firstRow">
      <w:rPr>
        <w:b/>
        <w:bCs/>
        <w:color w:val="FFFFFF" w:themeColor="background1"/>
      </w:rPr>
      <w:tblPr/>
      <w:tcPr>
        <w:shd w:val="clear" w:color="auto" w:fill="26261E" w:themeFill="text1"/>
      </w:tcPr>
    </w:tblStylePr>
    <w:tblStylePr w:type="lastRow">
      <w:rPr>
        <w:b/>
        <w:bCs/>
      </w:rPr>
      <w:tblPr/>
      <w:tcPr>
        <w:tcBorders>
          <w:top w:val="double" w:sz="4" w:space="0" w:color="26261E"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1E" w:themeColor="text1"/>
          <w:right w:val="single" w:sz="4" w:space="0" w:color="26261E" w:themeColor="text1"/>
        </w:tcBorders>
      </w:tcPr>
    </w:tblStylePr>
    <w:tblStylePr w:type="band1Horz">
      <w:tblPr/>
      <w:tcPr>
        <w:tcBorders>
          <w:top w:val="single" w:sz="4" w:space="0" w:color="26261E" w:themeColor="text1"/>
          <w:bottom w:val="single" w:sz="4" w:space="0" w:color="26261E"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1E" w:themeColor="text1"/>
          <w:left w:val="nil"/>
        </w:tcBorders>
      </w:tcPr>
    </w:tblStylePr>
    <w:tblStylePr w:type="swCell">
      <w:tblPr/>
      <w:tcPr>
        <w:tcBorders>
          <w:top w:val="double" w:sz="4" w:space="0" w:color="26261E" w:themeColor="text1"/>
          <w:right w:val="nil"/>
        </w:tcBorders>
      </w:tcPr>
    </w:tblStylePr>
  </w:style>
  <w:style w:type="table" w:styleId="Listetabell3uthevingsfarge1">
    <w:name w:val="List Table 3 Accent 1"/>
    <w:basedOn w:val="Vanligtabell"/>
    <w:uiPriority w:val="48"/>
    <w:rsid w:val="00893D2C"/>
    <w:pPr>
      <w:spacing w:after="0" w:line="240" w:lineRule="auto"/>
    </w:pPr>
    <w:tblPr>
      <w:tblStyleRowBandSize w:val="1"/>
      <w:tblStyleColBandSize w:val="1"/>
      <w:tblBorders>
        <w:top w:val="single" w:sz="4" w:space="0" w:color="262682" w:themeColor="accent1"/>
        <w:left w:val="single" w:sz="4" w:space="0" w:color="262682" w:themeColor="accent1"/>
        <w:bottom w:val="single" w:sz="4" w:space="0" w:color="262682" w:themeColor="accent1"/>
        <w:right w:val="single" w:sz="4" w:space="0" w:color="262682" w:themeColor="accent1"/>
      </w:tblBorders>
    </w:tblPr>
    <w:tblStylePr w:type="firstRow">
      <w:rPr>
        <w:b/>
        <w:bCs/>
        <w:color w:val="FFFFFF" w:themeColor="background1"/>
      </w:rPr>
      <w:tblPr/>
      <w:tcPr>
        <w:shd w:val="clear" w:color="auto" w:fill="262682" w:themeFill="accent1"/>
      </w:tcPr>
    </w:tblStylePr>
    <w:tblStylePr w:type="lastRow">
      <w:rPr>
        <w:b/>
        <w:bCs/>
      </w:rPr>
      <w:tblPr/>
      <w:tcPr>
        <w:tcBorders>
          <w:top w:val="double" w:sz="4" w:space="0" w:color="2626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82" w:themeColor="accent1"/>
          <w:right w:val="single" w:sz="4" w:space="0" w:color="262682" w:themeColor="accent1"/>
        </w:tcBorders>
      </w:tcPr>
    </w:tblStylePr>
    <w:tblStylePr w:type="band1Horz">
      <w:tblPr/>
      <w:tcPr>
        <w:tcBorders>
          <w:top w:val="single" w:sz="4" w:space="0" w:color="262682" w:themeColor="accent1"/>
          <w:bottom w:val="single" w:sz="4" w:space="0" w:color="2626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82" w:themeColor="accent1"/>
          <w:left w:val="nil"/>
        </w:tcBorders>
      </w:tcPr>
    </w:tblStylePr>
    <w:tblStylePr w:type="swCell">
      <w:tblPr/>
      <w:tcPr>
        <w:tcBorders>
          <w:top w:val="double" w:sz="4" w:space="0" w:color="262682" w:themeColor="accent1"/>
          <w:right w:val="nil"/>
        </w:tcBorders>
      </w:tcPr>
    </w:tblStylePr>
  </w:style>
  <w:style w:type="table" w:styleId="Listetabell3uthevingsfarge2">
    <w:name w:val="List Table 3 Accent 2"/>
    <w:basedOn w:val="Vanligtabell"/>
    <w:uiPriority w:val="48"/>
    <w:rsid w:val="00893D2C"/>
    <w:pPr>
      <w:spacing w:after="0" w:line="240" w:lineRule="auto"/>
    </w:pPr>
    <w:tblPr>
      <w:tblStyleRowBandSize w:val="1"/>
      <w:tblStyleColBandSize w:val="1"/>
      <w:tblBorders>
        <w:top w:val="single" w:sz="4" w:space="0" w:color="FFB26D" w:themeColor="accent2"/>
        <w:left w:val="single" w:sz="4" w:space="0" w:color="FFB26D" w:themeColor="accent2"/>
        <w:bottom w:val="single" w:sz="4" w:space="0" w:color="FFB26D" w:themeColor="accent2"/>
        <w:right w:val="single" w:sz="4" w:space="0" w:color="FFB26D" w:themeColor="accent2"/>
      </w:tblBorders>
    </w:tblPr>
    <w:tblStylePr w:type="firstRow">
      <w:rPr>
        <w:b/>
        <w:bCs/>
        <w:color w:val="FFFFFF" w:themeColor="background1"/>
      </w:rPr>
      <w:tblPr/>
      <w:tcPr>
        <w:shd w:val="clear" w:color="auto" w:fill="FFB26D" w:themeFill="accent2"/>
      </w:tcPr>
    </w:tblStylePr>
    <w:tblStylePr w:type="lastRow">
      <w:rPr>
        <w:b/>
        <w:bCs/>
      </w:rPr>
      <w:tblPr/>
      <w:tcPr>
        <w:tcBorders>
          <w:top w:val="double" w:sz="4" w:space="0" w:color="FFB26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B26D" w:themeColor="accent2"/>
          <w:right w:val="single" w:sz="4" w:space="0" w:color="FFB26D" w:themeColor="accent2"/>
        </w:tcBorders>
      </w:tcPr>
    </w:tblStylePr>
    <w:tblStylePr w:type="band1Horz">
      <w:tblPr/>
      <w:tcPr>
        <w:tcBorders>
          <w:top w:val="single" w:sz="4" w:space="0" w:color="FFB26D" w:themeColor="accent2"/>
          <w:bottom w:val="single" w:sz="4" w:space="0" w:color="FFB26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B26D" w:themeColor="accent2"/>
          <w:left w:val="nil"/>
        </w:tcBorders>
      </w:tcPr>
    </w:tblStylePr>
    <w:tblStylePr w:type="swCell">
      <w:tblPr/>
      <w:tcPr>
        <w:tcBorders>
          <w:top w:val="double" w:sz="4" w:space="0" w:color="FFB26D" w:themeColor="accent2"/>
          <w:right w:val="nil"/>
        </w:tcBorders>
      </w:tcPr>
    </w:tblStylePr>
  </w:style>
  <w:style w:type="table" w:styleId="Listetabell3uthevingsfarge3">
    <w:name w:val="List Table 3 Accent 3"/>
    <w:basedOn w:val="Vanligtabell"/>
    <w:uiPriority w:val="48"/>
    <w:rsid w:val="00893D2C"/>
    <w:pPr>
      <w:spacing w:after="0" w:line="240" w:lineRule="auto"/>
    </w:pPr>
    <w:tblPr>
      <w:tblStyleRowBandSize w:val="1"/>
      <w:tblStyleColBandSize w:val="1"/>
      <w:tblBorders>
        <w:top w:val="single" w:sz="4" w:space="0" w:color="3E8F98" w:themeColor="accent3"/>
        <w:left w:val="single" w:sz="4" w:space="0" w:color="3E8F98" w:themeColor="accent3"/>
        <w:bottom w:val="single" w:sz="4" w:space="0" w:color="3E8F98" w:themeColor="accent3"/>
        <w:right w:val="single" w:sz="4" w:space="0" w:color="3E8F98" w:themeColor="accent3"/>
      </w:tblBorders>
    </w:tblPr>
    <w:tblStylePr w:type="firstRow">
      <w:rPr>
        <w:b/>
        <w:bCs/>
        <w:color w:val="FFFFFF" w:themeColor="background1"/>
      </w:rPr>
      <w:tblPr/>
      <w:tcPr>
        <w:shd w:val="clear" w:color="auto" w:fill="3E8F98" w:themeFill="accent3"/>
      </w:tcPr>
    </w:tblStylePr>
    <w:tblStylePr w:type="lastRow">
      <w:rPr>
        <w:b/>
        <w:bCs/>
      </w:rPr>
      <w:tblPr/>
      <w:tcPr>
        <w:tcBorders>
          <w:top w:val="double" w:sz="4" w:space="0" w:color="3E8F98"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E8F98" w:themeColor="accent3"/>
          <w:right w:val="single" w:sz="4" w:space="0" w:color="3E8F98" w:themeColor="accent3"/>
        </w:tcBorders>
      </w:tcPr>
    </w:tblStylePr>
    <w:tblStylePr w:type="band1Horz">
      <w:tblPr/>
      <w:tcPr>
        <w:tcBorders>
          <w:top w:val="single" w:sz="4" w:space="0" w:color="3E8F98" w:themeColor="accent3"/>
          <w:bottom w:val="single" w:sz="4" w:space="0" w:color="3E8F98"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E8F98" w:themeColor="accent3"/>
          <w:left w:val="nil"/>
        </w:tcBorders>
      </w:tcPr>
    </w:tblStylePr>
    <w:tblStylePr w:type="swCell">
      <w:tblPr/>
      <w:tcPr>
        <w:tcBorders>
          <w:top w:val="double" w:sz="4" w:space="0" w:color="3E8F98" w:themeColor="accent3"/>
          <w:right w:val="nil"/>
        </w:tcBorders>
      </w:tcPr>
    </w:tblStylePr>
  </w:style>
  <w:style w:type="table" w:styleId="Listetabell3uthevingsfarge4">
    <w:name w:val="List Table 3 Accent 4"/>
    <w:basedOn w:val="Vanligtabell"/>
    <w:uiPriority w:val="48"/>
    <w:rsid w:val="00893D2C"/>
    <w:pPr>
      <w:spacing w:after="0" w:line="240" w:lineRule="auto"/>
    </w:pPr>
    <w:tblPr>
      <w:tblStyleRowBandSize w:val="1"/>
      <w:tblStyleColBandSize w:val="1"/>
      <w:tblBorders>
        <w:top w:val="single" w:sz="4" w:space="0" w:color="26261E" w:themeColor="accent4"/>
        <w:left w:val="single" w:sz="4" w:space="0" w:color="26261E" w:themeColor="accent4"/>
        <w:bottom w:val="single" w:sz="4" w:space="0" w:color="26261E" w:themeColor="accent4"/>
        <w:right w:val="single" w:sz="4" w:space="0" w:color="26261E" w:themeColor="accent4"/>
      </w:tblBorders>
    </w:tblPr>
    <w:tblStylePr w:type="firstRow">
      <w:rPr>
        <w:b/>
        <w:bCs/>
        <w:color w:val="FFFFFF" w:themeColor="background1"/>
      </w:rPr>
      <w:tblPr/>
      <w:tcPr>
        <w:shd w:val="clear" w:color="auto" w:fill="26261E" w:themeFill="accent4"/>
      </w:tcPr>
    </w:tblStylePr>
    <w:tblStylePr w:type="lastRow">
      <w:rPr>
        <w:b/>
        <w:bCs/>
      </w:rPr>
      <w:tblPr/>
      <w:tcPr>
        <w:tcBorders>
          <w:top w:val="double" w:sz="4" w:space="0" w:color="26261E"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6261E" w:themeColor="accent4"/>
          <w:right w:val="single" w:sz="4" w:space="0" w:color="26261E" w:themeColor="accent4"/>
        </w:tcBorders>
      </w:tcPr>
    </w:tblStylePr>
    <w:tblStylePr w:type="band1Horz">
      <w:tblPr/>
      <w:tcPr>
        <w:tcBorders>
          <w:top w:val="single" w:sz="4" w:space="0" w:color="26261E" w:themeColor="accent4"/>
          <w:bottom w:val="single" w:sz="4" w:space="0" w:color="26261E"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6261E" w:themeColor="accent4"/>
          <w:left w:val="nil"/>
        </w:tcBorders>
      </w:tcPr>
    </w:tblStylePr>
    <w:tblStylePr w:type="swCell">
      <w:tblPr/>
      <w:tcPr>
        <w:tcBorders>
          <w:top w:val="double" w:sz="4" w:space="0" w:color="26261E" w:themeColor="accent4"/>
          <w:right w:val="nil"/>
        </w:tcBorders>
      </w:tcPr>
    </w:tblStylePr>
  </w:style>
  <w:style w:type="table" w:styleId="Listetabell3uthevingsfarge5">
    <w:name w:val="List Table 3 Accent 5"/>
    <w:basedOn w:val="Vanligtabell"/>
    <w:uiPriority w:val="48"/>
    <w:rsid w:val="00893D2C"/>
    <w:pPr>
      <w:spacing w:after="0" w:line="240" w:lineRule="auto"/>
    </w:pPr>
    <w:tblPr>
      <w:tblStyleRowBandSize w:val="1"/>
      <w:tblStyleColBandSize w:val="1"/>
      <w:tblBorders>
        <w:top w:val="single" w:sz="4" w:space="0" w:color="FCECDE" w:themeColor="accent5"/>
        <w:left w:val="single" w:sz="4" w:space="0" w:color="FCECDE" w:themeColor="accent5"/>
        <w:bottom w:val="single" w:sz="4" w:space="0" w:color="FCECDE" w:themeColor="accent5"/>
        <w:right w:val="single" w:sz="4" w:space="0" w:color="FCECDE" w:themeColor="accent5"/>
      </w:tblBorders>
    </w:tblPr>
    <w:tblStylePr w:type="firstRow">
      <w:rPr>
        <w:b/>
        <w:bCs/>
        <w:color w:val="FFFFFF" w:themeColor="background1"/>
      </w:rPr>
      <w:tblPr/>
      <w:tcPr>
        <w:shd w:val="clear" w:color="auto" w:fill="FCECDE" w:themeFill="accent5"/>
      </w:tcPr>
    </w:tblStylePr>
    <w:tblStylePr w:type="lastRow">
      <w:rPr>
        <w:b/>
        <w:bCs/>
      </w:rPr>
      <w:tblPr/>
      <w:tcPr>
        <w:tcBorders>
          <w:top w:val="double" w:sz="4" w:space="0" w:color="FCECDE"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CECDE" w:themeColor="accent5"/>
          <w:right w:val="single" w:sz="4" w:space="0" w:color="FCECDE" w:themeColor="accent5"/>
        </w:tcBorders>
      </w:tcPr>
    </w:tblStylePr>
    <w:tblStylePr w:type="band1Horz">
      <w:tblPr/>
      <w:tcPr>
        <w:tcBorders>
          <w:top w:val="single" w:sz="4" w:space="0" w:color="FCECDE" w:themeColor="accent5"/>
          <w:bottom w:val="single" w:sz="4" w:space="0" w:color="FCECDE"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CECDE" w:themeColor="accent5"/>
          <w:left w:val="nil"/>
        </w:tcBorders>
      </w:tcPr>
    </w:tblStylePr>
    <w:tblStylePr w:type="swCell">
      <w:tblPr/>
      <w:tcPr>
        <w:tcBorders>
          <w:top w:val="double" w:sz="4" w:space="0" w:color="FCECDE" w:themeColor="accent5"/>
          <w:right w:val="nil"/>
        </w:tcBorders>
      </w:tcPr>
    </w:tblStylePr>
  </w:style>
  <w:style w:type="table" w:styleId="Listetabell3uthevingsfarge6">
    <w:name w:val="List Table 3 Accent 6"/>
    <w:basedOn w:val="Vanligtabell"/>
    <w:uiPriority w:val="48"/>
    <w:rsid w:val="00893D2C"/>
    <w:pPr>
      <w:spacing w:after="0" w:line="240" w:lineRule="auto"/>
    </w:pPr>
    <w:tblPr>
      <w:tblStyleRowBandSize w:val="1"/>
      <w:tblStyleColBandSize w:val="1"/>
      <w:tblBorders>
        <w:top w:val="single" w:sz="4" w:space="0" w:color="F2F8F8" w:themeColor="accent6"/>
        <w:left w:val="single" w:sz="4" w:space="0" w:color="F2F8F8" w:themeColor="accent6"/>
        <w:bottom w:val="single" w:sz="4" w:space="0" w:color="F2F8F8" w:themeColor="accent6"/>
        <w:right w:val="single" w:sz="4" w:space="0" w:color="F2F8F8" w:themeColor="accent6"/>
      </w:tblBorders>
    </w:tblPr>
    <w:tblStylePr w:type="firstRow">
      <w:rPr>
        <w:b/>
        <w:bCs/>
        <w:color w:val="FFFFFF" w:themeColor="background1"/>
      </w:rPr>
      <w:tblPr/>
      <w:tcPr>
        <w:shd w:val="clear" w:color="auto" w:fill="F2F8F8" w:themeFill="accent6"/>
      </w:tcPr>
    </w:tblStylePr>
    <w:tblStylePr w:type="lastRow">
      <w:rPr>
        <w:b/>
        <w:bCs/>
      </w:rPr>
      <w:tblPr/>
      <w:tcPr>
        <w:tcBorders>
          <w:top w:val="double" w:sz="4" w:space="0" w:color="F2F8F8"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2F8F8" w:themeColor="accent6"/>
          <w:right w:val="single" w:sz="4" w:space="0" w:color="F2F8F8" w:themeColor="accent6"/>
        </w:tcBorders>
      </w:tcPr>
    </w:tblStylePr>
    <w:tblStylePr w:type="band1Horz">
      <w:tblPr/>
      <w:tcPr>
        <w:tcBorders>
          <w:top w:val="single" w:sz="4" w:space="0" w:color="F2F8F8" w:themeColor="accent6"/>
          <w:bottom w:val="single" w:sz="4" w:space="0" w:color="F2F8F8"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2F8F8" w:themeColor="accent6"/>
          <w:left w:val="nil"/>
        </w:tcBorders>
      </w:tcPr>
    </w:tblStylePr>
    <w:tblStylePr w:type="swCell">
      <w:tblPr/>
      <w:tcPr>
        <w:tcBorders>
          <w:top w:val="double" w:sz="4" w:space="0" w:color="F2F8F8" w:themeColor="accent6"/>
          <w:right w:val="nil"/>
        </w:tcBorders>
      </w:tcPr>
    </w:tblStylePr>
  </w:style>
  <w:style w:type="table" w:styleId="Listetabell4">
    <w:name w:val="List Table 4"/>
    <w:basedOn w:val="Vanligtabell"/>
    <w:uiPriority w:val="49"/>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tblBorders>
    </w:tblPr>
    <w:tblStylePr w:type="firstRow">
      <w:rPr>
        <w:b/>
        <w:bCs/>
        <w:color w:val="FFFFFF" w:themeColor="background1"/>
      </w:rPr>
      <w:tblPr/>
      <w:tcPr>
        <w:tcBorders>
          <w:top w:val="single" w:sz="4" w:space="0" w:color="26261E" w:themeColor="text1"/>
          <w:left w:val="single" w:sz="4" w:space="0" w:color="26261E" w:themeColor="text1"/>
          <w:bottom w:val="single" w:sz="4" w:space="0" w:color="26261E" w:themeColor="text1"/>
          <w:right w:val="single" w:sz="4" w:space="0" w:color="26261E" w:themeColor="text1"/>
          <w:insideH w:val="nil"/>
        </w:tcBorders>
        <w:shd w:val="clear" w:color="auto" w:fill="26261E" w:themeFill="text1"/>
      </w:tcPr>
    </w:tblStylePr>
    <w:tblStylePr w:type="lastRow">
      <w:rPr>
        <w:b/>
        <w:bCs/>
      </w:rPr>
      <w:tblPr/>
      <w:tcPr>
        <w:tcBorders>
          <w:top w:val="doub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4uthevingsfarge1">
    <w:name w:val="List Table 4 Accent 1"/>
    <w:basedOn w:val="Vanligtabell"/>
    <w:uiPriority w:val="49"/>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tblBorders>
    </w:tblPr>
    <w:tblStylePr w:type="firstRow">
      <w:rPr>
        <w:b/>
        <w:bCs/>
        <w:color w:val="FFFFFF" w:themeColor="background1"/>
      </w:rPr>
      <w:tblPr/>
      <w:tcPr>
        <w:tcBorders>
          <w:top w:val="single" w:sz="4" w:space="0" w:color="262682" w:themeColor="accent1"/>
          <w:left w:val="single" w:sz="4" w:space="0" w:color="262682" w:themeColor="accent1"/>
          <w:bottom w:val="single" w:sz="4" w:space="0" w:color="262682" w:themeColor="accent1"/>
          <w:right w:val="single" w:sz="4" w:space="0" w:color="262682" w:themeColor="accent1"/>
          <w:insideH w:val="nil"/>
        </w:tcBorders>
        <w:shd w:val="clear" w:color="auto" w:fill="262682" w:themeFill="accent1"/>
      </w:tcPr>
    </w:tblStylePr>
    <w:tblStylePr w:type="lastRow">
      <w:rPr>
        <w:b/>
        <w:bCs/>
      </w:rPr>
      <w:tblPr/>
      <w:tcPr>
        <w:tcBorders>
          <w:top w:val="doub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4uthevingsfarge2">
    <w:name w:val="List Table 4 Accent 2"/>
    <w:basedOn w:val="Vanligtabell"/>
    <w:uiPriority w:val="49"/>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tblBorders>
    </w:tblPr>
    <w:tblStylePr w:type="firstRow">
      <w:rPr>
        <w:b/>
        <w:bCs/>
        <w:color w:val="FFFFFF" w:themeColor="background1"/>
      </w:rPr>
      <w:tblPr/>
      <w:tcPr>
        <w:tcBorders>
          <w:top w:val="single" w:sz="4" w:space="0" w:color="FFB26D" w:themeColor="accent2"/>
          <w:left w:val="single" w:sz="4" w:space="0" w:color="FFB26D" w:themeColor="accent2"/>
          <w:bottom w:val="single" w:sz="4" w:space="0" w:color="FFB26D" w:themeColor="accent2"/>
          <w:right w:val="single" w:sz="4" w:space="0" w:color="FFB26D" w:themeColor="accent2"/>
          <w:insideH w:val="nil"/>
        </w:tcBorders>
        <w:shd w:val="clear" w:color="auto" w:fill="FFB26D" w:themeFill="accent2"/>
      </w:tcPr>
    </w:tblStylePr>
    <w:tblStylePr w:type="lastRow">
      <w:rPr>
        <w:b/>
        <w:bCs/>
      </w:rPr>
      <w:tblPr/>
      <w:tcPr>
        <w:tcBorders>
          <w:top w:val="doub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4uthevingsfarge3">
    <w:name w:val="List Table 4 Accent 3"/>
    <w:basedOn w:val="Vanligtabell"/>
    <w:uiPriority w:val="49"/>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tblBorders>
    </w:tblPr>
    <w:tblStylePr w:type="firstRow">
      <w:rPr>
        <w:b/>
        <w:bCs/>
        <w:color w:val="FFFFFF" w:themeColor="background1"/>
      </w:rPr>
      <w:tblPr/>
      <w:tcPr>
        <w:tcBorders>
          <w:top w:val="single" w:sz="4" w:space="0" w:color="3E8F98" w:themeColor="accent3"/>
          <w:left w:val="single" w:sz="4" w:space="0" w:color="3E8F98" w:themeColor="accent3"/>
          <w:bottom w:val="single" w:sz="4" w:space="0" w:color="3E8F98" w:themeColor="accent3"/>
          <w:right w:val="single" w:sz="4" w:space="0" w:color="3E8F98" w:themeColor="accent3"/>
          <w:insideH w:val="nil"/>
        </w:tcBorders>
        <w:shd w:val="clear" w:color="auto" w:fill="3E8F98" w:themeFill="accent3"/>
      </w:tcPr>
    </w:tblStylePr>
    <w:tblStylePr w:type="lastRow">
      <w:rPr>
        <w:b/>
        <w:bCs/>
      </w:rPr>
      <w:tblPr/>
      <w:tcPr>
        <w:tcBorders>
          <w:top w:val="doub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4uthevingsfarge4">
    <w:name w:val="List Table 4 Accent 4"/>
    <w:basedOn w:val="Vanligtabell"/>
    <w:uiPriority w:val="49"/>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tblBorders>
    </w:tblPr>
    <w:tblStylePr w:type="firstRow">
      <w:rPr>
        <w:b/>
        <w:bCs/>
        <w:color w:val="FFFFFF" w:themeColor="background1"/>
      </w:rPr>
      <w:tblPr/>
      <w:tcPr>
        <w:tcBorders>
          <w:top w:val="single" w:sz="4" w:space="0" w:color="26261E" w:themeColor="accent4"/>
          <w:left w:val="single" w:sz="4" w:space="0" w:color="26261E" w:themeColor="accent4"/>
          <w:bottom w:val="single" w:sz="4" w:space="0" w:color="26261E" w:themeColor="accent4"/>
          <w:right w:val="single" w:sz="4" w:space="0" w:color="26261E" w:themeColor="accent4"/>
          <w:insideH w:val="nil"/>
        </w:tcBorders>
        <w:shd w:val="clear" w:color="auto" w:fill="26261E" w:themeFill="accent4"/>
      </w:tcPr>
    </w:tblStylePr>
    <w:tblStylePr w:type="lastRow">
      <w:rPr>
        <w:b/>
        <w:bCs/>
      </w:rPr>
      <w:tblPr/>
      <w:tcPr>
        <w:tcBorders>
          <w:top w:val="doub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4uthevingsfarge5">
    <w:name w:val="List Table 4 Accent 5"/>
    <w:basedOn w:val="Vanligtabell"/>
    <w:uiPriority w:val="49"/>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tblBorders>
    </w:tblPr>
    <w:tblStylePr w:type="firstRow">
      <w:rPr>
        <w:b/>
        <w:bCs/>
        <w:color w:val="FFFFFF" w:themeColor="background1"/>
      </w:rPr>
      <w:tblPr/>
      <w:tcPr>
        <w:tcBorders>
          <w:top w:val="single" w:sz="4" w:space="0" w:color="FCECDE" w:themeColor="accent5"/>
          <w:left w:val="single" w:sz="4" w:space="0" w:color="FCECDE" w:themeColor="accent5"/>
          <w:bottom w:val="single" w:sz="4" w:space="0" w:color="FCECDE" w:themeColor="accent5"/>
          <w:right w:val="single" w:sz="4" w:space="0" w:color="FCECDE" w:themeColor="accent5"/>
          <w:insideH w:val="nil"/>
        </w:tcBorders>
        <w:shd w:val="clear" w:color="auto" w:fill="FCECDE" w:themeFill="accent5"/>
      </w:tcPr>
    </w:tblStylePr>
    <w:tblStylePr w:type="lastRow">
      <w:rPr>
        <w:b/>
        <w:bCs/>
      </w:rPr>
      <w:tblPr/>
      <w:tcPr>
        <w:tcBorders>
          <w:top w:val="doub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4uthevingsfarge6">
    <w:name w:val="List Table 4 Accent 6"/>
    <w:basedOn w:val="Vanligtabell"/>
    <w:uiPriority w:val="49"/>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tblBorders>
    </w:tblPr>
    <w:tblStylePr w:type="firstRow">
      <w:rPr>
        <w:b/>
        <w:bCs/>
        <w:color w:val="FFFFFF" w:themeColor="background1"/>
      </w:rPr>
      <w:tblPr/>
      <w:tcPr>
        <w:tcBorders>
          <w:top w:val="single" w:sz="4" w:space="0" w:color="F2F8F8" w:themeColor="accent6"/>
          <w:left w:val="single" w:sz="4" w:space="0" w:color="F2F8F8" w:themeColor="accent6"/>
          <w:bottom w:val="single" w:sz="4" w:space="0" w:color="F2F8F8" w:themeColor="accent6"/>
          <w:right w:val="single" w:sz="4" w:space="0" w:color="F2F8F8" w:themeColor="accent6"/>
          <w:insideH w:val="nil"/>
        </w:tcBorders>
        <w:shd w:val="clear" w:color="auto" w:fill="F2F8F8" w:themeFill="accent6"/>
      </w:tcPr>
    </w:tblStylePr>
    <w:tblStylePr w:type="lastRow">
      <w:rPr>
        <w:b/>
        <w:bCs/>
      </w:rPr>
      <w:tblPr/>
      <w:tcPr>
        <w:tcBorders>
          <w:top w:val="doub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5mrk">
    <w:name w:val="List Table 5 Dark"/>
    <w:basedOn w:val="Vanligtabell"/>
    <w:uiPriority w:val="50"/>
    <w:rsid w:val="00893D2C"/>
    <w:pPr>
      <w:spacing w:after="0" w:line="240" w:lineRule="auto"/>
    </w:pPr>
    <w:rPr>
      <w:color w:val="FFFFFF" w:themeColor="background1"/>
    </w:rPr>
    <w:tblPr>
      <w:tblStyleRowBandSize w:val="1"/>
      <w:tblStyleColBandSize w:val="1"/>
      <w:tblBorders>
        <w:top w:val="single" w:sz="24" w:space="0" w:color="26261E" w:themeColor="text1"/>
        <w:left w:val="single" w:sz="24" w:space="0" w:color="26261E" w:themeColor="text1"/>
        <w:bottom w:val="single" w:sz="24" w:space="0" w:color="26261E" w:themeColor="text1"/>
        <w:right w:val="single" w:sz="24" w:space="0" w:color="26261E" w:themeColor="text1"/>
      </w:tblBorders>
    </w:tblPr>
    <w:tcPr>
      <w:shd w:val="clear" w:color="auto" w:fill="26261E"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1">
    <w:name w:val="List Table 5 Dark Accent 1"/>
    <w:basedOn w:val="Vanligtabell"/>
    <w:uiPriority w:val="50"/>
    <w:rsid w:val="00893D2C"/>
    <w:pPr>
      <w:spacing w:after="0" w:line="240" w:lineRule="auto"/>
    </w:pPr>
    <w:rPr>
      <w:color w:val="FFFFFF" w:themeColor="background1"/>
    </w:rPr>
    <w:tblPr>
      <w:tblStyleRowBandSize w:val="1"/>
      <w:tblStyleColBandSize w:val="1"/>
      <w:tblBorders>
        <w:top w:val="single" w:sz="24" w:space="0" w:color="262682" w:themeColor="accent1"/>
        <w:left w:val="single" w:sz="24" w:space="0" w:color="262682" w:themeColor="accent1"/>
        <w:bottom w:val="single" w:sz="24" w:space="0" w:color="262682" w:themeColor="accent1"/>
        <w:right w:val="single" w:sz="24" w:space="0" w:color="262682" w:themeColor="accent1"/>
      </w:tblBorders>
    </w:tblPr>
    <w:tcPr>
      <w:shd w:val="clear" w:color="auto" w:fill="2626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2">
    <w:name w:val="List Table 5 Dark Accent 2"/>
    <w:basedOn w:val="Vanligtabell"/>
    <w:uiPriority w:val="50"/>
    <w:rsid w:val="00893D2C"/>
    <w:pPr>
      <w:spacing w:after="0" w:line="240" w:lineRule="auto"/>
    </w:pPr>
    <w:rPr>
      <w:color w:val="FFFFFF" w:themeColor="background1"/>
    </w:rPr>
    <w:tblPr>
      <w:tblStyleRowBandSize w:val="1"/>
      <w:tblStyleColBandSize w:val="1"/>
      <w:tblBorders>
        <w:top w:val="single" w:sz="24" w:space="0" w:color="FFB26D" w:themeColor="accent2"/>
        <w:left w:val="single" w:sz="24" w:space="0" w:color="FFB26D" w:themeColor="accent2"/>
        <w:bottom w:val="single" w:sz="24" w:space="0" w:color="FFB26D" w:themeColor="accent2"/>
        <w:right w:val="single" w:sz="24" w:space="0" w:color="FFB26D" w:themeColor="accent2"/>
      </w:tblBorders>
    </w:tblPr>
    <w:tcPr>
      <w:shd w:val="clear" w:color="auto" w:fill="FFB26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3">
    <w:name w:val="List Table 5 Dark Accent 3"/>
    <w:basedOn w:val="Vanligtabell"/>
    <w:uiPriority w:val="50"/>
    <w:rsid w:val="00893D2C"/>
    <w:pPr>
      <w:spacing w:after="0" w:line="240" w:lineRule="auto"/>
    </w:pPr>
    <w:rPr>
      <w:color w:val="FFFFFF" w:themeColor="background1"/>
    </w:rPr>
    <w:tblPr>
      <w:tblStyleRowBandSize w:val="1"/>
      <w:tblStyleColBandSize w:val="1"/>
      <w:tblBorders>
        <w:top w:val="single" w:sz="24" w:space="0" w:color="3E8F98" w:themeColor="accent3"/>
        <w:left w:val="single" w:sz="24" w:space="0" w:color="3E8F98" w:themeColor="accent3"/>
        <w:bottom w:val="single" w:sz="24" w:space="0" w:color="3E8F98" w:themeColor="accent3"/>
        <w:right w:val="single" w:sz="24" w:space="0" w:color="3E8F98" w:themeColor="accent3"/>
      </w:tblBorders>
    </w:tblPr>
    <w:tcPr>
      <w:shd w:val="clear" w:color="auto" w:fill="3E8F98"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4">
    <w:name w:val="List Table 5 Dark Accent 4"/>
    <w:basedOn w:val="Vanligtabell"/>
    <w:uiPriority w:val="50"/>
    <w:rsid w:val="00893D2C"/>
    <w:pPr>
      <w:spacing w:after="0" w:line="240" w:lineRule="auto"/>
    </w:pPr>
    <w:rPr>
      <w:color w:val="FFFFFF" w:themeColor="background1"/>
    </w:rPr>
    <w:tblPr>
      <w:tblStyleRowBandSize w:val="1"/>
      <w:tblStyleColBandSize w:val="1"/>
      <w:tblBorders>
        <w:top w:val="single" w:sz="24" w:space="0" w:color="26261E" w:themeColor="accent4"/>
        <w:left w:val="single" w:sz="24" w:space="0" w:color="26261E" w:themeColor="accent4"/>
        <w:bottom w:val="single" w:sz="24" w:space="0" w:color="26261E" w:themeColor="accent4"/>
        <w:right w:val="single" w:sz="24" w:space="0" w:color="26261E" w:themeColor="accent4"/>
      </w:tblBorders>
    </w:tblPr>
    <w:tcPr>
      <w:shd w:val="clear" w:color="auto" w:fill="26261E"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5">
    <w:name w:val="List Table 5 Dark Accent 5"/>
    <w:basedOn w:val="Vanligtabell"/>
    <w:uiPriority w:val="50"/>
    <w:rsid w:val="00893D2C"/>
    <w:pPr>
      <w:spacing w:after="0" w:line="240" w:lineRule="auto"/>
    </w:pPr>
    <w:rPr>
      <w:color w:val="FFFFFF" w:themeColor="background1"/>
    </w:rPr>
    <w:tblPr>
      <w:tblStyleRowBandSize w:val="1"/>
      <w:tblStyleColBandSize w:val="1"/>
      <w:tblBorders>
        <w:top w:val="single" w:sz="24" w:space="0" w:color="FCECDE" w:themeColor="accent5"/>
        <w:left w:val="single" w:sz="24" w:space="0" w:color="FCECDE" w:themeColor="accent5"/>
        <w:bottom w:val="single" w:sz="24" w:space="0" w:color="FCECDE" w:themeColor="accent5"/>
        <w:right w:val="single" w:sz="24" w:space="0" w:color="FCECDE" w:themeColor="accent5"/>
      </w:tblBorders>
    </w:tblPr>
    <w:tcPr>
      <w:shd w:val="clear" w:color="auto" w:fill="FCECDE"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5mrkuthevingsfarge6">
    <w:name w:val="List Table 5 Dark Accent 6"/>
    <w:basedOn w:val="Vanligtabell"/>
    <w:uiPriority w:val="50"/>
    <w:rsid w:val="00893D2C"/>
    <w:pPr>
      <w:spacing w:after="0" w:line="240" w:lineRule="auto"/>
    </w:pPr>
    <w:rPr>
      <w:color w:val="FFFFFF" w:themeColor="background1"/>
    </w:rPr>
    <w:tblPr>
      <w:tblStyleRowBandSize w:val="1"/>
      <w:tblStyleColBandSize w:val="1"/>
      <w:tblBorders>
        <w:top w:val="single" w:sz="24" w:space="0" w:color="F2F8F8" w:themeColor="accent6"/>
        <w:left w:val="single" w:sz="24" w:space="0" w:color="F2F8F8" w:themeColor="accent6"/>
        <w:bottom w:val="single" w:sz="24" w:space="0" w:color="F2F8F8" w:themeColor="accent6"/>
        <w:right w:val="single" w:sz="24" w:space="0" w:color="F2F8F8" w:themeColor="accent6"/>
      </w:tblBorders>
    </w:tblPr>
    <w:tcPr>
      <w:shd w:val="clear" w:color="auto" w:fill="F2F8F8"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etabell6fargerik">
    <w:name w:val="List Table 6 Colorful"/>
    <w:basedOn w:val="Vanligtabell"/>
    <w:uiPriority w:val="51"/>
    <w:rsid w:val="00893D2C"/>
    <w:pPr>
      <w:spacing w:after="0" w:line="240" w:lineRule="auto"/>
    </w:pPr>
    <w:rPr>
      <w:color w:val="26261E" w:themeColor="text1"/>
    </w:rPr>
    <w:tblPr>
      <w:tblStyleRowBandSize w:val="1"/>
      <w:tblStyleColBandSize w:val="1"/>
      <w:tblBorders>
        <w:top w:val="single" w:sz="4" w:space="0" w:color="26261E" w:themeColor="text1"/>
        <w:bottom w:val="single" w:sz="4" w:space="0" w:color="26261E" w:themeColor="text1"/>
      </w:tblBorders>
    </w:tblPr>
    <w:tblStylePr w:type="firstRow">
      <w:rPr>
        <w:b/>
        <w:bCs/>
      </w:rPr>
      <w:tblPr/>
      <w:tcPr>
        <w:tcBorders>
          <w:bottom w:val="single" w:sz="4" w:space="0" w:color="26261E" w:themeColor="text1"/>
        </w:tcBorders>
      </w:tcPr>
    </w:tblStylePr>
    <w:tblStylePr w:type="lastRow">
      <w:rPr>
        <w:b/>
        <w:bCs/>
      </w:rPr>
      <w:tblPr/>
      <w:tcPr>
        <w:tcBorders>
          <w:top w:val="double" w:sz="4" w:space="0" w:color="26261E" w:themeColor="text1"/>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Listetabell6fargerikuthevingsfarge1">
    <w:name w:val="List Table 6 Colorful Accent 1"/>
    <w:basedOn w:val="Vanligtabell"/>
    <w:uiPriority w:val="51"/>
    <w:rsid w:val="00893D2C"/>
    <w:pPr>
      <w:spacing w:after="0" w:line="240" w:lineRule="auto"/>
    </w:pPr>
    <w:rPr>
      <w:color w:val="1C1C61" w:themeColor="accent1" w:themeShade="BF"/>
    </w:rPr>
    <w:tblPr>
      <w:tblStyleRowBandSize w:val="1"/>
      <w:tblStyleColBandSize w:val="1"/>
      <w:tblBorders>
        <w:top w:val="single" w:sz="4" w:space="0" w:color="262682" w:themeColor="accent1"/>
        <w:bottom w:val="single" w:sz="4" w:space="0" w:color="262682" w:themeColor="accent1"/>
      </w:tblBorders>
    </w:tblPr>
    <w:tblStylePr w:type="firstRow">
      <w:rPr>
        <w:b/>
        <w:bCs/>
      </w:rPr>
      <w:tblPr/>
      <w:tcPr>
        <w:tcBorders>
          <w:bottom w:val="single" w:sz="4" w:space="0" w:color="262682" w:themeColor="accent1"/>
        </w:tcBorders>
      </w:tcPr>
    </w:tblStylePr>
    <w:tblStylePr w:type="lastRow">
      <w:rPr>
        <w:b/>
        <w:bCs/>
      </w:rPr>
      <w:tblPr/>
      <w:tcPr>
        <w:tcBorders>
          <w:top w:val="double" w:sz="4" w:space="0" w:color="262682" w:themeColor="accent1"/>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Listetabell6fargerikuthevingsfarge2">
    <w:name w:val="List Table 6 Colorful Accent 2"/>
    <w:basedOn w:val="Vanligtabell"/>
    <w:uiPriority w:val="51"/>
    <w:rsid w:val="00893D2C"/>
    <w:pPr>
      <w:spacing w:after="0" w:line="240" w:lineRule="auto"/>
    </w:pPr>
    <w:rPr>
      <w:color w:val="FF8111" w:themeColor="accent2" w:themeShade="BF"/>
    </w:rPr>
    <w:tblPr>
      <w:tblStyleRowBandSize w:val="1"/>
      <w:tblStyleColBandSize w:val="1"/>
      <w:tblBorders>
        <w:top w:val="single" w:sz="4" w:space="0" w:color="FFB26D" w:themeColor="accent2"/>
        <w:bottom w:val="single" w:sz="4" w:space="0" w:color="FFB26D" w:themeColor="accent2"/>
      </w:tblBorders>
    </w:tblPr>
    <w:tblStylePr w:type="firstRow">
      <w:rPr>
        <w:b/>
        <w:bCs/>
      </w:rPr>
      <w:tblPr/>
      <w:tcPr>
        <w:tcBorders>
          <w:bottom w:val="single" w:sz="4" w:space="0" w:color="FFB26D" w:themeColor="accent2"/>
        </w:tcBorders>
      </w:tcPr>
    </w:tblStylePr>
    <w:tblStylePr w:type="lastRow">
      <w:rPr>
        <w:b/>
        <w:bCs/>
      </w:rPr>
      <w:tblPr/>
      <w:tcPr>
        <w:tcBorders>
          <w:top w:val="double" w:sz="4" w:space="0" w:color="FFB26D" w:themeColor="accent2"/>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Listetabell6fargerikuthevingsfarge3">
    <w:name w:val="List Table 6 Colorful Accent 3"/>
    <w:basedOn w:val="Vanligtabell"/>
    <w:uiPriority w:val="51"/>
    <w:rsid w:val="00893D2C"/>
    <w:pPr>
      <w:spacing w:after="0" w:line="240" w:lineRule="auto"/>
    </w:pPr>
    <w:rPr>
      <w:color w:val="2E6A71" w:themeColor="accent3" w:themeShade="BF"/>
    </w:rPr>
    <w:tblPr>
      <w:tblStyleRowBandSize w:val="1"/>
      <w:tblStyleColBandSize w:val="1"/>
      <w:tblBorders>
        <w:top w:val="single" w:sz="4" w:space="0" w:color="3E8F98" w:themeColor="accent3"/>
        <w:bottom w:val="single" w:sz="4" w:space="0" w:color="3E8F98" w:themeColor="accent3"/>
      </w:tblBorders>
    </w:tblPr>
    <w:tblStylePr w:type="firstRow">
      <w:rPr>
        <w:b/>
        <w:bCs/>
      </w:rPr>
      <w:tblPr/>
      <w:tcPr>
        <w:tcBorders>
          <w:bottom w:val="single" w:sz="4" w:space="0" w:color="3E8F98" w:themeColor="accent3"/>
        </w:tcBorders>
      </w:tcPr>
    </w:tblStylePr>
    <w:tblStylePr w:type="lastRow">
      <w:rPr>
        <w:b/>
        <w:bCs/>
      </w:rPr>
      <w:tblPr/>
      <w:tcPr>
        <w:tcBorders>
          <w:top w:val="double" w:sz="4" w:space="0" w:color="3E8F98" w:themeColor="accent3"/>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Listetabell6fargerikuthevingsfarge4">
    <w:name w:val="List Table 6 Colorful Accent 4"/>
    <w:basedOn w:val="Vanligtabell"/>
    <w:uiPriority w:val="51"/>
    <w:rsid w:val="00893D2C"/>
    <w:pPr>
      <w:spacing w:after="0" w:line="240" w:lineRule="auto"/>
    </w:pPr>
    <w:rPr>
      <w:color w:val="1C1C16" w:themeColor="accent4" w:themeShade="BF"/>
    </w:rPr>
    <w:tblPr>
      <w:tblStyleRowBandSize w:val="1"/>
      <w:tblStyleColBandSize w:val="1"/>
      <w:tblBorders>
        <w:top w:val="single" w:sz="4" w:space="0" w:color="26261E" w:themeColor="accent4"/>
        <w:bottom w:val="single" w:sz="4" w:space="0" w:color="26261E" w:themeColor="accent4"/>
      </w:tblBorders>
    </w:tblPr>
    <w:tblStylePr w:type="firstRow">
      <w:rPr>
        <w:b/>
        <w:bCs/>
      </w:rPr>
      <w:tblPr/>
      <w:tcPr>
        <w:tcBorders>
          <w:bottom w:val="single" w:sz="4" w:space="0" w:color="26261E" w:themeColor="accent4"/>
        </w:tcBorders>
      </w:tcPr>
    </w:tblStylePr>
    <w:tblStylePr w:type="lastRow">
      <w:rPr>
        <w:b/>
        <w:bCs/>
      </w:rPr>
      <w:tblPr/>
      <w:tcPr>
        <w:tcBorders>
          <w:top w:val="double" w:sz="4" w:space="0" w:color="26261E" w:themeColor="accent4"/>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Listetabell6fargerikuthevingsfarge5">
    <w:name w:val="List Table 6 Colorful Accent 5"/>
    <w:basedOn w:val="Vanligtabell"/>
    <w:uiPriority w:val="51"/>
    <w:rsid w:val="00893D2C"/>
    <w:pPr>
      <w:spacing w:after="0" w:line="240" w:lineRule="auto"/>
    </w:pPr>
    <w:rPr>
      <w:color w:val="F2AD70" w:themeColor="accent5" w:themeShade="BF"/>
    </w:rPr>
    <w:tblPr>
      <w:tblStyleRowBandSize w:val="1"/>
      <w:tblStyleColBandSize w:val="1"/>
      <w:tblBorders>
        <w:top w:val="single" w:sz="4" w:space="0" w:color="FCECDE" w:themeColor="accent5"/>
        <w:bottom w:val="single" w:sz="4" w:space="0" w:color="FCECDE" w:themeColor="accent5"/>
      </w:tblBorders>
    </w:tblPr>
    <w:tblStylePr w:type="firstRow">
      <w:rPr>
        <w:b/>
        <w:bCs/>
      </w:rPr>
      <w:tblPr/>
      <w:tcPr>
        <w:tcBorders>
          <w:bottom w:val="single" w:sz="4" w:space="0" w:color="FCECDE" w:themeColor="accent5"/>
        </w:tcBorders>
      </w:tcPr>
    </w:tblStylePr>
    <w:tblStylePr w:type="lastRow">
      <w:rPr>
        <w:b/>
        <w:bCs/>
      </w:rPr>
      <w:tblPr/>
      <w:tcPr>
        <w:tcBorders>
          <w:top w:val="double" w:sz="4" w:space="0" w:color="FCECDE" w:themeColor="accent5"/>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Listetabell6fargerikuthevingsfarge6">
    <w:name w:val="List Table 6 Colorful Accent 6"/>
    <w:basedOn w:val="Vanligtabell"/>
    <w:uiPriority w:val="51"/>
    <w:rsid w:val="00893D2C"/>
    <w:pPr>
      <w:spacing w:after="0" w:line="240" w:lineRule="auto"/>
    </w:pPr>
    <w:rPr>
      <w:color w:val="A2CDCD" w:themeColor="accent6" w:themeShade="BF"/>
    </w:rPr>
    <w:tblPr>
      <w:tblStyleRowBandSize w:val="1"/>
      <w:tblStyleColBandSize w:val="1"/>
      <w:tblBorders>
        <w:top w:val="single" w:sz="4" w:space="0" w:color="F2F8F8" w:themeColor="accent6"/>
        <w:bottom w:val="single" w:sz="4" w:space="0" w:color="F2F8F8" w:themeColor="accent6"/>
      </w:tblBorders>
    </w:tblPr>
    <w:tblStylePr w:type="firstRow">
      <w:rPr>
        <w:b/>
        <w:bCs/>
      </w:rPr>
      <w:tblPr/>
      <w:tcPr>
        <w:tcBorders>
          <w:bottom w:val="single" w:sz="4" w:space="0" w:color="F2F8F8" w:themeColor="accent6"/>
        </w:tcBorders>
      </w:tcPr>
    </w:tblStylePr>
    <w:tblStylePr w:type="lastRow">
      <w:rPr>
        <w:b/>
        <w:bCs/>
      </w:rPr>
      <w:tblPr/>
      <w:tcPr>
        <w:tcBorders>
          <w:top w:val="double" w:sz="4" w:space="0" w:color="F2F8F8" w:themeColor="accent6"/>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Listetabell7fargerik">
    <w:name w:val="List Table 7 Colorful"/>
    <w:basedOn w:val="Vanligtabell"/>
    <w:uiPriority w:val="52"/>
    <w:rsid w:val="00893D2C"/>
    <w:pPr>
      <w:spacing w:after="0" w:line="240" w:lineRule="auto"/>
    </w:pPr>
    <w:rPr>
      <w:color w:val="26261E"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1E"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1E"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1E"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1E" w:themeColor="text1"/>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1">
    <w:name w:val="List Table 7 Colorful Accent 1"/>
    <w:basedOn w:val="Vanligtabell"/>
    <w:uiPriority w:val="52"/>
    <w:rsid w:val="00893D2C"/>
    <w:pPr>
      <w:spacing w:after="0" w:line="240" w:lineRule="auto"/>
    </w:pPr>
    <w:rPr>
      <w:color w:val="1C1C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82" w:themeColor="accent1"/>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2">
    <w:name w:val="List Table 7 Colorful Accent 2"/>
    <w:basedOn w:val="Vanligtabell"/>
    <w:uiPriority w:val="52"/>
    <w:rsid w:val="00893D2C"/>
    <w:pPr>
      <w:spacing w:after="0" w:line="240" w:lineRule="auto"/>
    </w:pPr>
    <w:rPr>
      <w:color w:val="FF81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B26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B26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B26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B26D" w:themeColor="accent2"/>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3">
    <w:name w:val="List Table 7 Colorful Accent 3"/>
    <w:basedOn w:val="Vanligtabell"/>
    <w:uiPriority w:val="52"/>
    <w:rsid w:val="00893D2C"/>
    <w:pPr>
      <w:spacing w:after="0" w:line="240" w:lineRule="auto"/>
    </w:pPr>
    <w:rPr>
      <w:color w:val="2E6A71"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E8F98"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E8F98"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E8F98"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E8F98" w:themeColor="accent3"/>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4">
    <w:name w:val="List Table 7 Colorful Accent 4"/>
    <w:basedOn w:val="Vanligtabell"/>
    <w:uiPriority w:val="52"/>
    <w:rsid w:val="00893D2C"/>
    <w:pPr>
      <w:spacing w:after="0" w:line="240" w:lineRule="auto"/>
    </w:pPr>
    <w:rPr>
      <w:color w:val="1C1C16"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6261E"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6261E"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6261E"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6261E" w:themeColor="accent4"/>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5">
    <w:name w:val="List Table 7 Colorful Accent 5"/>
    <w:basedOn w:val="Vanligtabell"/>
    <w:uiPriority w:val="52"/>
    <w:rsid w:val="00893D2C"/>
    <w:pPr>
      <w:spacing w:after="0" w:line="240" w:lineRule="auto"/>
    </w:pPr>
    <w:rPr>
      <w:color w:val="F2AD7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CECDE"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CECDE"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CECDE"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CECDE" w:themeColor="accent5"/>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etabell7fargerikuthevingsfarge6">
    <w:name w:val="List Table 7 Colorful Accent 6"/>
    <w:basedOn w:val="Vanligtabell"/>
    <w:uiPriority w:val="52"/>
    <w:rsid w:val="00893D2C"/>
    <w:pPr>
      <w:spacing w:after="0" w:line="240" w:lineRule="auto"/>
    </w:pPr>
    <w:rPr>
      <w:color w:val="A2CDCD"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2F8F8"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2F8F8"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2F8F8"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2F8F8" w:themeColor="accent6"/>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ysliste">
    <w:name w:val="Light List"/>
    <w:basedOn w:val="Vanligtabell"/>
    <w:uiPriority w:val="61"/>
    <w:semiHidden/>
    <w:unhideWhenUsed/>
    <w:rsid w:val="00893D2C"/>
    <w:pPr>
      <w:spacing w:after="0" w:line="240" w:lineRule="auto"/>
    </w:p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tblBorders>
    </w:tblPr>
    <w:tblStylePr w:type="firstRow">
      <w:pPr>
        <w:spacing w:before="0" w:after="0" w:line="240" w:lineRule="auto"/>
      </w:pPr>
      <w:rPr>
        <w:b/>
        <w:bCs/>
        <w:color w:val="FFFFFF" w:themeColor="background1"/>
      </w:rPr>
      <w:tblPr/>
      <w:tcPr>
        <w:shd w:val="clear" w:color="auto" w:fill="26261E" w:themeFill="text1"/>
      </w:tcPr>
    </w:tblStylePr>
    <w:tblStylePr w:type="lastRow">
      <w:pPr>
        <w:spacing w:before="0" w:after="0" w:line="240" w:lineRule="auto"/>
      </w:pPr>
      <w:rPr>
        <w:b/>
        <w:bCs/>
      </w:rPr>
      <w:tblPr/>
      <w:tcPr>
        <w:tcBorders>
          <w:top w:val="double" w:sz="6" w:space="0" w:color="26261E" w:themeColor="text1"/>
          <w:left w:val="single" w:sz="8" w:space="0" w:color="26261E" w:themeColor="text1"/>
          <w:bottom w:val="single" w:sz="8" w:space="0" w:color="26261E" w:themeColor="text1"/>
          <w:right w:val="single" w:sz="8" w:space="0" w:color="26261E" w:themeColor="text1"/>
        </w:tcBorders>
      </w:tcPr>
    </w:tblStylePr>
    <w:tblStylePr w:type="firstCol">
      <w:rPr>
        <w:b/>
        <w:bCs/>
      </w:rPr>
    </w:tblStylePr>
    <w:tblStylePr w:type="lastCol">
      <w:rPr>
        <w:b/>
        <w:bCs/>
      </w:rPr>
    </w:tblStylePr>
    <w:tblStylePr w:type="band1Vert">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tblStylePr w:type="band1Horz">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style>
  <w:style w:type="table" w:styleId="Lyslisteuthevingsfarge1">
    <w:name w:val="Light List Accent 1"/>
    <w:basedOn w:val="Vanligtabell"/>
    <w:uiPriority w:val="61"/>
    <w:semiHidden/>
    <w:unhideWhenUsed/>
    <w:rsid w:val="00893D2C"/>
    <w:pPr>
      <w:spacing w:after="0" w:line="240" w:lineRule="auto"/>
    </w:p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tblBorders>
    </w:tblPr>
    <w:tblStylePr w:type="firstRow">
      <w:pPr>
        <w:spacing w:before="0" w:after="0" w:line="240" w:lineRule="auto"/>
      </w:pPr>
      <w:rPr>
        <w:b/>
        <w:bCs/>
        <w:color w:val="FFFFFF" w:themeColor="background1"/>
      </w:rPr>
      <w:tblPr/>
      <w:tcPr>
        <w:shd w:val="clear" w:color="auto" w:fill="262682" w:themeFill="accent1"/>
      </w:tcPr>
    </w:tblStylePr>
    <w:tblStylePr w:type="lastRow">
      <w:pPr>
        <w:spacing w:before="0" w:after="0" w:line="240" w:lineRule="auto"/>
      </w:pPr>
      <w:rPr>
        <w:b/>
        <w:bCs/>
      </w:rPr>
      <w:tblPr/>
      <w:tcPr>
        <w:tcBorders>
          <w:top w:val="double" w:sz="6" w:space="0" w:color="262682" w:themeColor="accent1"/>
          <w:left w:val="single" w:sz="8" w:space="0" w:color="262682" w:themeColor="accent1"/>
          <w:bottom w:val="single" w:sz="8" w:space="0" w:color="262682" w:themeColor="accent1"/>
          <w:right w:val="single" w:sz="8" w:space="0" w:color="262682" w:themeColor="accent1"/>
        </w:tcBorders>
      </w:tcPr>
    </w:tblStylePr>
    <w:tblStylePr w:type="firstCol">
      <w:rPr>
        <w:b/>
        <w:bCs/>
      </w:rPr>
    </w:tblStylePr>
    <w:tblStylePr w:type="lastCol">
      <w:rPr>
        <w:b/>
        <w:bCs/>
      </w:rPr>
    </w:tblStylePr>
    <w:tblStylePr w:type="band1Vert">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tblStylePr w:type="band1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style>
  <w:style w:type="table" w:styleId="Lyslisteuthevingsfarge2">
    <w:name w:val="Light List Accent 2"/>
    <w:basedOn w:val="Vanligtabell"/>
    <w:uiPriority w:val="61"/>
    <w:semiHidden/>
    <w:unhideWhenUsed/>
    <w:rsid w:val="00893D2C"/>
    <w:pPr>
      <w:spacing w:after="0" w:line="240" w:lineRule="auto"/>
    </w:p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tblBorders>
    </w:tblPr>
    <w:tblStylePr w:type="firstRow">
      <w:pPr>
        <w:spacing w:before="0" w:after="0" w:line="240" w:lineRule="auto"/>
      </w:pPr>
      <w:rPr>
        <w:b/>
        <w:bCs/>
        <w:color w:val="FFFFFF" w:themeColor="background1"/>
      </w:rPr>
      <w:tblPr/>
      <w:tcPr>
        <w:shd w:val="clear" w:color="auto" w:fill="FFB26D" w:themeFill="accent2"/>
      </w:tcPr>
    </w:tblStylePr>
    <w:tblStylePr w:type="lastRow">
      <w:pPr>
        <w:spacing w:before="0" w:after="0" w:line="240" w:lineRule="auto"/>
      </w:pPr>
      <w:rPr>
        <w:b/>
        <w:bCs/>
      </w:rPr>
      <w:tblPr/>
      <w:tcPr>
        <w:tcBorders>
          <w:top w:val="double" w:sz="6" w:space="0" w:color="FFB26D" w:themeColor="accent2"/>
          <w:left w:val="single" w:sz="8" w:space="0" w:color="FFB26D" w:themeColor="accent2"/>
          <w:bottom w:val="single" w:sz="8" w:space="0" w:color="FFB26D" w:themeColor="accent2"/>
          <w:right w:val="single" w:sz="8" w:space="0" w:color="FFB26D" w:themeColor="accent2"/>
        </w:tcBorders>
      </w:tcPr>
    </w:tblStylePr>
    <w:tblStylePr w:type="firstCol">
      <w:rPr>
        <w:b/>
        <w:bCs/>
      </w:rPr>
    </w:tblStylePr>
    <w:tblStylePr w:type="lastCol">
      <w:rPr>
        <w:b/>
        <w:bCs/>
      </w:rPr>
    </w:tblStylePr>
    <w:tblStylePr w:type="band1Vert">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tblStylePr w:type="band1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style>
  <w:style w:type="table" w:styleId="Lyslisteuthevingsfarge3">
    <w:name w:val="Light List Accent 3"/>
    <w:basedOn w:val="Vanligtabell"/>
    <w:uiPriority w:val="61"/>
    <w:semiHidden/>
    <w:unhideWhenUsed/>
    <w:rsid w:val="00893D2C"/>
    <w:pPr>
      <w:spacing w:after="0" w:line="240" w:lineRule="auto"/>
    </w:p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tblBorders>
    </w:tblPr>
    <w:tblStylePr w:type="firstRow">
      <w:pPr>
        <w:spacing w:before="0" w:after="0" w:line="240" w:lineRule="auto"/>
      </w:pPr>
      <w:rPr>
        <w:b/>
        <w:bCs/>
        <w:color w:val="FFFFFF" w:themeColor="background1"/>
      </w:rPr>
      <w:tblPr/>
      <w:tcPr>
        <w:shd w:val="clear" w:color="auto" w:fill="3E8F98" w:themeFill="accent3"/>
      </w:tcPr>
    </w:tblStylePr>
    <w:tblStylePr w:type="lastRow">
      <w:pPr>
        <w:spacing w:before="0" w:after="0" w:line="240" w:lineRule="auto"/>
      </w:pPr>
      <w:rPr>
        <w:b/>
        <w:bCs/>
      </w:rPr>
      <w:tblPr/>
      <w:tcPr>
        <w:tcBorders>
          <w:top w:val="double" w:sz="6" w:space="0" w:color="3E8F98" w:themeColor="accent3"/>
          <w:left w:val="single" w:sz="8" w:space="0" w:color="3E8F98" w:themeColor="accent3"/>
          <w:bottom w:val="single" w:sz="8" w:space="0" w:color="3E8F98" w:themeColor="accent3"/>
          <w:right w:val="single" w:sz="8" w:space="0" w:color="3E8F98" w:themeColor="accent3"/>
        </w:tcBorders>
      </w:tcPr>
    </w:tblStylePr>
    <w:tblStylePr w:type="firstCol">
      <w:rPr>
        <w:b/>
        <w:bCs/>
      </w:rPr>
    </w:tblStylePr>
    <w:tblStylePr w:type="lastCol">
      <w:rPr>
        <w:b/>
        <w:bCs/>
      </w:rPr>
    </w:tblStylePr>
    <w:tblStylePr w:type="band1Vert">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tblStylePr w:type="band1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style>
  <w:style w:type="table" w:styleId="Lyslisteuthevingsfarge4">
    <w:name w:val="Light List Accent 4"/>
    <w:basedOn w:val="Vanligtabell"/>
    <w:uiPriority w:val="61"/>
    <w:semiHidden/>
    <w:unhideWhenUsed/>
    <w:rsid w:val="00893D2C"/>
    <w:pPr>
      <w:spacing w:after="0" w:line="240" w:lineRule="auto"/>
    </w:p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tblBorders>
    </w:tblPr>
    <w:tblStylePr w:type="firstRow">
      <w:pPr>
        <w:spacing w:before="0" w:after="0" w:line="240" w:lineRule="auto"/>
      </w:pPr>
      <w:rPr>
        <w:b/>
        <w:bCs/>
        <w:color w:val="FFFFFF" w:themeColor="background1"/>
      </w:rPr>
      <w:tblPr/>
      <w:tcPr>
        <w:shd w:val="clear" w:color="auto" w:fill="26261E" w:themeFill="accent4"/>
      </w:tcPr>
    </w:tblStylePr>
    <w:tblStylePr w:type="lastRow">
      <w:pPr>
        <w:spacing w:before="0" w:after="0" w:line="240" w:lineRule="auto"/>
      </w:pPr>
      <w:rPr>
        <w:b/>
        <w:bCs/>
      </w:rPr>
      <w:tblPr/>
      <w:tcPr>
        <w:tcBorders>
          <w:top w:val="double" w:sz="6" w:space="0" w:color="26261E" w:themeColor="accent4"/>
          <w:left w:val="single" w:sz="8" w:space="0" w:color="26261E" w:themeColor="accent4"/>
          <w:bottom w:val="single" w:sz="8" w:space="0" w:color="26261E" w:themeColor="accent4"/>
          <w:right w:val="single" w:sz="8" w:space="0" w:color="26261E" w:themeColor="accent4"/>
        </w:tcBorders>
      </w:tcPr>
    </w:tblStylePr>
    <w:tblStylePr w:type="firstCol">
      <w:rPr>
        <w:b/>
        <w:bCs/>
      </w:rPr>
    </w:tblStylePr>
    <w:tblStylePr w:type="lastCol">
      <w:rPr>
        <w:b/>
        <w:bCs/>
      </w:rPr>
    </w:tblStylePr>
    <w:tblStylePr w:type="band1Vert">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tblStylePr w:type="band1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style>
  <w:style w:type="table" w:styleId="Lyslisteuthevingsfarge5">
    <w:name w:val="Light List Accent 5"/>
    <w:basedOn w:val="Vanligtabell"/>
    <w:uiPriority w:val="61"/>
    <w:semiHidden/>
    <w:unhideWhenUsed/>
    <w:rsid w:val="00893D2C"/>
    <w:pPr>
      <w:spacing w:after="0" w:line="240" w:lineRule="auto"/>
    </w:p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tblBorders>
    </w:tblPr>
    <w:tblStylePr w:type="firstRow">
      <w:pPr>
        <w:spacing w:before="0" w:after="0" w:line="240" w:lineRule="auto"/>
      </w:pPr>
      <w:rPr>
        <w:b/>
        <w:bCs/>
        <w:color w:val="FFFFFF" w:themeColor="background1"/>
      </w:rPr>
      <w:tblPr/>
      <w:tcPr>
        <w:shd w:val="clear" w:color="auto" w:fill="FCECDE" w:themeFill="accent5"/>
      </w:tcPr>
    </w:tblStylePr>
    <w:tblStylePr w:type="lastRow">
      <w:pPr>
        <w:spacing w:before="0" w:after="0" w:line="240" w:lineRule="auto"/>
      </w:pPr>
      <w:rPr>
        <w:b/>
        <w:bCs/>
      </w:rPr>
      <w:tblPr/>
      <w:tcPr>
        <w:tcBorders>
          <w:top w:val="double" w:sz="6" w:space="0" w:color="FCECDE" w:themeColor="accent5"/>
          <w:left w:val="single" w:sz="8" w:space="0" w:color="FCECDE" w:themeColor="accent5"/>
          <w:bottom w:val="single" w:sz="8" w:space="0" w:color="FCECDE" w:themeColor="accent5"/>
          <w:right w:val="single" w:sz="8" w:space="0" w:color="FCECDE" w:themeColor="accent5"/>
        </w:tcBorders>
      </w:tcPr>
    </w:tblStylePr>
    <w:tblStylePr w:type="firstCol">
      <w:rPr>
        <w:b/>
        <w:bCs/>
      </w:rPr>
    </w:tblStylePr>
    <w:tblStylePr w:type="lastCol">
      <w:rPr>
        <w:b/>
        <w:bCs/>
      </w:rPr>
    </w:tblStylePr>
    <w:tblStylePr w:type="band1Vert">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tblStylePr w:type="band1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style>
  <w:style w:type="table" w:styleId="Lyslisteuthevingsfarge6">
    <w:name w:val="Light List Accent 6"/>
    <w:basedOn w:val="Vanligtabell"/>
    <w:uiPriority w:val="61"/>
    <w:semiHidden/>
    <w:unhideWhenUsed/>
    <w:rsid w:val="00893D2C"/>
    <w:pPr>
      <w:spacing w:after="0" w:line="240" w:lineRule="auto"/>
    </w:p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tblBorders>
    </w:tblPr>
    <w:tblStylePr w:type="firstRow">
      <w:pPr>
        <w:spacing w:before="0" w:after="0" w:line="240" w:lineRule="auto"/>
      </w:pPr>
      <w:rPr>
        <w:b/>
        <w:bCs/>
        <w:color w:val="FFFFFF" w:themeColor="background1"/>
      </w:rPr>
      <w:tblPr/>
      <w:tcPr>
        <w:shd w:val="clear" w:color="auto" w:fill="F2F8F8" w:themeFill="accent6"/>
      </w:tcPr>
    </w:tblStylePr>
    <w:tblStylePr w:type="lastRow">
      <w:pPr>
        <w:spacing w:before="0" w:after="0" w:line="240" w:lineRule="auto"/>
      </w:pPr>
      <w:rPr>
        <w:b/>
        <w:bCs/>
      </w:rPr>
      <w:tblPr/>
      <w:tcPr>
        <w:tcBorders>
          <w:top w:val="double" w:sz="6" w:space="0" w:color="F2F8F8" w:themeColor="accent6"/>
          <w:left w:val="single" w:sz="8" w:space="0" w:color="F2F8F8" w:themeColor="accent6"/>
          <w:bottom w:val="single" w:sz="8" w:space="0" w:color="F2F8F8" w:themeColor="accent6"/>
          <w:right w:val="single" w:sz="8" w:space="0" w:color="F2F8F8" w:themeColor="accent6"/>
        </w:tcBorders>
      </w:tcPr>
    </w:tblStylePr>
    <w:tblStylePr w:type="firstCol">
      <w:rPr>
        <w:b/>
        <w:bCs/>
      </w:rPr>
    </w:tblStylePr>
    <w:tblStylePr w:type="lastCol">
      <w:rPr>
        <w:b/>
        <w:bCs/>
      </w:rPr>
    </w:tblStylePr>
    <w:tblStylePr w:type="band1Vert">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tblStylePr w:type="band1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style>
  <w:style w:type="table" w:styleId="Lysskyggelegging">
    <w:name w:val="Light Shading"/>
    <w:basedOn w:val="Vanligtabell"/>
    <w:uiPriority w:val="60"/>
    <w:semiHidden/>
    <w:unhideWhenUsed/>
    <w:rsid w:val="00893D2C"/>
    <w:pPr>
      <w:spacing w:after="0" w:line="240" w:lineRule="auto"/>
    </w:pPr>
    <w:rPr>
      <w:color w:val="1C1C16" w:themeColor="text1" w:themeShade="BF"/>
    </w:rPr>
    <w:tblPr>
      <w:tblStyleRowBandSize w:val="1"/>
      <w:tblStyleColBandSize w:val="1"/>
      <w:tblBorders>
        <w:top w:val="single" w:sz="8" w:space="0" w:color="26261E" w:themeColor="text1"/>
        <w:bottom w:val="single" w:sz="8" w:space="0" w:color="26261E" w:themeColor="text1"/>
      </w:tblBorders>
    </w:tblPr>
    <w:tblStylePr w:type="firstRow">
      <w:pPr>
        <w:spacing w:before="0" w:after="0" w:line="240" w:lineRule="auto"/>
      </w:pPr>
      <w:rPr>
        <w:b/>
        <w:bCs/>
      </w:rPr>
      <w:tblPr/>
      <w:tcPr>
        <w:tcBorders>
          <w:top w:val="single" w:sz="8" w:space="0" w:color="26261E" w:themeColor="text1"/>
          <w:left w:val="nil"/>
          <w:bottom w:val="single" w:sz="8" w:space="0" w:color="26261E" w:themeColor="text1"/>
          <w:right w:val="nil"/>
          <w:insideH w:val="nil"/>
          <w:insideV w:val="nil"/>
        </w:tcBorders>
      </w:tcPr>
    </w:tblStylePr>
    <w:tblStylePr w:type="lastRow">
      <w:pPr>
        <w:spacing w:before="0" w:after="0" w:line="240" w:lineRule="auto"/>
      </w:pPr>
      <w:rPr>
        <w:b/>
        <w:bCs/>
      </w:rPr>
      <w:tblPr/>
      <w:tcPr>
        <w:tcBorders>
          <w:top w:val="single" w:sz="8" w:space="0" w:color="26261E" w:themeColor="text1"/>
          <w:left w:val="nil"/>
          <w:bottom w:val="single" w:sz="8" w:space="0" w:color="26261E"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1" w:themeFill="text1" w:themeFillTint="3F"/>
      </w:tcPr>
    </w:tblStylePr>
    <w:tblStylePr w:type="band1Horz">
      <w:tblPr/>
      <w:tcPr>
        <w:tcBorders>
          <w:left w:val="nil"/>
          <w:right w:val="nil"/>
          <w:insideH w:val="nil"/>
          <w:insideV w:val="nil"/>
        </w:tcBorders>
        <w:shd w:val="clear" w:color="auto" w:fill="CECEC1" w:themeFill="text1" w:themeFillTint="3F"/>
      </w:tcPr>
    </w:tblStylePr>
  </w:style>
  <w:style w:type="table" w:styleId="Lysskyggelegginguthevingsfarge1">
    <w:name w:val="Light Shading Accent 1"/>
    <w:basedOn w:val="Vanligtabell"/>
    <w:uiPriority w:val="60"/>
    <w:semiHidden/>
    <w:unhideWhenUsed/>
    <w:rsid w:val="00893D2C"/>
    <w:pPr>
      <w:spacing w:after="0" w:line="240" w:lineRule="auto"/>
    </w:pPr>
    <w:rPr>
      <w:color w:val="1C1C61" w:themeColor="accent1" w:themeShade="BF"/>
    </w:rPr>
    <w:tblPr>
      <w:tblStyleRowBandSize w:val="1"/>
      <w:tblStyleColBandSize w:val="1"/>
      <w:tblBorders>
        <w:top w:val="single" w:sz="8" w:space="0" w:color="262682" w:themeColor="accent1"/>
        <w:bottom w:val="single" w:sz="8" w:space="0" w:color="262682" w:themeColor="accent1"/>
      </w:tblBorders>
    </w:tblPr>
    <w:tblStylePr w:type="firstRow">
      <w:pPr>
        <w:spacing w:before="0" w:after="0" w:line="240" w:lineRule="auto"/>
      </w:pPr>
      <w:rPr>
        <w:b/>
        <w:bCs/>
      </w:rPr>
      <w:tblPr/>
      <w:tcPr>
        <w:tcBorders>
          <w:top w:val="single" w:sz="8" w:space="0" w:color="262682" w:themeColor="accent1"/>
          <w:left w:val="nil"/>
          <w:bottom w:val="single" w:sz="8" w:space="0" w:color="262682" w:themeColor="accent1"/>
          <w:right w:val="nil"/>
          <w:insideH w:val="nil"/>
          <w:insideV w:val="nil"/>
        </w:tcBorders>
      </w:tcPr>
    </w:tblStylePr>
    <w:tblStylePr w:type="lastRow">
      <w:pPr>
        <w:spacing w:before="0" w:after="0" w:line="240" w:lineRule="auto"/>
      </w:pPr>
      <w:rPr>
        <w:b/>
        <w:bCs/>
      </w:rPr>
      <w:tblPr/>
      <w:tcPr>
        <w:tcBorders>
          <w:top w:val="single" w:sz="8" w:space="0" w:color="262682" w:themeColor="accent1"/>
          <w:left w:val="nil"/>
          <w:bottom w:val="single" w:sz="8" w:space="0" w:color="2626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BDEB" w:themeFill="accent1" w:themeFillTint="3F"/>
      </w:tcPr>
    </w:tblStylePr>
    <w:tblStylePr w:type="band1Horz">
      <w:tblPr/>
      <w:tcPr>
        <w:tcBorders>
          <w:left w:val="nil"/>
          <w:right w:val="nil"/>
          <w:insideH w:val="nil"/>
          <w:insideV w:val="nil"/>
        </w:tcBorders>
        <w:shd w:val="clear" w:color="auto" w:fill="BDBDEB" w:themeFill="accent1" w:themeFillTint="3F"/>
      </w:tcPr>
    </w:tblStylePr>
  </w:style>
  <w:style w:type="table" w:styleId="Lysskyggelegginguthevingsfarge2">
    <w:name w:val="Light Shading Accent 2"/>
    <w:basedOn w:val="Vanligtabell"/>
    <w:uiPriority w:val="60"/>
    <w:semiHidden/>
    <w:unhideWhenUsed/>
    <w:rsid w:val="00893D2C"/>
    <w:pPr>
      <w:spacing w:after="0" w:line="240" w:lineRule="auto"/>
    </w:pPr>
    <w:rPr>
      <w:color w:val="FF8111" w:themeColor="accent2" w:themeShade="BF"/>
    </w:rPr>
    <w:tblPr>
      <w:tblStyleRowBandSize w:val="1"/>
      <w:tblStyleColBandSize w:val="1"/>
      <w:tblBorders>
        <w:top w:val="single" w:sz="8" w:space="0" w:color="FFB26D" w:themeColor="accent2"/>
        <w:bottom w:val="single" w:sz="8" w:space="0" w:color="FFB26D" w:themeColor="accent2"/>
      </w:tblBorders>
    </w:tblPr>
    <w:tblStylePr w:type="firstRow">
      <w:pPr>
        <w:spacing w:before="0" w:after="0" w:line="240" w:lineRule="auto"/>
      </w:pPr>
      <w:rPr>
        <w:b/>
        <w:bCs/>
      </w:rPr>
      <w:tblPr/>
      <w:tcPr>
        <w:tcBorders>
          <w:top w:val="single" w:sz="8" w:space="0" w:color="FFB26D" w:themeColor="accent2"/>
          <w:left w:val="nil"/>
          <w:bottom w:val="single" w:sz="8" w:space="0" w:color="FFB26D" w:themeColor="accent2"/>
          <w:right w:val="nil"/>
          <w:insideH w:val="nil"/>
          <w:insideV w:val="nil"/>
        </w:tcBorders>
      </w:tcPr>
    </w:tblStylePr>
    <w:tblStylePr w:type="lastRow">
      <w:pPr>
        <w:spacing w:before="0" w:after="0" w:line="240" w:lineRule="auto"/>
      </w:pPr>
      <w:rPr>
        <w:b/>
        <w:bCs/>
      </w:rPr>
      <w:tblPr/>
      <w:tcPr>
        <w:tcBorders>
          <w:top w:val="single" w:sz="8" w:space="0" w:color="FFB26D" w:themeColor="accent2"/>
          <w:left w:val="nil"/>
          <w:bottom w:val="single" w:sz="8" w:space="0" w:color="FFB26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DA" w:themeFill="accent2" w:themeFillTint="3F"/>
      </w:tcPr>
    </w:tblStylePr>
    <w:tblStylePr w:type="band1Horz">
      <w:tblPr/>
      <w:tcPr>
        <w:tcBorders>
          <w:left w:val="nil"/>
          <w:right w:val="nil"/>
          <w:insideH w:val="nil"/>
          <w:insideV w:val="nil"/>
        </w:tcBorders>
        <w:shd w:val="clear" w:color="auto" w:fill="FFEBDA" w:themeFill="accent2" w:themeFillTint="3F"/>
      </w:tcPr>
    </w:tblStylePr>
  </w:style>
  <w:style w:type="table" w:styleId="Lysskyggelegginguthevingsfarge3">
    <w:name w:val="Light Shading Accent 3"/>
    <w:basedOn w:val="Vanligtabell"/>
    <w:uiPriority w:val="60"/>
    <w:semiHidden/>
    <w:unhideWhenUsed/>
    <w:rsid w:val="00893D2C"/>
    <w:pPr>
      <w:spacing w:after="0" w:line="240" w:lineRule="auto"/>
    </w:pPr>
    <w:rPr>
      <w:color w:val="2E6A71" w:themeColor="accent3" w:themeShade="BF"/>
    </w:rPr>
    <w:tblPr>
      <w:tblStyleRowBandSize w:val="1"/>
      <w:tblStyleColBandSize w:val="1"/>
      <w:tblBorders>
        <w:top w:val="single" w:sz="8" w:space="0" w:color="3E8F98" w:themeColor="accent3"/>
        <w:bottom w:val="single" w:sz="8" w:space="0" w:color="3E8F98" w:themeColor="accent3"/>
      </w:tblBorders>
    </w:tblPr>
    <w:tblStylePr w:type="firstRow">
      <w:pPr>
        <w:spacing w:before="0" w:after="0" w:line="240" w:lineRule="auto"/>
      </w:pPr>
      <w:rPr>
        <w:b/>
        <w:bCs/>
      </w:rPr>
      <w:tblPr/>
      <w:tcPr>
        <w:tcBorders>
          <w:top w:val="single" w:sz="8" w:space="0" w:color="3E8F98" w:themeColor="accent3"/>
          <w:left w:val="nil"/>
          <w:bottom w:val="single" w:sz="8" w:space="0" w:color="3E8F98" w:themeColor="accent3"/>
          <w:right w:val="nil"/>
          <w:insideH w:val="nil"/>
          <w:insideV w:val="nil"/>
        </w:tcBorders>
      </w:tcPr>
    </w:tblStylePr>
    <w:tblStylePr w:type="lastRow">
      <w:pPr>
        <w:spacing w:before="0" w:after="0" w:line="240" w:lineRule="auto"/>
      </w:pPr>
      <w:rPr>
        <w:b/>
        <w:bCs/>
      </w:rPr>
      <w:tblPr/>
      <w:tcPr>
        <w:tcBorders>
          <w:top w:val="single" w:sz="8" w:space="0" w:color="3E8F98" w:themeColor="accent3"/>
          <w:left w:val="nil"/>
          <w:bottom w:val="single" w:sz="8" w:space="0" w:color="3E8F98"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AE6E9" w:themeFill="accent3" w:themeFillTint="3F"/>
      </w:tcPr>
    </w:tblStylePr>
    <w:tblStylePr w:type="band1Horz">
      <w:tblPr/>
      <w:tcPr>
        <w:tcBorders>
          <w:left w:val="nil"/>
          <w:right w:val="nil"/>
          <w:insideH w:val="nil"/>
          <w:insideV w:val="nil"/>
        </w:tcBorders>
        <w:shd w:val="clear" w:color="auto" w:fill="CAE6E9" w:themeFill="accent3" w:themeFillTint="3F"/>
      </w:tcPr>
    </w:tblStylePr>
  </w:style>
  <w:style w:type="table" w:styleId="Lysskyggelegginguthevingsfarge4">
    <w:name w:val="Light Shading Accent 4"/>
    <w:basedOn w:val="Vanligtabell"/>
    <w:uiPriority w:val="60"/>
    <w:semiHidden/>
    <w:unhideWhenUsed/>
    <w:rsid w:val="00893D2C"/>
    <w:pPr>
      <w:spacing w:after="0" w:line="240" w:lineRule="auto"/>
    </w:pPr>
    <w:rPr>
      <w:color w:val="1C1C16" w:themeColor="accent4" w:themeShade="BF"/>
    </w:rPr>
    <w:tblPr>
      <w:tblStyleRowBandSize w:val="1"/>
      <w:tblStyleColBandSize w:val="1"/>
      <w:tblBorders>
        <w:top w:val="single" w:sz="8" w:space="0" w:color="26261E" w:themeColor="accent4"/>
        <w:bottom w:val="single" w:sz="8" w:space="0" w:color="26261E" w:themeColor="accent4"/>
      </w:tblBorders>
    </w:tblPr>
    <w:tblStylePr w:type="firstRow">
      <w:pPr>
        <w:spacing w:before="0" w:after="0" w:line="240" w:lineRule="auto"/>
      </w:pPr>
      <w:rPr>
        <w:b/>
        <w:bCs/>
      </w:rPr>
      <w:tblPr/>
      <w:tcPr>
        <w:tcBorders>
          <w:top w:val="single" w:sz="8" w:space="0" w:color="26261E" w:themeColor="accent4"/>
          <w:left w:val="nil"/>
          <w:bottom w:val="single" w:sz="8" w:space="0" w:color="26261E" w:themeColor="accent4"/>
          <w:right w:val="nil"/>
          <w:insideH w:val="nil"/>
          <w:insideV w:val="nil"/>
        </w:tcBorders>
      </w:tcPr>
    </w:tblStylePr>
    <w:tblStylePr w:type="lastRow">
      <w:pPr>
        <w:spacing w:before="0" w:after="0" w:line="240" w:lineRule="auto"/>
      </w:pPr>
      <w:rPr>
        <w:b/>
        <w:bCs/>
      </w:rPr>
      <w:tblPr/>
      <w:tcPr>
        <w:tcBorders>
          <w:top w:val="single" w:sz="8" w:space="0" w:color="26261E" w:themeColor="accent4"/>
          <w:left w:val="nil"/>
          <w:bottom w:val="single" w:sz="8" w:space="0" w:color="26261E"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1" w:themeFill="accent4" w:themeFillTint="3F"/>
      </w:tcPr>
    </w:tblStylePr>
    <w:tblStylePr w:type="band1Horz">
      <w:tblPr/>
      <w:tcPr>
        <w:tcBorders>
          <w:left w:val="nil"/>
          <w:right w:val="nil"/>
          <w:insideH w:val="nil"/>
          <w:insideV w:val="nil"/>
        </w:tcBorders>
        <w:shd w:val="clear" w:color="auto" w:fill="CECEC1" w:themeFill="accent4" w:themeFillTint="3F"/>
      </w:tcPr>
    </w:tblStylePr>
  </w:style>
  <w:style w:type="table" w:styleId="Lysskyggelegginguthevingsfarge5">
    <w:name w:val="Light Shading Accent 5"/>
    <w:basedOn w:val="Vanligtabell"/>
    <w:uiPriority w:val="60"/>
    <w:semiHidden/>
    <w:unhideWhenUsed/>
    <w:rsid w:val="00893D2C"/>
    <w:pPr>
      <w:spacing w:after="0" w:line="240" w:lineRule="auto"/>
    </w:pPr>
    <w:rPr>
      <w:color w:val="F2AD70" w:themeColor="accent5" w:themeShade="BF"/>
    </w:rPr>
    <w:tblPr>
      <w:tblStyleRowBandSize w:val="1"/>
      <w:tblStyleColBandSize w:val="1"/>
      <w:tblBorders>
        <w:top w:val="single" w:sz="8" w:space="0" w:color="FCECDE" w:themeColor="accent5"/>
        <w:bottom w:val="single" w:sz="8" w:space="0" w:color="FCECDE" w:themeColor="accent5"/>
      </w:tblBorders>
    </w:tblPr>
    <w:tblStylePr w:type="firstRow">
      <w:pPr>
        <w:spacing w:before="0" w:after="0" w:line="240" w:lineRule="auto"/>
      </w:pPr>
      <w:rPr>
        <w:b/>
        <w:bCs/>
      </w:rPr>
      <w:tblPr/>
      <w:tcPr>
        <w:tcBorders>
          <w:top w:val="single" w:sz="8" w:space="0" w:color="FCECDE" w:themeColor="accent5"/>
          <w:left w:val="nil"/>
          <w:bottom w:val="single" w:sz="8" w:space="0" w:color="FCECDE" w:themeColor="accent5"/>
          <w:right w:val="nil"/>
          <w:insideH w:val="nil"/>
          <w:insideV w:val="nil"/>
        </w:tcBorders>
      </w:tcPr>
    </w:tblStylePr>
    <w:tblStylePr w:type="lastRow">
      <w:pPr>
        <w:spacing w:before="0" w:after="0" w:line="240" w:lineRule="auto"/>
      </w:pPr>
      <w:rPr>
        <w:b/>
        <w:bCs/>
      </w:rPr>
      <w:tblPr/>
      <w:tcPr>
        <w:tcBorders>
          <w:top w:val="single" w:sz="8" w:space="0" w:color="FCECDE" w:themeColor="accent5"/>
          <w:left w:val="nil"/>
          <w:bottom w:val="single" w:sz="8" w:space="0" w:color="FCECD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FAF6" w:themeFill="accent5" w:themeFillTint="3F"/>
      </w:tcPr>
    </w:tblStylePr>
    <w:tblStylePr w:type="band1Horz">
      <w:tblPr/>
      <w:tcPr>
        <w:tcBorders>
          <w:left w:val="nil"/>
          <w:right w:val="nil"/>
          <w:insideH w:val="nil"/>
          <w:insideV w:val="nil"/>
        </w:tcBorders>
        <w:shd w:val="clear" w:color="auto" w:fill="FEFAF6" w:themeFill="accent5" w:themeFillTint="3F"/>
      </w:tcPr>
    </w:tblStylePr>
  </w:style>
  <w:style w:type="table" w:styleId="Lysskyggelegginguthevingsfarge6">
    <w:name w:val="Light Shading Accent 6"/>
    <w:basedOn w:val="Vanligtabell"/>
    <w:uiPriority w:val="60"/>
    <w:semiHidden/>
    <w:unhideWhenUsed/>
    <w:rsid w:val="00893D2C"/>
    <w:pPr>
      <w:spacing w:after="0" w:line="240" w:lineRule="auto"/>
    </w:pPr>
    <w:rPr>
      <w:color w:val="A2CDCD" w:themeColor="accent6" w:themeShade="BF"/>
    </w:rPr>
    <w:tblPr>
      <w:tblStyleRowBandSize w:val="1"/>
      <w:tblStyleColBandSize w:val="1"/>
      <w:tblBorders>
        <w:top w:val="single" w:sz="8" w:space="0" w:color="F2F8F8" w:themeColor="accent6"/>
        <w:bottom w:val="single" w:sz="8" w:space="0" w:color="F2F8F8" w:themeColor="accent6"/>
      </w:tblBorders>
    </w:tblPr>
    <w:tblStylePr w:type="firstRow">
      <w:pPr>
        <w:spacing w:before="0" w:after="0" w:line="240" w:lineRule="auto"/>
      </w:pPr>
      <w:rPr>
        <w:b/>
        <w:bCs/>
      </w:rPr>
      <w:tblPr/>
      <w:tcPr>
        <w:tcBorders>
          <w:top w:val="single" w:sz="8" w:space="0" w:color="F2F8F8" w:themeColor="accent6"/>
          <w:left w:val="nil"/>
          <w:bottom w:val="single" w:sz="8" w:space="0" w:color="F2F8F8" w:themeColor="accent6"/>
          <w:right w:val="nil"/>
          <w:insideH w:val="nil"/>
          <w:insideV w:val="nil"/>
        </w:tcBorders>
      </w:tcPr>
    </w:tblStylePr>
    <w:tblStylePr w:type="lastRow">
      <w:pPr>
        <w:spacing w:before="0" w:after="0" w:line="240" w:lineRule="auto"/>
      </w:pPr>
      <w:rPr>
        <w:b/>
        <w:bCs/>
      </w:rPr>
      <w:tblPr/>
      <w:tcPr>
        <w:tcBorders>
          <w:top w:val="single" w:sz="8" w:space="0" w:color="F2F8F8" w:themeColor="accent6"/>
          <w:left w:val="nil"/>
          <w:bottom w:val="single" w:sz="8" w:space="0" w:color="F2F8F8"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FDFD" w:themeFill="accent6" w:themeFillTint="3F"/>
      </w:tcPr>
    </w:tblStylePr>
    <w:tblStylePr w:type="band1Horz">
      <w:tblPr/>
      <w:tcPr>
        <w:tcBorders>
          <w:left w:val="nil"/>
          <w:right w:val="nil"/>
          <w:insideH w:val="nil"/>
          <w:insideV w:val="nil"/>
        </w:tcBorders>
        <w:shd w:val="clear" w:color="auto" w:fill="FBFDFD" w:themeFill="accent6" w:themeFillTint="3F"/>
      </w:tcPr>
    </w:tblStylePr>
  </w:style>
  <w:style w:type="table" w:styleId="Lystrutenett">
    <w:name w:val="Light Grid"/>
    <w:basedOn w:val="Vanligtabell"/>
    <w:uiPriority w:val="62"/>
    <w:semiHidden/>
    <w:unhideWhenUsed/>
    <w:rsid w:val="00893D2C"/>
    <w:pPr>
      <w:spacing w:after="0" w:line="240" w:lineRule="auto"/>
    </w:p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insideH w:val="single" w:sz="8" w:space="0" w:color="26261E" w:themeColor="text1"/>
        <w:insideV w:val="single" w:sz="8" w:space="0" w:color="26261E"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1E" w:themeColor="text1"/>
          <w:left w:val="single" w:sz="8" w:space="0" w:color="26261E" w:themeColor="text1"/>
          <w:bottom w:val="single" w:sz="18" w:space="0" w:color="26261E" w:themeColor="text1"/>
          <w:right w:val="single" w:sz="8" w:space="0" w:color="26261E" w:themeColor="text1"/>
          <w:insideH w:val="nil"/>
          <w:insideV w:val="single" w:sz="8" w:space="0" w:color="26261E"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1E" w:themeColor="text1"/>
          <w:left w:val="single" w:sz="8" w:space="0" w:color="26261E" w:themeColor="text1"/>
          <w:bottom w:val="single" w:sz="8" w:space="0" w:color="26261E" w:themeColor="text1"/>
          <w:right w:val="single" w:sz="8" w:space="0" w:color="26261E" w:themeColor="text1"/>
          <w:insideH w:val="nil"/>
          <w:insideV w:val="single" w:sz="8" w:space="0" w:color="26261E"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1E" w:themeColor="text1"/>
          <w:left w:val="single" w:sz="8" w:space="0" w:color="26261E" w:themeColor="text1"/>
          <w:bottom w:val="single" w:sz="8" w:space="0" w:color="26261E" w:themeColor="text1"/>
          <w:right w:val="single" w:sz="8" w:space="0" w:color="26261E" w:themeColor="text1"/>
        </w:tcBorders>
      </w:tcPr>
    </w:tblStylePr>
    <w:tblStylePr w:type="band1Vert">
      <w:tblPr/>
      <w:tcPr>
        <w:tcBorders>
          <w:top w:val="single" w:sz="8" w:space="0" w:color="26261E" w:themeColor="text1"/>
          <w:left w:val="single" w:sz="8" w:space="0" w:color="26261E" w:themeColor="text1"/>
          <w:bottom w:val="single" w:sz="8" w:space="0" w:color="26261E" w:themeColor="text1"/>
          <w:right w:val="single" w:sz="8" w:space="0" w:color="26261E" w:themeColor="text1"/>
        </w:tcBorders>
        <w:shd w:val="clear" w:color="auto" w:fill="CECEC1" w:themeFill="text1" w:themeFillTint="3F"/>
      </w:tcPr>
    </w:tblStylePr>
    <w:tblStylePr w:type="band1Horz">
      <w:tblPr/>
      <w:tcPr>
        <w:tcBorders>
          <w:top w:val="single" w:sz="8" w:space="0" w:color="26261E" w:themeColor="text1"/>
          <w:left w:val="single" w:sz="8" w:space="0" w:color="26261E" w:themeColor="text1"/>
          <w:bottom w:val="single" w:sz="8" w:space="0" w:color="26261E" w:themeColor="text1"/>
          <w:right w:val="single" w:sz="8" w:space="0" w:color="26261E" w:themeColor="text1"/>
          <w:insideV w:val="single" w:sz="8" w:space="0" w:color="26261E" w:themeColor="text1"/>
        </w:tcBorders>
        <w:shd w:val="clear" w:color="auto" w:fill="CECEC1" w:themeFill="text1" w:themeFillTint="3F"/>
      </w:tcPr>
    </w:tblStylePr>
    <w:tblStylePr w:type="band2Horz">
      <w:tblPr/>
      <w:tcPr>
        <w:tcBorders>
          <w:top w:val="single" w:sz="8" w:space="0" w:color="26261E" w:themeColor="text1"/>
          <w:left w:val="single" w:sz="8" w:space="0" w:color="26261E" w:themeColor="text1"/>
          <w:bottom w:val="single" w:sz="8" w:space="0" w:color="26261E" w:themeColor="text1"/>
          <w:right w:val="single" w:sz="8" w:space="0" w:color="26261E" w:themeColor="text1"/>
          <w:insideV w:val="single" w:sz="8" w:space="0" w:color="26261E" w:themeColor="text1"/>
        </w:tcBorders>
      </w:tcPr>
    </w:tblStylePr>
  </w:style>
  <w:style w:type="table" w:styleId="Lystrutenettuthevingsfarge1">
    <w:name w:val="Light Grid Accent 1"/>
    <w:basedOn w:val="Vanligtabell"/>
    <w:uiPriority w:val="62"/>
    <w:semiHidden/>
    <w:unhideWhenUsed/>
    <w:rsid w:val="00893D2C"/>
    <w:pPr>
      <w:spacing w:after="0" w:line="240" w:lineRule="auto"/>
    </w:p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insideH w:val="single" w:sz="8" w:space="0" w:color="262682" w:themeColor="accent1"/>
        <w:insideV w:val="single" w:sz="8" w:space="0" w:color="2626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82" w:themeColor="accent1"/>
          <w:left w:val="single" w:sz="8" w:space="0" w:color="262682" w:themeColor="accent1"/>
          <w:bottom w:val="single" w:sz="18" w:space="0" w:color="262682" w:themeColor="accent1"/>
          <w:right w:val="single" w:sz="8" w:space="0" w:color="262682" w:themeColor="accent1"/>
          <w:insideH w:val="nil"/>
          <w:insideV w:val="single" w:sz="8" w:space="0" w:color="2626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82" w:themeColor="accent1"/>
          <w:left w:val="single" w:sz="8" w:space="0" w:color="262682" w:themeColor="accent1"/>
          <w:bottom w:val="single" w:sz="8" w:space="0" w:color="262682" w:themeColor="accent1"/>
          <w:right w:val="single" w:sz="8" w:space="0" w:color="262682" w:themeColor="accent1"/>
          <w:insideH w:val="nil"/>
          <w:insideV w:val="single" w:sz="8" w:space="0" w:color="2626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tcPr>
    </w:tblStylePr>
    <w:tblStylePr w:type="band1Vert">
      <w:tblPr/>
      <w:tcPr>
        <w:tcBorders>
          <w:top w:val="single" w:sz="8" w:space="0" w:color="262682" w:themeColor="accent1"/>
          <w:left w:val="single" w:sz="8" w:space="0" w:color="262682" w:themeColor="accent1"/>
          <w:bottom w:val="single" w:sz="8" w:space="0" w:color="262682" w:themeColor="accent1"/>
          <w:right w:val="single" w:sz="8" w:space="0" w:color="262682" w:themeColor="accent1"/>
        </w:tcBorders>
        <w:shd w:val="clear" w:color="auto" w:fill="BDBDEB" w:themeFill="accent1" w:themeFillTint="3F"/>
      </w:tcPr>
    </w:tblStylePr>
    <w:tblStylePr w:type="band1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insideV w:val="single" w:sz="8" w:space="0" w:color="262682" w:themeColor="accent1"/>
        </w:tcBorders>
        <w:shd w:val="clear" w:color="auto" w:fill="BDBDEB" w:themeFill="accent1" w:themeFillTint="3F"/>
      </w:tcPr>
    </w:tblStylePr>
    <w:tblStylePr w:type="band2Horz">
      <w:tblPr/>
      <w:tcPr>
        <w:tcBorders>
          <w:top w:val="single" w:sz="8" w:space="0" w:color="262682" w:themeColor="accent1"/>
          <w:left w:val="single" w:sz="8" w:space="0" w:color="262682" w:themeColor="accent1"/>
          <w:bottom w:val="single" w:sz="8" w:space="0" w:color="262682" w:themeColor="accent1"/>
          <w:right w:val="single" w:sz="8" w:space="0" w:color="262682" w:themeColor="accent1"/>
          <w:insideV w:val="single" w:sz="8" w:space="0" w:color="262682" w:themeColor="accent1"/>
        </w:tcBorders>
      </w:tcPr>
    </w:tblStylePr>
  </w:style>
  <w:style w:type="table" w:styleId="Lystrutenettuthevingsfarge2">
    <w:name w:val="Light Grid Accent 2"/>
    <w:basedOn w:val="Vanligtabell"/>
    <w:uiPriority w:val="62"/>
    <w:semiHidden/>
    <w:unhideWhenUsed/>
    <w:rsid w:val="00893D2C"/>
    <w:pPr>
      <w:spacing w:after="0" w:line="240" w:lineRule="auto"/>
    </w:p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insideH w:val="single" w:sz="8" w:space="0" w:color="FFB26D" w:themeColor="accent2"/>
        <w:insideV w:val="single" w:sz="8" w:space="0" w:color="FFB26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B26D" w:themeColor="accent2"/>
          <w:left w:val="single" w:sz="8" w:space="0" w:color="FFB26D" w:themeColor="accent2"/>
          <w:bottom w:val="single" w:sz="18" w:space="0" w:color="FFB26D" w:themeColor="accent2"/>
          <w:right w:val="single" w:sz="8" w:space="0" w:color="FFB26D" w:themeColor="accent2"/>
          <w:insideH w:val="nil"/>
          <w:insideV w:val="single" w:sz="8" w:space="0" w:color="FFB26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26D" w:themeColor="accent2"/>
          <w:left w:val="single" w:sz="8" w:space="0" w:color="FFB26D" w:themeColor="accent2"/>
          <w:bottom w:val="single" w:sz="8" w:space="0" w:color="FFB26D" w:themeColor="accent2"/>
          <w:right w:val="single" w:sz="8" w:space="0" w:color="FFB26D" w:themeColor="accent2"/>
          <w:insideH w:val="nil"/>
          <w:insideV w:val="single" w:sz="8" w:space="0" w:color="FFB26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tcPr>
    </w:tblStylePr>
    <w:tblStylePr w:type="band1Vert">
      <w:tblPr/>
      <w:tcPr>
        <w:tcBorders>
          <w:top w:val="single" w:sz="8" w:space="0" w:color="FFB26D" w:themeColor="accent2"/>
          <w:left w:val="single" w:sz="8" w:space="0" w:color="FFB26D" w:themeColor="accent2"/>
          <w:bottom w:val="single" w:sz="8" w:space="0" w:color="FFB26D" w:themeColor="accent2"/>
          <w:right w:val="single" w:sz="8" w:space="0" w:color="FFB26D" w:themeColor="accent2"/>
        </w:tcBorders>
        <w:shd w:val="clear" w:color="auto" w:fill="FFEBDA" w:themeFill="accent2" w:themeFillTint="3F"/>
      </w:tcPr>
    </w:tblStylePr>
    <w:tblStylePr w:type="band1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insideV w:val="single" w:sz="8" w:space="0" w:color="FFB26D" w:themeColor="accent2"/>
        </w:tcBorders>
        <w:shd w:val="clear" w:color="auto" w:fill="FFEBDA" w:themeFill="accent2" w:themeFillTint="3F"/>
      </w:tcPr>
    </w:tblStylePr>
    <w:tblStylePr w:type="band2Horz">
      <w:tblPr/>
      <w:tcPr>
        <w:tcBorders>
          <w:top w:val="single" w:sz="8" w:space="0" w:color="FFB26D" w:themeColor="accent2"/>
          <w:left w:val="single" w:sz="8" w:space="0" w:color="FFB26D" w:themeColor="accent2"/>
          <w:bottom w:val="single" w:sz="8" w:space="0" w:color="FFB26D" w:themeColor="accent2"/>
          <w:right w:val="single" w:sz="8" w:space="0" w:color="FFB26D" w:themeColor="accent2"/>
          <w:insideV w:val="single" w:sz="8" w:space="0" w:color="FFB26D" w:themeColor="accent2"/>
        </w:tcBorders>
      </w:tcPr>
    </w:tblStylePr>
  </w:style>
  <w:style w:type="table" w:styleId="Lystrutenettuthevingsfarge3">
    <w:name w:val="Light Grid Accent 3"/>
    <w:basedOn w:val="Vanligtabell"/>
    <w:uiPriority w:val="62"/>
    <w:semiHidden/>
    <w:unhideWhenUsed/>
    <w:rsid w:val="00893D2C"/>
    <w:pPr>
      <w:spacing w:after="0" w:line="240" w:lineRule="auto"/>
    </w:p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insideH w:val="single" w:sz="8" w:space="0" w:color="3E8F98" w:themeColor="accent3"/>
        <w:insideV w:val="single" w:sz="8" w:space="0" w:color="3E8F98"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E8F98" w:themeColor="accent3"/>
          <w:left w:val="single" w:sz="8" w:space="0" w:color="3E8F98" w:themeColor="accent3"/>
          <w:bottom w:val="single" w:sz="18" w:space="0" w:color="3E8F98" w:themeColor="accent3"/>
          <w:right w:val="single" w:sz="8" w:space="0" w:color="3E8F98" w:themeColor="accent3"/>
          <w:insideH w:val="nil"/>
          <w:insideV w:val="single" w:sz="8" w:space="0" w:color="3E8F98"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E8F98" w:themeColor="accent3"/>
          <w:left w:val="single" w:sz="8" w:space="0" w:color="3E8F98" w:themeColor="accent3"/>
          <w:bottom w:val="single" w:sz="8" w:space="0" w:color="3E8F98" w:themeColor="accent3"/>
          <w:right w:val="single" w:sz="8" w:space="0" w:color="3E8F98" w:themeColor="accent3"/>
          <w:insideH w:val="nil"/>
          <w:insideV w:val="single" w:sz="8" w:space="0" w:color="3E8F98"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tcPr>
    </w:tblStylePr>
    <w:tblStylePr w:type="band1Vert">
      <w:tblPr/>
      <w:tcPr>
        <w:tcBorders>
          <w:top w:val="single" w:sz="8" w:space="0" w:color="3E8F98" w:themeColor="accent3"/>
          <w:left w:val="single" w:sz="8" w:space="0" w:color="3E8F98" w:themeColor="accent3"/>
          <w:bottom w:val="single" w:sz="8" w:space="0" w:color="3E8F98" w:themeColor="accent3"/>
          <w:right w:val="single" w:sz="8" w:space="0" w:color="3E8F98" w:themeColor="accent3"/>
        </w:tcBorders>
        <w:shd w:val="clear" w:color="auto" w:fill="CAE6E9" w:themeFill="accent3" w:themeFillTint="3F"/>
      </w:tcPr>
    </w:tblStylePr>
    <w:tblStylePr w:type="band1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insideV w:val="single" w:sz="8" w:space="0" w:color="3E8F98" w:themeColor="accent3"/>
        </w:tcBorders>
        <w:shd w:val="clear" w:color="auto" w:fill="CAE6E9" w:themeFill="accent3" w:themeFillTint="3F"/>
      </w:tcPr>
    </w:tblStylePr>
    <w:tblStylePr w:type="band2Horz">
      <w:tblPr/>
      <w:tcPr>
        <w:tcBorders>
          <w:top w:val="single" w:sz="8" w:space="0" w:color="3E8F98" w:themeColor="accent3"/>
          <w:left w:val="single" w:sz="8" w:space="0" w:color="3E8F98" w:themeColor="accent3"/>
          <w:bottom w:val="single" w:sz="8" w:space="0" w:color="3E8F98" w:themeColor="accent3"/>
          <w:right w:val="single" w:sz="8" w:space="0" w:color="3E8F98" w:themeColor="accent3"/>
          <w:insideV w:val="single" w:sz="8" w:space="0" w:color="3E8F98" w:themeColor="accent3"/>
        </w:tcBorders>
      </w:tcPr>
    </w:tblStylePr>
  </w:style>
  <w:style w:type="table" w:styleId="Lystrutenettuthevingsfarge4">
    <w:name w:val="Light Grid Accent 4"/>
    <w:basedOn w:val="Vanligtabell"/>
    <w:uiPriority w:val="62"/>
    <w:semiHidden/>
    <w:unhideWhenUsed/>
    <w:rsid w:val="00893D2C"/>
    <w:pPr>
      <w:spacing w:after="0" w:line="240" w:lineRule="auto"/>
    </w:p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insideH w:val="single" w:sz="8" w:space="0" w:color="26261E" w:themeColor="accent4"/>
        <w:insideV w:val="single" w:sz="8" w:space="0" w:color="26261E"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6261E" w:themeColor="accent4"/>
          <w:left w:val="single" w:sz="8" w:space="0" w:color="26261E" w:themeColor="accent4"/>
          <w:bottom w:val="single" w:sz="18" w:space="0" w:color="26261E" w:themeColor="accent4"/>
          <w:right w:val="single" w:sz="8" w:space="0" w:color="26261E" w:themeColor="accent4"/>
          <w:insideH w:val="nil"/>
          <w:insideV w:val="single" w:sz="8" w:space="0" w:color="26261E"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6261E" w:themeColor="accent4"/>
          <w:left w:val="single" w:sz="8" w:space="0" w:color="26261E" w:themeColor="accent4"/>
          <w:bottom w:val="single" w:sz="8" w:space="0" w:color="26261E" w:themeColor="accent4"/>
          <w:right w:val="single" w:sz="8" w:space="0" w:color="26261E" w:themeColor="accent4"/>
          <w:insideH w:val="nil"/>
          <w:insideV w:val="single" w:sz="8" w:space="0" w:color="26261E"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tcPr>
    </w:tblStylePr>
    <w:tblStylePr w:type="band1Vert">
      <w:tblPr/>
      <w:tcPr>
        <w:tcBorders>
          <w:top w:val="single" w:sz="8" w:space="0" w:color="26261E" w:themeColor="accent4"/>
          <w:left w:val="single" w:sz="8" w:space="0" w:color="26261E" w:themeColor="accent4"/>
          <w:bottom w:val="single" w:sz="8" w:space="0" w:color="26261E" w:themeColor="accent4"/>
          <w:right w:val="single" w:sz="8" w:space="0" w:color="26261E" w:themeColor="accent4"/>
        </w:tcBorders>
        <w:shd w:val="clear" w:color="auto" w:fill="CECEC1" w:themeFill="accent4" w:themeFillTint="3F"/>
      </w:tcPr>
    </w:tblStylePr>
    <w:tblStylePr w:type="band1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insideV w:val="single" w:sz="8" w:space="0" w:color="26261E" w:themeColor="accent4"/>
        </w:tcBorders>
        <w:shd w:val="clear" w:color="auto" w:fill="CECEC1" w:themeFill="accent4" w:themeFillTint="3F"/>
      </w:tcPr>
    </w:tblStylePr>
    <w:tblStylePr w:type="band2Horz">
      <w:tblPr/>
      <w:tcPr>
        <w:tcBorders>
          <w:top w:val="single" w:sz="8" w:space="0" w:color="26261E" w:themeColor="accent4"/>
          <w:left w:val="single" w:sz="8" w:space="0" w:color="26261E" w:themeColor="accent4"/>
          <w:bottom w:val="single" w:sz="8" w:space="0" w:color="26261E" w:themeColor="accent4"/>
          <w:right w:val="single" w:sz="8" w:space="0" w:color="26261E" w:themeColor="accent4"/>
          <w:insideV w:val="single" w:sz="8" w:space="0" w:color="26261E" w:themeColor="accent4"/>
        </w:tcBorders>
      </w:tcPr>
    </w:tblStylePr>
  </w:style>
  <w:style w:type="table" w:styleId="Lystrutenettuthevingsfarge5">
    <w:name w:val="Light Grid Accent 5"/>
    <w:basedOn w:val="Vanligtabell"/>
    <w:uiPriority w:val="62"/>
    <w:semiHidden/>
    <w:unhideWhenUsed/>
    <w:rsid w:val="00893D2C"/>
    <w:pPr>
      <w:spacing w:after="0" w:line="240" w:lineRule="auto"/>
    </w:p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insideH w:val="single" w:sz="8" w:space="0" w:color="FCECDE" w:themeColor="accent5"/>
        <w:insideV w:val="single" w:sz="8" w:space="0" w:color="FCECDE"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CECDE" w:themeColor="accent5"/>
          <w:left w:val="single" w:sz="8" w:space="0" w:color="FCECDE" w:themeColor="accent5"/>
          <w:bottom w:val="single" w:sz="18" w:space="0" w:color="FCECDE" w:themeColor="accent5"/>
          <w:right w:val="single" w:sz="8" w:space="0" w:color="FCECDE" w:themeColor="accent5"/>
          <w:insideH w:val="nil"/>
          <w:insideV w:val="single" w:sz="8" w:space="0" w:color="FCECDE"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CECDE" w:themeColor="accent5"/>
          <w:left w:val="single" w:sz="8" w:space="0" w:color="FCECDE" w:themeColor="accent5"/>
          <w:bottom w:val="single" w:sz="8" w:space="0" w:color="FCECDE" w:themeColor="accent5"/>
          <w:right w:val="single" w:sz="8" w:space="0" w:color="FCECDE" w:themeColor="accent5"/>
          <w:insideH w:val="nil"/>
          <w:insideV w:val="single" w:sz="8" w:space="0" w:color="FCECDE"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tcPr>
    </w:tblStylePr>
    <w:tblStylePr w:type="band1Vert">
      <w:tblPr/>
      <w:tcPr>
        <w:tcBorders>
          <w:top w:val="single" w:sz="8" w:space="0" w:color="FCECDE" w:themeColor="accent5"/>
          <w:left w:val="single" w:sz="8" w:space="0" w:color="FCECDE" w:themeColor="accent5"/>
          <w:bottom w:val="single" w:sz="8" w:space="0" w:color="FCECDE" w:themeColor="accent5"/>
          <w:right w:val="single" w:sz="8" w:space="0" w:color="FCECDE" w:themeColor="accent5"/>
        </w:tcBorders>
        <w:shd w:val="clear" w:color="auto" w:fill="FEFAF6" w:themeFill="accent5" w:themeFillTint="3F"/>
      </w:tcPr>
    </w:tblStylePr>
    <w:tblStylePr w:type="band1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insideV w:val="single" w:sz="8" w:space="0" w:color="FCECDE" w:themeColor="accent5"/>
        </w:tcBorders>
        <w:shd w:val="clear" w:color="auto" w:fill="FEFAF6" w:themeFill="accent5" w:themeFillTint="3F"/>
      </w:tcPr>
    </w:tblStylePr>
    <w:tblStylePr w:type="band2Horz">
      <w:tblPr/>
      <w:tcPr>
        <w:tcBorders>
          <w:top w:val="single" w:sz="8" w:space="0" w:color="FCECDE" w:themeColor="accent5"/>
          <w:left w:val="single" w:sz="8" w:space="0" w:color="FCECDE" w:themeColor="accent5"/>
          <w:bottom w:val="single" w:sz="8" w:space="0" w:color="FCECDE" w:themeColor="accent5"/>
          <w:right w:val="single" w:sz="8" w:space="0" w:color="FCECDE" w:themeColor="accent5"/>
          <w:insideV w:val="single" w:sz="8" w:space="0" w:color="FCECDE" w:themeColor="accent5"/>
        </w:tcBorders>
      </w:tcPr>
    </w:tblStylePr>
  </w:style>
  <w:style w:type="table" w:styleId="Lystrutenettuthevingsfarge6">
    <w:name w:val="Light Grid Accent 6"/>
    <w:basedOn w:val="Vanligtabell"/>
    <w:uiPriority w:val="62"/>
    <w:semiHidden/>
    <w:unhideWhenUsed/>
    <w:rsid w:val="00893D2C"/>
    <w:pPr>
      <w:spacing w:after="0" w:line="240" w:lineRule="auto"/>
    </w:p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insideH w:val="single" w:sz="8" w:space="0" w:color="F2F8F8" w:themeColor="accent6"/>
        <w:insideV w:val="single" w:sz="8" w:space="0" w:color="F2F8F8"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2F8F8" w:themeColor="accent6"/>
          <w:left w:val="single" w:sz="8" w:space="0" w:color="F2F8F8" w:themeColor="accent6"/>
          <w:bottom w:val="single" w:sz="18" w:space="0" w:color="F2F8F8" w:themeColor="accent6"/>
          <w:right w:val="single" w:sz="8" w:space="0" w:color="F2F8F8" w:themeColor="accent6"/>
          <w:insideH w:val="nil"/>
          <w:insideV w:val="single" w:sz="8" w:space="0" w:color="F2F8F8"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2F8F8" w:themeColor="accent6"/>
          <w:left w:val="single" w:sz="8" w:space="0" w:color="F2F8F8" w:themeColor="accent6"/>
          <w:bottom w:val="single" w:sz="8" w:space="0" w:color="F2F8F8" w:themeColor="accent6"/>
          <w:right w:val="single" w:sz="8" w:space="0" w:color="F2F8F8" w:themeColor="accent6"/>
          <w:insideH w:val="nil"/>
          <w:insideV w:val="single" w:sz="8" w:space="0" w:color="F2F8F8"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tcPr>
    </w:tblStylePr>
    <w:tblStylePr w:type="band1Vert">
      <w:tblPr/>
      <w:tcPr>
        <w:tcBorders>
          <w:top w:val="single" w:sz="8" w:space="0" w:color="F2F8F8" w:themeColor="accent6"/>
          <w:left w:val="single" w:sz="8" w:space="0" w:color="F2F8F8" w:themeColor="accent6"/>
          <w:bottom w:val="single" w:sz="8" w:space="0" w:color="F2F8F8" w:themeColor="accent6"/>
          <w:right w:val="single" w:sz="8" w:space="0" w:color="F2F8F8" w:themeColor="accent6"/>
        </w:tcBorders>
        <w:shd w:val="clear" w:color="auto" w:fill="FBFDFD" w:themeFill="accent6" w:themeFillTint="3F"/>
      </w:tcPr>
    </w:tblStylePr>
    <w:tblStylePr w:type="band1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insideV w:val="single" w:sz="8" w:space="0" w:color="F2F8F8" w:themeColor="accent6"/>
        </w:tcBorders>
        <w:shd w:val="clear" w:color="auto" w:fill="FBFDFD" w:themeFill="accent6" w:themeFillTint="3F"/>
      </w:tcPr>
    </w:tblStylePr>
    <w:tblStylePr w:type="band2Horz">
      <w:tblPr/>
      <w:tcPr>
        <w:tcBorders>
          <w:top w:val="single" w:sz="8" w:space="0" w:color="F2F8F8" w:themeColor="accent6"/>
          <w:left w:val="single" w:sz="8" w:space="0" w:color="F2F8F8" w:themeColor="accent6"/>
          <w:bottom w:val="single" w:sz="8" w:space="0" w:color="F2F8F8" w:themeColor="accent6"/>
          <w:right w:val="single" w:sz="8" w:space="0" w:color="F2F8F8" w:themeColor="accent6"/>
          <w:insideV w:val="single" w:sz="8" w:space="0" w:color="F2F8F8" w:themeColor="accent6"/>
        </w:tcBorders>
      </w:tcPr>
    </w:tblStylePr>
  </w:style>
  <w:style w:type="paragraph" w:styleId="Makrotekst">
    <w:name w:val="macro"/>
    <w:link w:val="MakrotekstTegn"/>
    <w:uiPriority w:val="99"/>
    <w:semiHidden/>
    <w:unhideWhenUsed/>
    <w:rsid w:val="00893D2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gn">
    <w:name w:val="Makrotekst Tegn"/>
    <w:basedOn w:val="Standardskriftforavsnitt"/>
    <w:link w:val="Makrotekst"/>
    <w:uiPriority w:val="99"/>
    <w:semiHidden/>
    <w:rsid w:val="00893D2C"/>
    <w:rPr>
      <w:rFonts w:ascii="Consolas" w:hAnsi="Consolas"/>
      <w:sz w:val="20"/>
      <w:szCs w:val="20"/>
    </w:rPr>
  </w:style>
  <w:style w:type="paragraph" w:styleId="Meldingshode">
    <w:name w:val="Message Header"/>
    <w:basedOn w:val="Normal"/>
    <w:link w:val="MeldingshodeTegn"/>
    <w:uiPriority w:val="99"/>
    <w:semiHidden/>
    <w:unhideWhenUsed/>
    <w:rsid w:val="00893D2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ldingshodeTegn">
    <w:name w:val="Meldingshode Tegn"/>
    <w:basedOn w:val="Standardskriftforavsnitt"/>
    <w:link w:val="Meldingshode"/>
    <w:uiPriority w:val="99"/>
    <w:semiHidden/>
    <w:rsid w:val="00893D2C"/>
    <w:rPr>
      <w:rFonts w:asciiTheme="majorHAnsi" w:eastAsiaTheme="majorEastAsia" w:hAnsiTheme="majorHAnsi" w:cstheme="majorBidi"/>
      <w:sz w:val="24"/>
      <w:szCs w:val="24"/>
      <w:shd w:val="pct20" w:color="auto" w:fill="auto"/>
    </w:rPr>
  </w:style>
  <w:style w:type="character" w:styleId="Merknadsreferanse">
    <w:name w:val="annotation reference"/>
    <w:basedOn w:val="Standardskriftforavsnitt"/>
    <w:uiPriority w:val="99"/>
    <w:semiHidden/>
    <w:unhideWhenUsed/>
    <w:rsid w:val="00893D2C"/>
    <w:rPr>
      <w:sz w:val="16"/>
      <w:szCs w:val="16"/>
    </w:rPr>
  </w:style>
  <w:style w:type="table" w:styleId="Middelsliste1">
    <w:name w:val="Medium List 1"/>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1E" w:themeColor="text1"/>
        <w:bottom w:val="single" w:sz="8" w:space="0" w:color="26261E" w:themeColor="text1"/>
      </w:tblBorders>
    </w:tblPr>
    <w:tblStylePr w:type="firstRow">
      <w:rPr>
        <w:rFonts w:asciiTheme="majorHAnsi" w:eastAsiaTheme="majorEastAsia" w:hAnsiTheme="majorHAnsi" w:cstheme="majorBidi"/>
      </w:rPr>
      <w:tblPr/>
      <w:tcPr>
        <w:tcBorders>
          <w:top w:val="nil"/>
          <w:bottom w:val="single" w:sz="8" w:space="0" w:color="26261E" w:themeColor="text1"/>
        </w:tcBorders>
      </w:tcPr>
    </w:tblStylePr>
    <w:tblStylePr w:type="lastRow">
      <w:rPr>
        <w:b/>
        <w:bCs/>
        <w:color w:val="828282" w:themeColor="text2"/>
      </w:rPr>
      <w:tblPr/>
      <w:tcPr>
        <w:tcBorders>
          <w:top w:val="single" w:sz="8" w:space="0" w:color="26261E" w:themeColor="text1"/>
          <w:bottom w:val="single" w:sz="8" w:space="0" w:color="26261E" w:themeColor="text1"/>
        </w:tcBorders>
      </w:tcPr>
    </w:tblStylePr>
    <w:tblStylePr w:type="firstCol">
      <w:rPr>
        <w:b/>
        <w:bCs/>
      </w:rPr>
    </w:tblStylePr>
    <w:tblStylePr w:type="lastCol">
      <w:rPr>
        <w:b/>
        <w:bCs/>
      </w:rPr>
      <w:tblPr/>
      <w:tcPr>
        <w:tcBorders>
          <w:top w:val="single" w:sz="8" w:space="0" w:color="26261E" w:themeColor="text1"/>
          <w:bottom w:val="single" w:sz="8" w:space="0" w:color="26261E" w:themeColor="text1"/>
        </w:tcBorders>
      </w:tcPr>
    </w:tblStylePr>
    <w:tblStylePr w:type="band1Vert">
      <w:tblPr/>
      <w:tcPr>
        <w:shd w:val="clear" w:color="auto" w:fill="CECEC1" w:themeFill="text1" w:themeFillTint="3F"/>
      </w:tcPr>
    </w:tblStylePr>
    <w:tblStylePr w:type="band1Horz">
      <w:tblPr/>
      <w:tcPr>
        <w:shd w:val="clear" w:color="auto" w:fill="CECEC1" w:themeFill="text1" w:themeFillTint="3F"/>
      </w:tcPr>
    </w:tblStylePr>
  </w:style>
  <w:style w:type="table" w:styleId="Middelsliste1uthevingsfarge1">
    <w:name w:val="Medium List 1 Accent 1"/>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82" w:themeColor="accent1"/>
        <w:bottom w:val="single" w:sz="8" w:space="0" w:color="262682" w:themeColor="accent1"/>
      </w:tblBorders>
    </w:tblPr>
    <w:tblStylePr w:type="firstRow">
      <w:rPr>
        <w:rFonts w:asciiTheme="majorHAnsi" w:eastAsiaTheme="majorEastAsia" w:hAnsiTheme="majorHAnsi" w:cstheme="majorBidi"/>
      </w:rPr>
      <w:tblPr/>
      <w:tcPr>
        <w:tcBorders>
          <w:top w:val="nil"/>
          <w:bottom w:val="single" w:sz="8" w:space="0" w:color="262682" w:themeColor="accent1"/>
        </w:tcBorders>
      </w:tcPr>
    </w:tblStylePr>
    <w:tblStylePr w:type="lastRow">
      <w:rPr>
        <w:b/>
        <w:bCs/>
        <w:color w:val="828282" w:themeColor="text2"/>
      </w:rPr>
      <w:tblPr/>
      <w:tcPr>
        <w:tcBorders>
          <w:top w:val="single" w:sz="8" w:space="0" w:color="262682" w:themeColor="accent1"/>
          <w:bottom w:val="single" w:sz="8" w:space="0" w:color="262682" w:themeColor="accent1"/>
        </w:tcBorders>
      </w:tcPr>
    </w:tblStylePr>
    <w:tblStylePr w:type="firstCol">
      <w:rPr>
        <w:b/>
        <w:bCs/>
      </w:rPr>
    </w:tblStylePr>
    <w:tblStylePr w:type="lastCol">
      <w:rPr>
        <w:b/>
        <w:bCs/>
      </w:rPr>
      <w:tblPr/>
      <w:tcPr>
        <w:tcBorders>
          <w:top w:val="single" w:sz="8" w:space="0" w:color="262682" w:themeColor="accent1"/>
          <w:bottom w:val="single" w:sz="8" w:space="0" w:color="262682" w:themeColor="accent1"/>
        </w:tcBorders>
      </w:tcPr>
    </w:tblStylePr>
    <w:tblStylePr w:type="band1Vert">
      <w:tblPr/>
      <w:tcPr>
        <w:shd w:val="clear" w:color="auto" w:fill="BDBDEB" w:themeFill="accent1" w:themeFillTint="3F"/>
      </w:tcPr>
    </w:tblStylePr>
    <w:tblStylePr w:type="band1Horz">
      <w:tblPr/>
      <w:tcPr>
        <w:shd w:val="clear" w:color="auto" w:fill="BDBDEB" w:themeFill="accent1" w:themeFillTint="3F"/>
      </w:tcPr>
    </w:tblStylePr>
  </w:style>
  <w:style w:type="table" w:styleId="Middelsliste1uthevingsfarge2">
    <w:name w:val="Medium List 1 Accent 2"/>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FB26D" w:themeColor="accent2"/>
        <w:bottom w:val="single" w:sz="8" w:space="0" w:color="FFB26D" w:themeColor="accent2"/>
      </w:tblBorders>
    </w:tblPr>
    <w:tblStylePr w:type="firstRow">
      <w:rPr>
        <w:rFonts w:asciiTheme="majorHAnsi" w:eastAsiaTheme="majorEastAsia" w:hAnsiTheme="majorHAnsi" w:cstheme="majorBidi"/>
      </w:rPr>
      <w:tblPr/>
      <w:tcPr>
        <w:tcBorders>
          <w:top w:val="nil"/>
          <w:bottom w:val="single" w:sz="8" w:space="0" w:color="FFB26D" w:themeColor="accent2"/>
        </w:tcBorders>
      </w:tcPr>
    </w:tblStylePr>
    <w:tblStylePr w:type="lastRow">
      <w:rPr>
        <w:b/>
        <w:bCs/>
        <w:color w:val="828282" w:themeColor="text2"/>
      </w:rPr>
      <w:tblPr/>
      <w:tcPr>
        <w:tcBorders>
          <w:top w:val="single" w:sz="8" w:space="0" w:color="FFB26D" w:themeColor="accent2"/>
          <w:bottom w:val="single" w:sz="8" w:space="0" w:color="FFB26D" w:themeColor="accent2"/>
        </w:tcBorders>
      </w:tcPr>
    </w:tblStylePr>
    <w:tblStylePr w:type="firstCol">
      <w:rPr>
        <w:b/>
        <w:bCs/>
      </w:rPr>
    </w:tblStylePr>
    <w:tblStylePr w:type="lastCol">
      <w:rPr>
        <w:b/>
        <w:bCs/>
      </w:rPr>
      <w:tblPr/>
      <w:tcPr>
        <w:tcBorders>
          <w:top w:val="single" w:sz="8" w:space="0" w:color="FFB26D" w:themeColor="accent2"/>
          <w:bottom w:val="single" w:sz="8" w:space="0" w:color="FFB26D" w:themeColor="accent2"/>
        </w:tcBorders>
      </w:tcPr>
    </w:tblStylePr>
    <w:tblStylePr w:type="band1Vert">
      <w:tblPr/>
      <w:tcPr>
        <w:shd w:val="clear" w:color="auto" w:fill="FFEBDA" w:themeFill="accent2" w:themeFillTint="3F"/>
      </w:tcPr>
    </w:tblStylePr>
    <w:tblStylePr w:type="band1Horz">
      <w:tblPr/>
      <w:tcPr>
        <w:shd w:val="clear" w:color="auto" w:fill="FFEBDA" w:themeFill="accent2" w:themeFillTint="3F"/>
      </w:tcPr>
    </w:tblStylePr>
  </w:style>
  <w:style w:type="table" w:styleId="Middelsliste1uthevingsfarge3">
    <w:name w:val="Medium List 1 Accent 3"/>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3E8F98" w:themeColor="accent3"/>
        <w:bottom w:val="single" w:sz="8" w:space="0" w:color="3E8F98" w:themeColor="accent3"/>
      </w:tblBorders>
    </w:tblPr>
    <w:tblStylePr w:type="firstRow">
      <w:rPr>
        <w:rFonts w:asciiTheme="majorHAnsi" w:eastAsiaTheme="majorEastAsia" w:hAnsiTheme="majorHAnsi" w:cstheme="majorBidi"/>
      </w:rPr>
      <w:tblPr/>
      <w:tcPr>
        <w:tcBorders>
          <w:top w:val="nil"/>
          <w:bottom w:val="single" w:sz="8" w:space="0" w:color="3E8F98" w:themeColor="accent3"/>
        </w:tcBorders>
      </w:tcPr>
    </w:tblStylePr>
    <w:tblStylePr w:type="lastRow">
      <w:rPr>
        <w:b/>
        <w:bCs/>
        <w:color w:val="828282" w:themeColor="text2"/>
      </w:rPr>
      <w:tblPr/>
      <w:tcPr>
        <w:tcBorders>
          <w:top w:val="single" w:sz="8" w:space="0" w:color="3E8F98" w:themeColor="accent3"/>
          <w:bottom w:val="single" w:sz="8" w:space="0" w:color="3E8F98" w:themeColor="accent3"/>
        </w:tcBorders>
      </w:tcPr>
    </w:tblStylePr>
    <w:tblStylePr w:type="firstCol">
      <w:rPr>
        <w:b/>
        <w:bCs/>
      </w:rPr>
    </w:tblStylePr>
    <w:tblStylePr w:type="lastCol">
      <w:rPr>
        <w:b/>
        <w:bCs/>
      </w:rPr>
      <w:tblPr/>
      <w:tcPr>
        <w:tcBorders>
          <w:top w:val="single" w:sz="8" w:space="0" w:color="3E8F98" w:themeColor="accent3"/>
          <w:bottom w:val="single" w:sz="8" w:space="0" w:color="3E8F98" w:themeColor="accent3"/>
        </w:tcBorders>
      </w:tcPr>
    </w:tblStylePr>
    <w:tblStylePr w:type="band1Vert">
      <w:tblPr/>
      <w:tcPr>
        <w:shd w:val="clear" w:color="auto" w:fill="CAE6E9" w:themeFill="accent3" w:themeFillTint="3F"/>
      </w:tcPr>
    </w:tblStylePr>
    <w:tblStylePr w:type="band1Horz">
      <w:tblPr/>
      <w:tcPr>
        <w:shd w:val="clear" w:color="auto" w:fill="CAE6E9" w:themeFill="accent3" w:themeFillTint="3F"/>
      </w:tcPr>
    </w:tblStylePr>
  </w:style>
  <w:style w:type="table" w:styleId="Middelsliste1uthevingsfarge4">
    <w:name w:val="Medium List 1 Accent 4"/>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26261E" w:themeColor="accent4"/>
        <w:bottom w:val="single" w:sz="8" w:space="0" w:color="26261E" w:themeColor="accent4"/>
      </w:tblBorders>
    </w:tblPr>
    <w:tblStylePr w:type="firstRow">
      <w:rPr>
        <w:rFonts w:asciiTheme="majorHAnsi" w:eastAsiaTheme="majorEastAsia" w:hAnsiTheme="majorHAnsi" w:cstheme="majorBidi"/>
      </w:rPr>
      <w:tblPr/>
      <w:tcPr>
        <w:tcBorders>
          <w:top w:val="nil"/>
          <w:bottom w:val="single" w:sz="8" w:space="0" w:color="26261E" w:themeColor="accent4"/>
        </w:tcBorders>
      </w:tcPr>
    </w:tblStylePr>
    <w:tblStylePr w:type="lastRow">
      <w:rPr>
        <w:b/>
        <w:bCs/>
        <w:color w:val="828282" w:themeColor="text2"/>
      </w:rPr>
      <w:tblPr/>
      <w:tcPr>
        <w:tcBorders>
          <w:top w:val="single" w:sz="8" w:space="0" w:color="26261E" w:themeColor="accent4"/>
          <w:bottom w:val="single" w:sz="8" w:space="0" w:color="26261E" w:themeColor="accent4"/>
        </w:tcBorders>
      </w:tcPr>
    </w:tblStylePr>
    <w:tblStylePr w:type="firstCol">
      <w:rPr>
        <w:b/>
        <w:bCs/>
      </w:rPr>
    </w:tblStylePr>
    <w:tblStylePr w:type="lastCol">
      <w:rPr>
        <w:b/>
        <w:bCs/>
      </w:rPr>
      <w:tblPr/>
      <w:tcPr>
        <w:tcBorders>
          <w:top w:val="single" w:sz="8" w:space="0" w:color="26261E" w:themeColor="accent4"/>
          <w:bottom w:val="single" w:sz="8" w:space="0" w:color="26261E" w:themeColor="accent4"/>
        </w:tcBorders>
      </w:tcPr>
    </w:tblStylePr>
    <w:tblStylePr w:type="band1Vert">
      <w:tblPr/>
      <w:tcPr>
        <w:shd w:val="clear" w:color="auto" w:fill="CECEC1" w:themeFill="accent4" w:themeFillTint="3F"/>
      </w:tcPr>
    </w:tblStylePr>
    <w:tblStylePr w:type="band1Horz">
      <w:tblPr/>
      <w:tcPr>
        <w:shd w:val="clear" w:color="auto" w:fill="CECEC1" w:themeFill="accent4" w:themeFillTint="3F"/>
      </w:tcPr>
    </w:tblStylePr>
  </w:style>
  <w:style w:type="table" w:styleId="Middelsliste1uthevingsfarge5">
    <w:name w:val="Medium List 1 Accent 5"/>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CECDE" w:themeColor="accent5"/>
        <w:bottom w:val="single" w:sz="8" w:space="0" w:color="FCECDE" w:themeColor="accent5"/>
      </w:tblBorders>
    </w:tblPr>
    <w:tblStylePr w:type="firstRow">
      <w:rPr>
        <w:rFonts w:asciiTheme="majorHAnsi" w:eastAsiaTheme="majorEastAsia" w:hAnsiTheme="majorHAnsi" w:cstheme="majorBidi"/>
      </w:rPr>
      <w:tblPr/>
      <w:tcPr>
        <w:tcBorders>
          <w:top w:val="nil"/>
          <w:bottom w:val="single" w:sz="8" w:space="0" w:color="FCECDE" w:themeColor="accent5"/>
        </w:tcBorders>
      </w:tcPr>
    </w:tblStylePr>
    <w:tblStylePr w:type="lastRow">
      <w:rPr>
        <w:b/>
        <w:bCs/>
        <w:color w:val="828282" w:themeColor="text2"/>
      </w:rPr>
      <w:tblPr/>
      <w:tcPr>
        <w:tcBorders>
          <w:top w:val="single" w:sz="8" w:space="0" w:color="FCECDE" w:themeColor="accent5"/>
          <w:bottom w:val="single" w:sz="8" w:space="0" w:color="FCECDE" w:themeColor="accent5"/>
        </w:tcBorders>
      </w:tcPr>
    </w:tblStylePr>
    <w:tblStylePr w:type="firstCol">
      <w:rPr>
        <w:b/>
        <w:bCs/>
      </w:rPr>
    </w:tblStylePr>
    <w:tblStylePr w:type="lastCol">
      <w:rPr>
        <w:b/>
        <w:bCs/>
      </w:rPr>
      <w:tblPr/>
      <w:tcPr>
        <w:tcBorders>
          <w:top w:val="single" w:sz="8" w:space="0" w:color="FCECDE" w:themeColor="accent5"/>
          <w:bottom w:val="single" w:sz="8" w:space="0" w:color="FCECDE" w:themeColor="accent5"/>
        </w:tcBorders>
      </w:tcPr>
    </w:tblStylePr>
    <w:tblStylePr w:type="band1Vert">
      <w:tblPr/>
      <w:tcPr>
        <w:shd w:val="clear" w:color="auto" w:fill="FEFAF6" w:themeFill="accent5" w:themeFillTint="3F"/>
      </w:tcPr>
    </w:tblStylePr>
    <w:tblStylePr w:type="band1Horz">
      <w:tblPr/>
      <w:tcPr>
        <w:shd w:val="clear" w:color="auto" w:fill="FEFAF6" w:themeFill="accent5" w:themeFillTint="3F"/>
      </w:tcPr>
    </w:tblStylePr>
  </w:style>
  <w:style w:type="table" w:styleId="Middelsliste1uthevingsfarge6">
    <w:name w:val="Medium List 1 Accent 6"/>
    <w:basedOn w:val="Vanligtabell"/>
    <w:uiPriority w:val="65"/>
    <w:semiHidden/>
    <w:unhideWhenUsed/>
    <w:rsid w:val="00893D2C"/>
    <w:pPr>
      <w:spacing w:after="0" w:line="240" w:lineRule="auto"/>
    </w:pPr>
    <w:rPr>
      <w:color w:val="26261E" w:themeColor="text1"/>
    </w:rPr>
    <w:tblPr>
      <w:tblStyleRowBandSize w:val="1"/>
      <w:tblStyleColBandSize w:val="1"/>
      <w:tblBorders>
        <w:top w:val="single" w:sz="8" w:space="0" w:color="F2F8F8" w:themeColor="accent6"/>
        <w:bottom w:val="single" w:sz="8" w:space="0" w:color="F2F8F8" w:themeColor="accent6"/>
      </w:tblBorders>
    </w:tblPr>
    <w:tblStylePr w:type="firstRow">
      <w:rPr>
        <w:rFonts w:asciiTheme="majorHAnsi" w:eastAsiaTheme="majorEastAsia" w:hAnsiTheme="majorHAnsi" w:cstheme="majorBidi"/>
      </w:rPr>
      <w:tblPr/>
      <w:tcPr>
        <w:tcBorders>
          <w:top w:val="nil"/>
          <w:bottom w:val="single" w:sz="8" w:space="0" w:color="F2F8F8" w:themeColor="accent6"/>
        </w:tcBorders>
      </w:tcPr>
    </w:tblStylePr>
    <w:tblStylePr w:type="lastRow">
      <w:rPr>
        <w:b/>
        <w:bCs/>
        <w:color w:val="828282" w:themeColor="text2"/>
      </w:rPr>
      <w:tblPr/>
      <w:tcPr>
        <w:tcBorders>
          <w:top w:val="single" w:sz="8" w:space="0" w:color="F2F8F8" w:themeColor="accent6"/>
          <w:bottom w:val="single" w:sz="8" w:space="0" w:color="F2F8F8" w:themeColor="accent6"/>
        </w:tcBorders>
      </w:tcPr>
    </w:tblStylePr>
    <w:tblStylePr w:type="firstCol">
      <w:rPr>
        <w:b/>
        <w:bCs/>
      </w:rPr>
    </w:tblStylePr>
    <w:tblStylePr w:type="lastCol">
      <w:rPr>
        <w:b/>
        <w:bCs/>
      </w:rPr>
      <w:tblPr/>
      <w:tcPr>
        <w:tcBorders>
          <w:top w:val="single" w:sz="8" w:space="0" w:color="F2F8F8" w:themeColor="accent6"/>
          <w:bottom w:val="single" w:sz="8" w:space="0" w:color="F2F8F8" w:themeColor="accent6"/>
        </w:tcBorders>
      </w:tcPr>
    </w:tblStylePr>
    <w:tblStylePr w:type="band1Vert">
      <w:tblPr/>
      <w:tcPr>
        <w:shd w:val="clear" w:color="auto" w:fill="FBFDFD" w:themeFill="accent6" w:themeFillTint="3F"/>
      </w:tcPr>
    </w:tblStylePr>
    <w:tblStylePr w:type="band1Horz">
      <w:tblPr/>
      <w:tcPr>
        <w:shd w:val="clear" w:color="auto" w:fill="FBFDFD" w:themeFill="accent6" w:themeFillTint="3F"/>
      </w:tcPr>
    </w:tblStylePr>
  </w:style>
  <w:style w:type="table" w:styleId="Middelsliste2">
    <w:name w:val="Medium List 2"/>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tblBorders>
    </w:tblPr>
    <w:tblStylePr w:type="firstRow">
      <w:rPr>
        <w:sz w:val="24"/>
        <w:szCs w:val="24"/>
      </w:rPr>
      <w:tblPr/>
      <w:tcPr>
        <w:tcBorders>
          <w:top w:val="nil"/>
          <w:left w:val="nil"/>
          <w:bottom w:val="single" w:sz="24" w:space="0" w:color="26261E"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1E" w:themeColor="text1"/>
          <w:insideH w:val="nil"/>
          <w:insideV w:val="nil"/>
        </w:tcBorders>
        <w:shd w:val="clear" w:color="auto" w:fill="FFFFFF" w:themeFill="background1"/>
      </w:tcPr>
    </w:tblStylePr>
    <w:tblStylePr w:type="lastCol">
      <w:tblPr/>
      <w:tcPr>
        <w:tcBorders>
          <w:top w:val="nil"/>
          <w:left w:val="single" w:sz="8" w:space="0" w:color="26261E"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EC1" w:themeFill="text1" w:themeFillTint="3F"/>
      </w:tcPr>
    </w:tblStylePr>
    <w:tblStylePr w:type="band1Horz">
      <w:tblPr/>
      <w:tcPr>
        <w:tcBorders>
          <w:top w:val="nil"/>
          <w:bottom w:val="nil"/>
          <w:insideH w:val="nil"/>
          <w:insideV w:val="nil"/>
        </w:tcBorders>
        <w:shd w:val="clear" w:color="auto" w:fill="CECEC1"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1">
    <w:name w:val="Medium List 2 Accent 1"/>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tblBorders>
    </w:tblPr>
    <w:tblStylePr w:type="firstRow">
      <w:rPr>
        <w:sz w:val="24"/>
        <w:szCs w:val="24"/>
      </w:rPr>
      <w:tblPr/>
      <w:tcPr>
        <w:tcBorders>
          <w:top w:val="nil"/>
          <w:left w:val="nil"/>
          <w:bottom w:val="single" w:sz="24" w:space="0" w:color="262682"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82" w:themeColor="accent1"/>
          <w:insideH w:val="nil"/>
          <w:insideV w:val="nil"/>
        </w:tcBorders>
        <w:shd w:val="clear" w:color="auto" w:fill="FFFFFF" w:themeFill="background1"/>
      </w:tcPr>
    </w:tblStylePr>
    <w:tblStylePr w:type="lastCol">
      <w:tblPr/>
      <w:tcPr>
        <w:tcBorders>
          <w:top w:val="nil"/>
          <w:left w:val="single" w:sz="8" w:space="0" w:color="2626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BDEB" w:themeFill="accent1" w:themeFillTint="3F"/>
      </w:tcPr>
    </w:tblStylePr>
    <w:tblStylePr w:type="band1Horz">
      <w:tblPr/>
      <w:tcPr>
        <w:tcBorders>
          <w:top w:val="nil"/>
          <w:bottom w:val="nil"/>
          <w:insideH w:val="nil"/>
          <w:insideV w:val="nil"/>
        </w:tcBorders>
        <w:shd w:val="clear" w:color="auto" w:fill="BDBDEB"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2">
    <w:name w:val="Medium List 2 Accent 2"/>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tblBorders>
    </w:tblPr>
    <w:tblStylePr w:type="firstRow">
      <w:rPr>
        <w:sz w:val="24"/>
        <w:szCs w:val="24"/>
      </w:rPr>
      <w:tblPr/>
      <w:tcPr>
        <w:tcBorders>
          <w:top w:val="nil"/>
          <w:left w:val="nil"/>
          <w:bottom w:val="single" w:sz="24" w:space="0" w:color="FFB26D"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26D" w:themeColor="accent2"/>
          <w:insideH w:val="nil"/>
          <w:insideV w:val="nil"/>
        </w:tcBorders>
        <w:shd w:val="clear" w:color="auto" w:fill="FFFFFF" w:themeFill="background1"/>
      </w:tcPr>
    </w:tblStylePr>
    <w:tblStylePr w:type="lastCol">
      <w:tblPr/>
      <w:tcPr>
        <w:tcBorders>
          <w:top w:val="nil"/>
          <w:left w:val="single" w:sz="8" w:space="0" w:color="FFB26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DA" w:themeFill="accent2" w:themeFillTint="3F"/>
      </w:tcPr>
    </w:tblStylePr>
    <w:tblStylePr w:type="band1Horz">
      <w:tblPr/>
      <w:tcPr>
        <w:tcBorders>
          <w:top w:val="nil"/>
          <w:bottom w:val="nil"/>
          <w:insideH w:val="nil"/>
          <w:insideV w:val="nil"/>
        </w:tcBorders>
        <w:shd w:val="clear" w:color="auto" w:fill="FFEBDA"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3">
    <w:name w:val="Medium List 2 Accent 3"/>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tblBorders>
    </w:tblPr>
    <w:tblStylePr w:type="firstRow">
      <w:rPr>
        <w:sz w:val="24"/>
        <w:szCs w:val="24"/>
      </w:rPr>
      <w:tblPr/>
      <w:tcPr>
        <w:tcBorders>
          <w:top w:val="nil"/>
          <w:left w:val="nil"/>
          <w:bottom w:val="single" w:sz="24" w:space="0" w:color="3E8F98"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E8F98" w:themeColor="accent3"/>
          <w:insideH w:val="nil"/>
          <w:insideV w:val="nil"/>
        </w:tcBorders>
        <w:shd w:val="clear" w:color="auto" w:fill="FFFFFF" w:themeFill="background1"/>
      </w:tcPr>
    </w:tblStylePr>
    <w:tblStylePr w:type="lastCol">
      <w:tblPr/>
      <w:tcPr>
        <w:tcBorders>
          <w:top w:val="nil"/>
          <w:left w:val="single" w:sz="8" w:space="0" w:color="3E8F98"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AE6E9" w:themeFill="accent3" w:themeFillTint="3F"/>
      </w:tcPr>
    </w:tblStylePr>
    <w:tblStylePr w:type="band1Horz">
      <w:tblPr/>
      <w:tcPr>
        <w:tcBorders>
          <w:top w:val="nil"/>
          <w:bottom w:val="nil"/>
          <w:insideH w:val="nil"/>
          <w:insideV w:val="nil"/>
        </w:tcBorders>
        <w:shd w:val="clear" w:color="auto" w:fill="CAE6E9"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4">
    <w:name w:val="Medium List 2 Accent 4"/>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tblBorders>
    </w:tblPr>
    <w:tblStylePr w:type="firstRow">
      <w:rPr>
        <w:sz w:val="24"/>
        <w:szCs w:val="24"/>
      </w:rPr>
      <w:tblPr/>
      <w:tcPr>
        <w:tcBorders>
          <w:top w:val="nil"/>
          <w:left w:val="nil"/>
          <w:bottom w:val="single" w:sz="24" w:space="0" w:color="26261E"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6261E" w:themeColor="accent4"/>
          <w:insideH w:val="nil"/>
          <w:insideV w:val="nil"/>
        </w:tcBorders>
        <w:shd w:val="clear" w:color="auto" w:fill="FFFFFF" w:themeFill="background1"/>
      </w:tcPr>
    </w:tblStylePr>
    <w:tblStylePr w:type="lastCol">
      <w:tblPr/>
      <w:tcPr>
        <w:tcBorders>
          <w:top w:val="nil"/>
          <w:left w:val="single" w:sz="8" w:space="0" w:color="26261E"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ECEC1" w:themeFill="accent4" w:themeFillTint="3F"/>
      </w:tcPr>
    </w:tblStylePr>
    <w:tblStylePr w:type="band1Horz">
      <w:tblPr/>
      <w:tcPr>
        <w:tcBorders>
          <w:top w:val="nil"/>
          <w:bottom w:val="nil"/>
          <w:insideH w:val="nil"/>
          <w:insideV w:val="nil"/>
        </w:tcBorders>
        <w:shd w:val="clear" w:color="auto" w:fill="CECEC1"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5">
    <w:name w:val="Medium List 2 Accent 5"/>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tblBorders>
    </w:tblPr>
    <w:tblStylePr w:type="firstRow">
      <w:rPr>
        <w:sz w:val="24"/>
        <w:szCs w:val="24"/>
      </w:rPr>
      <w:tblPr/>
      <w:tcPr>
        <w:tcBorders>
          <w:top w:val="nil"/>
          <w:left w:val="nil"/>
          <w:bottom w:val="single" w:sz="24" w:space="0" w:color="FCECDE"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CECDE" w:themeColor="accent5"/>
          <w:insideH w:val="nil"/>
          <w:insideV w:val="nil"/>
        </w:tcBorders>
        <w:shd w:val="clear" w:color="auto" w:fill="FFFFFF" w:themeFill="background1"/>
      </w:tcPr>
    </w:tblStylePr>
    <w:tblStylePr w:type="lastCol">
      <w:tblPr/>
      <w:tcPr>
        <w:tcBorders>
          <w:top w:val="nil"/>
          <w:left w:val="single" w:sz="8" w:space="0" w:color="FCECDE"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FAF6" w:themeFill="accent5" w:themeFillTint="3F"/>
      </w:tcPr>
    </w:tblStylePr>
    <w:tblStylePr w:type="band1Horz">
      <w:tblPr/>
      <w:tcPr>
        <w:tcBorders>
          <w:top w:val="nil"/>
          <w:bottom w:val="nil"/>
          <w:insideH w:val="nil"/>
          <w:insideV w:val="nil"/>
        </w:tcBorders>
        <w:shd w:val="clear" w:color="auto" w:fill="FEFAF6"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liste2uthevingsfarge6">
    <w:name w:val="Medium List 2 Accent 6"/>
    <w:basedOn w:val="Vanligtabell"/>
    <w:uiPriority w:val="66"/>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tblBorders>
    </w:tblPr>
    <w:tblStylePr w:type="firstRow">
      <w:rPr>
        <w:sz w:val="24"/>
        <w:szCs w:val="24"/>
      </w:rPr>
      <w:tblPr/>
      <w:tcPr>
        <w:tcBorders>
          <w:top w:val="nil"/>
          <w:left w:val="nil"/>
          <w:bottom w:val="single" w:sz="24" w:space="0" w:color="F2F8F8"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2F8F8" w:themeColor="accent6"/>
          <w:insideH w:val="nil"/>
          <w:insideV w:val="nil"/>
        </w:tcBorders>
        <w:shd w:val="clear" w:color="auto" w:fill="FFFFFF" w:themeFill="background1"/>
      </w:tcPr>
    </w:tblStylePr>
    <w:tblStylePr w:type="lastCol">
      <w:tblPr/>
      <w:tcPr>
        <w:tcBorders>
          <w:top w:val="nil"/>
          <w:left w:val="single" w:sz="8" w:space="0" w:color="F2F8F8"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FDFD" w:themeFill="accent6" w:themeFillTint="3F"/>
      </w:tcPr>
    </w:tblStylePr>
    <w:tblStylePr w:type="band1Horz">
      <w:tblPr/>
      <w:tcPr>
        <w:tcBorders>
          <w:top w:val="nil"/>
          <w:bottom w:val="nil"/>
          <w:insideH w:val="nil"/>
          <w:insideV w:val="nil"/>
        </w:tcBorders>
        <w:shd w:val="clear" w:color="auto" w:fill="FBFDFD"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ddelsrutenett1">
    <w:name w:val="Medium Grid 1"/>
    <w:basedOn w:val="Vanligtabell"/>
    <w:uiPriority w:val="67"/>
    <w:semiHidden/>
    <w:unhideWhenUsed/>
    <w:rsid w:val="00893D2C"/>
    <w:pPr>
      <w:spacing w:after="0" w:line="240" w:lineRule="auto"/>
    </w:pPr>
    <w:tblPr>
      <w:tblStyleRowBandSize w:val="1"/>
      <w:tblStyleColBandSize w:val="1"/>
      <w:tbl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single" w:sz="8" w:space="0" w:color="63634E" w:themeColor="text1" w:themeTint="BF"/>
        <w:insideV w:val="single" w:sz="8" w:space="0" w:color="63634E" w:themeColor="text1" w:themeTint="BF"/>
      </w:tblBorders>
    </w:tblPr>
    <w:tcPr>
      <w:shd w:val="clear" w:color="auto" w:fill="CECEC1" w:themeFill="text1" w:themeFillTint="3F"/>
    </w:tcPr>
    <w:tblStylePr w:type="firstRow">
      <w:rPr>
        <w:b/>
        <w:bCs/>
      </w:rPr>
    </w:tblStylePr>
    <w:tblStylePr w:type="lastRow">
      <w:rPr>
        <w:b/>
        <w:bCs/>
      </w:rPr>
      <w:tblPr/>
      <w:tcPr>
        <w:tcBorders>
          <w:top w:val="single" w:sz="18" w:space="0" w:color="63634E" w:themeColor="text1" w:themeTint="BF"/>
        </w:tcBorders>
      </w:tcPr>
    </w:tblStylePr>
    <w:tblStylePr w:type="firstCol">
      <w:rPr>
        <w:b/>
        <w:bCs/>
      </w:rPr>
    </w:tblStylePr>
    <w:tblStylePr w:type="lastCol">
      <w:rPr>
        <w:b/>
        <w:bCs/>
      </w:rPr>
    </w:tblStylePr>
    <w:tblStylePr w:type="band1Vert">
      <w:tblPr/>
      <w:tcPr>
        <w:shd w:val="clear" w:color="auto" w:fill="9D9D83" w:themeFill="text1" w:themeFillTint="7F"/>
      </w:tcPr>
    </w:tblStylePr>
    <w:tblStylePr w:type="band1Horz">
      <w:tblPr/>
      <w:tcPr>
        <w:shd w:val="clear" w:color="auto" w:fill="9D9D83" w:themeFill="text1" w:themeFillTint="7F"/>
      </w:tcPr>
    </w:tblStylePr>
  </w:style>
  <w:style w:type="table" w:styleId="Middelsrutenett1uthevingsfarge1">
    <w:name w:val="Medium Grid 1 Accent 1"/>
    <w:basedOn w:val="Vanligtabell"/>
    <w:uiPriority w:val="67"/>
    <w:semiHidden/>
    <w:unhideWhenUsed/>
    <w:rsid w:val="00893D2C"/>
    <w:pPr>
      <w:spacing w:after="0" w:line="240" w:lineRule="auto"/>
    </w:pPr>
    <w:tblPr>
      <w:tblStyleRowBandSize w:val="1"/>
      <w:tblStyleColBandSize w:val="1"/>
      <w:tbl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single" w:sz="8" w:space="0" w:color="3939C4" w:themeColor="accent1" w:themeTint="BF"/>
        <w:insideV w:val="single" w:sz="8" w:space="0" w:color="3939C4" w:themeColor="accent1" w:themeTint="BF"/>
      </w:tblBorders>
    </w:tblPr>
    <w:tcPr>
      <w:shd w:val="clear" w:color="auto" w:fill="BDBDEB" w:themeFill="accent1" w:themeFillTint="3F"/>
    </w:tcPr>
    <w:tblStylePr w:type="firstRow">
      <w:rPr>
        <w:b/>
        <w:bCs/>
      </w:rPr>
    </w:tblStylePr>
    <w:tblStylePr w:type="lastRow">
      <w:rPr>
        <w:b/>
        <w:bCs/>
      </w:rPr>
      <w:tblPr/>
      <w:tcPr>
        <w:tcBorders>
          <w:top w:val="single" w:sz="18" w:space="0" w:color="3939C4" w:themeColor="accent1" w:themeTint="BF"/>
        </w:tcBorders>
      </w:tcPr>
    </w:tblStylePr>
    <w:tblStylePr w:type="firstCol">
      <w:rPr>
        <w:b/>
        <w:bCs/>
      </w:rPr>
    </w:tblStylePr>
    <w:tblStylePr w:type="lastCol">
      <w:rPr>
        <w:b/>
        <w:bCs/>
      </w:rPr>
    </w:tblStylePr>
    <w:tblStylePr w:type="band1Vert">
      <w:tblPr/>
      <w:tcPr>
        <w:shd w:val="clear" w:color="auto" w:fill="7B7BD8" w:themeFill="accent1" w:themeFillTint="7F"/>
      </w:tcPr>
    </w:tblStylePr>
    <w:tblStylePr w:type="band1Horz">
      <w:tblPr/>
      <w:tcPr>
        <w:shd w:val="clear" w:color="auto" w:fill="7B7BD8" w:themeFill="accent1" w:themeFillTint="7F"/>
      </w:tcPr>
    </w:tblStylePr>
  </w:style>
  <w:style w:type="table" w:styleId="Middelsrutenett1uthevingsfarge2">
    <w:name w:val="Medium Grid 1 Accent 2"/>
    <w:basedOn w:val="Vanligtabell"/>
    <w:uiPriority w:val="67"/>
    <w:semiHidden/>
    <w:unhideWhenUsed/>
    <w:rsid w:val="00893D2C"/>
    <w:pPr>
      <w:spacing w:after="0" w:line="240" w:lineRule="auto"/>
    </w:pPr>
    <w:tblPr>
      <w:tblStyleRowBandSize w:val="1"/>
      <w:tblStyleColBandSize w:val="1"/>
      <w:tbl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single" w:sz="8" w:space="0" w:color="FFC491" w:themeColor="accent2" w:themeTint="BF"/>
        <w:insideV w:val="single" w:sz="8" w:space="0" w:color="FFC491" w:themeColor="accent2" w:themeTint="BF"/>
      </w:tblBorders>
    </w:tblPr>
    <w:tcPr>
      <w:shd w:val="clear" w:color="auto" w:fill="FFEBDA" w:themeFill="accent2" w:themeFillTint="3F"/>
    </w:tcPr>
    <w:tblStylePr w:type="firstRow">
      <w:rPr>
        <w:b/>
        <w:bCs/>
      </w:rPr>
    </w:tblStylePr>
    <w:tblStylePr w:type="lastRow">
      <w:rPr>
        <w:b/>
        <w:bCs/>
      </w:rPr>
      <w:tblPr/>
      <w:tcPr>
        <w:tcBorders>
          <w:top w:val="single" w:sz="18" w:space="0" w:color="FFC491" w:themeColor="accent2" w:themeTint="BF"/>
        </w:tcBorders>
      </w:tcPr>
    </w:tblStylePr>
    <w:tblStylePr w:type="firstCol">
      <w:rPr>
        <w:b/>
        <w:bCs/>
      </w:rPr>
    </w:tblStylePr>
    <w:tblStylePr w:type="lastCol">
      <w:rPr>
        <w:b/>
        <w:bCs/>
      </w:rPr>
    </w:tblStylePr>
    <w:tblStylePr w:type="band1Vert">
      <w:tblPr/>
      <w:tcPr>
        <w:shd w:val="clear" w:color="auto" w:fill="FFD8B6" w:themeFill="accent2" w:themeFillTint="7F"/>
      </w:tcPr>
    </w:tblStylePr>
    <w:tblStylePr w:type="band1Horz">
      <w:tblPr/>
      <w:tcPr>
        <w:shd w:val="clear" w:color="auto" w:fill="FFD8B6" w:themeFill="accent2" w:themeFillTint="7F"/>
      </w:tcPr>
    </w:tblStylePr>
  </w:style>
  <w:style w:type="table" w:styleId="Middelsrutenett1uthevingsfarge3">
    <w:name w:val="Medium Grid 1 Accent 3"/>
    <w:basedOn w:val="Vanligtabell"/>
    <w:uiPriority w:val="67"/>
    <w:semiHidden/>
    <w:unhideWhenUsed/>
    <w:rsid w:val="00893D2C"/>
    <w:pPr>
      <w:spacing w:after="0" w:line="240" w:lineRule="auto"/>
    </w:pPr>
    <w:tblPr>
      <w:tblStyleRowBandSize w:val="1"/>
      <w:tblStyleColBandSize w:val="1"/>
      <w:tbl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single" w:sz="8" w:space="0" w:color="61B5BE" w:themeColor="accent3" w:themeTint="BF"/>
        <w:insideV w:val="single" w:sz="8" w:space="0" w:color="61B5BE" w:themeColor="accent3" w:themeTint="BF"/>
      </w:tblBorders>
    </w:tblPr>
    <w:tcPr>
      <w:shd w:val="clear" w:color="auto" w:fill="CAE6E9" w:themeFill="accent3" w:themeFillTint="3F"/>
    </w:tcPr>
    <w:tblStylePr w:type="firstRow">
      <w:rPr>
        <w:b/>
        <w:bCs/>
      </w:rPr>
    </w:tblStylePr>
    <w:tblStylePr w:type="lastRow">
      <w:rPr>
        <w:b/>
        <w:bCs/>
      </w:rPr>
      <w:tblPr/>
      <w:tcPr>
        <w:tcBorders>
          <w:top w:val="single" w:sz="18" w:space="0" w:color="61B5BE" w:themeColor="accent3" w:themeTint="BF"/>
        </w:tcBorders>
      </w:tcPr>
    </w:tblStylePr>
    <w:tblStylePr w:type="firstCol">
      <w:rPr>
        <w:b/>
        <w:bCs/>
      </w:rPr>
    </w:tblStylePr>
    <w:tblStylePr w:type="lastCol">
      <w:rPr>
        <w:b/>
        <w:bCs/>
      </w:rPr>
    </w:tblStylePr>
    <w:tblStylePr w:type="band1Vert">
      <w:tblPr/>
      <w:tcPr>
        <w:shd w:val="clear" w:color="auto" w:fill="96CDD4" w:themeFill="accent3" w:themeFillTint="7F"/>
      </w:tcPr>
    </w:tblStylePr>
    <w:tblStylePr w:type="band1Horz">
      <w:tblPr/>
      <w:tcPr>
        <w:shd w:val="clear" w:color="auto" w:fill="96CDD4" w:themeFill="accent3" w:themeFillTint="7F"/>
      </w:tcPr>
    </w:tblStylePr>
  </w:style>
  <w:style w:type="table" w:styleId="Middelsrutenett1uthevingsfarge4">
    <w:name w:val="Medium Grid 1 Accent 4"/>
    <w:basedOn w:val="Vanligtabell"/>
    <w:uiPriority w:val="67"/>
    <w:semiHidden/>
    <w:unhideWhenUsed/>
    <w:rsid w:val="00893D2C"/>
    <w:pPr>
      <w:spacing w:after="0" w:line="240" w:lineRule="auto"/>
    </w:pPr>
    <w:tblPr>
      <w:tblStyleRowBandSize w:val="1"/>
      <w:tblStyleColBandSize w:val="1"/>
      <w:tbl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single" w:sz="8" w:space="0" w:color="63634E" w:themeColor="accent4" w:themeTint="BF"/>
        <w:insideV w:val="single" w:sz="8" w:space="0" w:color="63634E" w:themeColor="accent4" w:themeTint="BF"/>
      </w:tblBorders>
    </w:tblPr>
    <w:tcPr>
      <w:shd w:val="clear" w:color="auto" w:fill="CECEC1" w:themeFill="accent4" w:themeFillTint="3F"/>
    </w:tcPr>
    <w:tblStylePr w:type="firstRow">
      <w:rPr>
        <w:b/>
        <w:bCs/>
      </w:rPr>
    </w:tblStylePr>
    <w:tblStylePr w:type="lastRow">
      <w:rPr>
        <w:b/>
        <w:bCs/>
      </w:rPr>
      <w:tblPr/>
      <w:tcPr>
        <w:tcBorders>
          <w:top w:val="single" w:sz="18" w:space="0" w:color="63634E" w:themeColor="accent4" w:themeTint="BF"/>
        </w:tcBorders>
      </w:tcPr>
    </w:tblStylePr>
    <w:tblStylePr w:type="firstCol">
      <w:rPr>
        <w:b/>
        <w:bCs/>
      </w:rPr>
    </w:tblStylePr>
    <w:tblStylePr w:type="lastCol">
      <w:rPr>
        <w:b/>
        <w:bCs/>
      </w:rPr>
    </w:tblStylePr>
    <w:tblStylePr w:type="band1Vert">
      <w:tblPr/>
      <w:tcPr>
        <w:shd w:val="clear" w:color="auto" w:fill="9D9D83" w:themeFill="accent4" w:themeFillTint="7F"/>
      </w:tcPr>
    </w:tblStylePr>
    <w:tblStylePr w:type="band1Horz">
      <w:tblPr/>
      <w:tcPr>
        <w:shd w:val="clear" w:color="auto" w:fill="9D9D83" w:themeFill="accent4" w:themeFillTint="7F"/>
      </w:tcPr>
    </w:tblStylePr>
  </w:style>
  <w:style w:type="table" w:styleId="Middelsrutenett1uthevingsfarge5">
    <w:name w:val="Medium Grid 1 Accent 5"/>
    <w:basedOn w:val="Vanligtabell"/>
    <w:uiPriority w:val="67"/>
    <w:semiHidden/>
    <w:unhideWhenUsed/>
    <w:rsid w:val="00893D2C"/>
    <w:pPr>
      <w:spacing w:after="0" w:line="240" w:lineRule="auto"/>
    </w:pPr>
    <w:tblPr>
      <w:tblStyleRowBandSize w:val="1"/>
      <w:tblStyleColBandSize w:val="1"/>
      <w:tbl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single" w:sz="8" w:space="0" w:color="FCF0E6" w:themeColor="accent5" w:themeTint="BF"/>
        <w:insideV w:val="single" w:sz="8" w:space="0" w:color="FCF0E6" w:themeColor="accent5" w:themeTint="BF"/>
      </w:tblBorders>
    </w:tblPr>
    <w:tcPr>
      <w:shd w:val="clear" w:color="auto" w:fill="FEFAF6" w:themeFill="accent5" w:themeFillTint="3F"/>
    </w:tcPr>
    <w:tblStylePr w:type="firstRow">
      <w:rPr>
        <w:b/>
        <w:bCs/>
      </w:rPr>
    </w:tblStylePr>
    <w:tblStylePr w:type="lastRow">
      <w:rPr>
        <w:b/>
        <w:bCs/>
      </w:rPr>
      <w:tblPr/>
      <w:tcPr>
        <w:tcBorders>
          <w:top w:val="single" w:sz="18" w:space="0" w:color="FCF0E6" w:themeColor="accent5" w:themeTint="BF"/>
        </w:tcBorders>
      </w:tcPr>
    </w:tblStylePr>
    <w:tblStylePr w:type="firstCol">
      <w:rPr>
        <w:b/>
        <w:bCs/>
      </w:rPr>
    </w:tblStylePr>
    <w:tblStylePr w:type="lastCol">
      <w:rPr>
        <w:b/>
        <w:bCs/>
      </w:rPr>
    </w:tblStylePr>
    <w:tblStylePr w:type="band1Vert">
      <w:tblPr/>
      <w:tcPr>
        <w:shd w:val="clear" w:color="auto" w:fill="FDF5EE" w:themeFill="accent5" w:themeFillTint="7F"/>
      </w:tcPr>
    </w:tblStylePr>
    <w:tblStylePr w:type="band1Horz">
      <w:tblPr/>
      <w:tcPr>
        <w:shd w:val="clear" w:color="auto" w:fill="FDF5EE" w:themeFill="accent5" w:themeFillTint="7F"/>
      </w:tcPr>
    </w:tblStylePr>
  </w:style>
  <w:style w:type="table" w:styleId="Middelsrutenett1uthevingsfarge6">
    <w:name w:val="Medium Grid 1 Accent 6"/>
    <w:basedOn w:val="Vanligtabell"/>
    <w:uiPriority w:val="67"/>
    <w:semiHidden/>
    <w:unhideWhenUsed/>
    <w:rsid w:val="00893D2C"/>
    <w:pPr>
      <w:spacing w:after="0" w:line="240" w:lineRule="auto"/>
    </w:pPr>
    <w:tblPr>
      <w:tblStyleRowBandSize w:val="1"/>
      <w:tblStyleColBandSize w:val="1"/>
      <w:tbl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single" w:sz="8" w:space="0" w:color="F5F9F9" w:themeColor="accent6" w:themeTint="BF"/>
        <w:insideV w:val="single" w:sz="8" w:space="0" w:color="F5F9F9" w:themeColor="accent6" w:themeTint="BF"/>
      </w:tblBorders>
    </w:tblPr>
    <w:tcPr>
      <w:shd w:val="clear" w:color="auto" w:fill="FBFDFD" w:themeFill="accent6" w:themeFillTint="3F"/>
    </w:tcPr>
    <w:tblStylePr w:type="firstRow">
      <w:rPr>
        <w:b/>
        <w:bCs/>
      </w:rPr>
    </w:tblStylePr>
    <w:tblStylePr w:type="lastRow">
      <w:rPr>
        <w:b/>
        <w:bCs/>
      </w:rPr>
      <w:tblPr/>
      <w:tcPr>
        <w:tcBorders>
          <w:top w:val="single" w:sz="18" w:space="0" w:color="F5F9F9" w:themeColor="accent6" w:themeTint="BF"/>
        </w:tcBorders>
      </w:tcPr>
    </w:tblStylePr>
    <w:tblStylePr w:type="firstCol">
      <w:rPr>
        <w:b/>
        <w:bCs/>
      </w:rPr>
    </w:tblStylePr>
    <w:tblStylePr w:type="lastCol">
      <w:rPr>
        <w:b/>
        <w:bCs/>
      </w:rPr>
    </w:tblStylePr>
    <w:tblStylePr w:type="band1Vert">
      <w:tblPr/>
      <w:tcPr>
        <w:shd w:val="clear" w:color="auto" w:fill="F8FBFB" w:themeFill="accent6" w:themeFillTint="7F"/>
      </w:tcPr>
    </w:tblStylePr>
    <w:tblStylePr w:type="band1Horz">
      <w:tblPr/>
      <w:tcPr>
        <w:shd w:val="clear" w:color="auto" w:fill="F8FBFB" w:themeFill="accent6" w:themeFillTint="7F"/>
      </w:tcPr>
    </w:tblStylePr>
  </w:style>
  <w:style w:type="table" w:styleId="Middelsrutenett2">
    <w:name w:val="Medium Grid 2"/>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text1"/>
        <w:left w:val="single" w:sz="8" w:space="0" w:color="26261E" w:themeColor="text1"/>
        <w:bottom w:val="single" w:sz="8" w:space="0" w:color="26261E" w:themeColor="text1"/>
        <w:right w:val="single" w:sz="8" w:space="0" w:color="26261E" w:themeColor="text1"/>
        <w:insideH w:val="single" w:sz="8" w:space="0" w:color="26261E" w:themeColor="text1"/>
        <w:insideV w:val="single" w:sz="8" w:space="0" w:color="26261E" w:themeColor="text1"/>
      </w:tblBorders>
    </w:tblPr>
    <w:tcPr>
      <w:shd w:val="clear" w:color="auto" w:fill="CECEC1" w:themeFill="text1" w:themeFillTint="3F"/>
    </w:tcPr>
    <w:tblStylePr w:type="firstRow">
      <w:rPr>
        <w:b/>
        <w:bCs/>
        <w:color w:val="26261E" w:themeColor="text1"/>
      </w:rPr>
      <w:tblPr/>
      <w:tcPr>
        <w:shd w:val="clear" w:color="auto" w:fill="ECECE6" w:themeFill="text1"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8D8CD" w:themeFill="text1" w:themeFillTint="33"/>
      </w:tcPr>
    </w:tblStylePr>
    <w:tblStylePr w:type="band1Vert">
      <w:tblPr/>
      <w:tcPr>
        <w:shd w:val="clear" w:color="auto" w:fill="9D9D83" w:themeFill="text1" w:themeFillTint="7F"/>
      </w:tcPr>
    </w:tblStylePr>
    <w:tblStylePr w:type="band1Horz">
      <w:tblPr/>
      <w:tcPr>
        <w:tcBorders>
          <w:insideH w:val="single" w:sz="6" w:space="0" w:color="26261E" w:themeColor="text1"/>
          <w:insideV w:val="single" w:sz="6" w:space="0" w:color="26261E" w:themeColor="text1"/>
        </w:tcBorders>
        <w:shd w:val="clear" w:color="auto" w:fill="9D9D83" w:themeFill="text1" w:themeFillTint="7F"/>
      </w:tcPr>
    </w:tblStylePr>
    <w:tblStylePr w:type="nwCell">
      <w:tblPr/>
      <w:tcPr>
        <w:shd w:val="clear" w:color="auto" w:fill="FFFFFF" w:themeFill="background1"/>
      </w:tcPr>
    </w:tblStylePr>
  </w:style>
  <w:style w:type="table" w:styleId="Middelsrutenett2uthevingsfarge1">
    <w:name w:val="Medium Grid 2 Accent 1"/>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82" w:themeColor="accent1"/>
        <w:left w:val="single" w:sz="8" w:space="0" w:color="262682" w:themeColor="accent1"/>
        <w:bottom w:val="single" w:sz="8" w:space="0" w:color="262682" w:themeColor="accent1"/>
        <w:right w:val="single" w:sz="8" w:space="0" w:color="262682" w:themeColor="accent1"/>
        <w:insideH w:val="single" w:sz="8" w:space="0" w:color="262682" w:themeColor="accent1"/>
        <w:insideV w:val="single" w:sz="8" w:space="0" w:color="262682" w:themeColor="accent1"/>
      </w:tblBorders>
    </w:tblPr>
    <w:tcPr>
      <w:shd w:val="clear" w:color="auto" w:fill="BDBDEB" w:themeFill="accent1" w:themeFillTint="3F"/>
    </w:tcPr>
    <w:tblStylePr w:type="firstRow">
      <w:rPr>
        <w:b/>
        <w:bCs/>
        <w:color w:val="26261E" w:themeColor="text1"/>
      </w:rPr>
      <w:tblPr/>
      <w:tcPr>
        <w:shd w:val="clear" w:color="auto" w:fill="E4E4F7" w:themeFill="accent1"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C9C9EF" w:themeFill="accent1" w:themeFillTint="33"/>
      </w:tcPr>
    </w:tblStylePr>
    <w:tblStylePr w:type="band1Vert">
      <w:tblPr/>
      <w:tcPr>
        <w:shd w:val="clear" w:color="auto" w:fill="7B7BD8" w:themeFill="accent1" w:themeFillTint="7F"/>
      </w:tcPr>
    </w:tblStylePr>
    <w:tblStylePr w:type="band1Horz">
      <w:tblPr/>
      <w:tcPr>
        <w:tcBorders>
          <w:insideH w:val="single" w:sz="6" w:space="0" w:color="262682" w:themeColor="accent1"/>
          <w:insideV w:val="single" w:sz="6" w:space="0" w:color="262682" w:themeColor="accent1"/>
        </w:tcBorders>
        <w:shd w:val="clear" w:color="auto" w:fill="7B7BD8" w:themeFill="accent1" w:themeFillTint="7F"/>
      </w:tcPr>
    </w:tblStylePr>
    <w:tblStylePr w:type="nwCell">
      <w:tblPr/>
      <w:tcPr>
        <w:shd w:val="clear" w:color="auto" w:fill="FFFFFF" w:themeFill="background1"/>
      </w:tcPr>
    </w:tblStylePr>
  </w:style>
  <w:style w:type="table" w:styleId="Middelsrutenett2uthevingsfarge2">
    <w:name w:val="Medium Grid 2 Accent 2"/>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FB26D" w:themeColor="accent2"/>
        <w:left w:val="single" w:sz="8" w:space="0" w:color="FFB26D" w:themeColor="accent2"/>
        <w:bottom w:val="single" w:sz="8" w:space="0" w:color="FFB26D" w:themeColor="accent2"/>
        <w:right w:val="single" w:sz="8" w:space="0" w:color="FFB26D" w:themeColor="accent2"/>
        <w:insideH w:val="single" w:sz="8" w:space="0" w:color="FFB26D" w:themeColor="accent2"/>
        <w:insideV w:val="single" w:sz="8" w:space="0" w:color="FFB26D" w:themeColor="accent2"/>
      </w:tblBorders>
    </w:tblPr>
    <w:tcPr>
      <w:shd w:val="clear" w:color="auto" w:fill="FFEBDA" w:themeFill="accent2" w:themeFillTint="3F"/>
    </w:tcPr>
    <w:tblStylePr w:type="firstRow">
      <w:rPr>
        <w:b/>
        <w:bCs/>
        <w:color w:val="26261E" w:themeColor="text1"/>
      </w:rPr>
      <w:tblPr/>
      <w:tcPr>
        <w:shd w:val="clear" w:color="auto" w:fill="FFF7F0" w:themeFill="accent2"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FEFE1" w:themeFill="accent2" w:themeFillTint="33"/>
      </w:tcPr>
    </w:tblStylePr>
    <w:tblStylePr w:type="band1Vert">
      <w:tblPr/>
      <w:tcPr>
        <w:shd w:val="clear" w:color="auto" w:fill="FFD8B6" w:themeFill="accent2" w:themeFillTint="7F"/>
      </w:tcPr>
    </w:tblStylePr>
    <w:tblStylePr w:type="band1Horz">
      <w:tblPr/>
      <w:tcPr>
        <w:tcBorders>
          <w:insideH w:val="single" w:sz="6" w:space="0" w:color="FFB26D" w:themeColor="accent2"/>
          <w:insideV w:val="single" w:sz="6" w:space="0" w:color="FFB26D" w:themeColor="accent2"/>
        </w:tcBorders>
        <w:shd w:val="clear" w:color="auto" w:fill="FFD8B6" w:themeFill="accent2" w:themeFillTint="7F"/>
      </w:tcPr>
    </w:tblStylePr>
    <w:tblStylePr w:type="nwCell">
      <w:tblPr/>
      <w:tcPr>
        <w:shd w:val="clear" w:color="auto" w:fill="FFFFFF" w:themeFill="background1"/>
      </w:tcPr>
    </w:tblStylePr>
  </w:style>
  <w:style w:type="table" w:styleId="Middelsrutenett2uthevingsfarge3">
    <w:name w:val="Medium Grid 2 Accent 3"/>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3E8F98" w:themeColor="accent3"/>
        <w:left w:val="single" w:sz="8" w:space="0" w:color="3E8F98" w:themeColor="accent3"/>
        <w:bottom w:val="single" w:sz="8" w:space="0" w:color="3E8F98" w:themeColor="accent3"/>
        <w:right w:val="single" w:sz="8" w:space="0" w:color="3E8F98" w:themeColor="accent3"/>
        <w:insideH w:val="single" w:sz="8" w:space="0" w:color="3E8F98" w:themeColor="accent3"/>
        <w:insideV w:val="single" w:sz="8" w:space="0" w:color="3E8F98" w:themeColor="accent3"/>
      </w:tblBorders>
    </w:tblPr>
    <w:tcPr>
      <w:shd w:val="clear" w:color="auto" w:fill="CAE6E9" w:themeFill="accent3" w:themeFillTint="3F"/>
    </w:tcPr>
    <w:tblStylePr w:type="firstRow">
      <w:rPr>
        <w:b/>
        <w:bCs/>
        <w:color w:val="26261E" w:themeColor="text1"/>
      </w:rPr>
      <w:tblPr/>
      <w:tcPr>
        <w:shd w:val="clear" w:color="auto" w:fill="EAF5F6" w:themeFill="accent3"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4EBED" w:themeFill="accent3" w:themeFillTint="33"/>
      </w:tcPr>
    </w:tblStylePr>
    <w:tblStylePr w:type="band1Vert">
      <w:tblPr/>
      <w:tcPr>
        <w:shd w:val="clear" w:color="auto" w:fill="96CDD4" w:themeFill="accent3" w:themeFillTint="7F"/>
      </w:tcPr>
    </w:tblStylePr>
    <w:tblStylePr w:type="band1Horz">
      <w:tblPr/>
      <w:tcPr>
        <w:tcBorders>
          <w:insideH w:val="single" w:sz="6" w:space="0" w:color="3E8F98" w:themeColor="accent3"/>
          <w:insideV w:val="single" w:sz="6" w:space="0" w:color="3E8F98" w:themeColor="accent3"/>
        </w:tcBorders>
        <w:shd w:val="clear" w:color="auto" w:fill="96CDD4" w:themeFill="accent3" w:themeFillTint="7F"/>
      </w:tcPr>
    </w:tblStylePr>
    <w:tblStylePr w:type="nwCell">
      <w:tblPr/>
      <w:tcPr>
        <w:shd w:val="clear" w:color="auto" w:fill="FFFFFF" w:themeFill="background1"/>
      </w:tcPr>
    </w:tblStylePr>
  </w:style>
  <w:style w:type="table" w:styleId="Middelsrutenett2uthevingsfarge4">
    <w:name w:val="Medium Grid 2 Accent 4"/>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26261E" w:themeColor="accent4"/>
        <w:left w:val="single" w:sz="8" w:space="0" w:color="26261E" w:themeColor="accent4"/>
        <w:bottom w:val="single" w:sz="8" w:space="0" w:color="26261E" w:themeColor="accent4"/>
        <w:right w:val="single" w:sz="8" w:space="0" w:color="26261E" w:themeColor="accent4"/>
        <w:insideH w:val="single" w:sz="8" w:space="0" w:color="26261E" w:themeColor="accent4"/>
        <w:insideV w:val="single" w:sz="8" w:space="0" w:color="26261E" w:themeColor="accent4"/>
      </w:tblBorders>
    </w:tblPr>
    <w:tcPr>
      <w:shd w:val="clear" w:color="auto" w:fill="CECEC1" w:themeFill="accent4" w:themeFillTint="3F"/>
    </w:tcPr>
    <w:tblStylePr w:type="firstRow">
      <w:rPr>
        <w:b/>
        <w:bCs/>
        <w:color w:val="26261E" w:themeColor="text1"/>
      </w:rPr>
      <w:tblPr/>
      <w:tcPr>
        <w:shd w:val="clear" w:color="auto" w:fill="ECECE6" w:themeFill="accent4"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D8D8CD" w:themeFill="accent4" w:themeFillTint="33"/>
      </w:tcPr>
    </w:tblStylePr>
    <w:tblStylePr w:type="band1Vert">
      <w:tblPr/>
      <w:tcPr>
        <w:shd w:val="clear" w:color="auto" w:fill="9D9D83" w:themeFill="accent4" w:themeFillTint="7F"/>
      </w:tcPr>
    </w:tblStylePr>
    <w:tblStylePr w:type="band1Horz">
      <w:tblPr/>
      <w:tcPr>
        <w:tcBorders>
          <w:insideH w:val="single" w:sz="6" w:space="0" w:color="26261E" w:themeColor="accent4"/>
          <w:insideV w:val="single" w:sz="6" w:space="0" w:color="26261E" w:themeColor="accent4"/>
        </w:tcBorders>
        <w:shd w:val="clear" w:color="auto" w:fill="9D9D83" w:themeFill="accent4" w:themeFillTint="7F"/>
      </w:tcPr>
    </w:tblStylePr>
    <w:tblStylePr w:type="nwCell">
      <w:tblPr/>
      <w:tcPr>
        <w:shd w:val="clear" w:color="auto" w:fill="FFFFFF" w:themeFill="background1"/>
      </w:tcPr>
    </w:tblStylePr>
  </w:style>
  <w:style w:type="table" w:styleId="Middelsrutenett2uthevingsfarge5">
    <w:name w:val="Medium Grid 2 Accent 5"/>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CECDE" w:themeColor="accent5"/>
        <w:left w:val="single" w:sz="8" w:space="0" w:color="FCECDE" w:themeColor="accent5"/>
        <w:bottom w:val="single" w:sz="8" w:space="0" w:color="FCECDE" w:themeColor="accent5"/>
        <w:right w:val="single" w:sz="8" w:space="0" w:color="FCECDE" w:themeColor="accent5"/>
        <w:insideH w:val="single" w:sz="8" w:space="0" w:color="FCECDE" w:themeColor="accent5"/>
        <w:insideV w:val="single" w:sz="8" w:space="0" w:color="FCECDE" w:themeColor="accent5"/>
      </w:tblBorders>
    </w:tblPr>
    <w:tcPr>
      <w:shd w:val="clear" w:color="auto" w:fill="FEFAF6" w:themeFill="accent5" w:themeFillTint="3F"/>
    </w:tcPr>
    <w:tblStylePr w:type="firstRow">
      <w:rPr>
        <w:b/>
        <w:bCs/>
        <w:color w:val="26261E" w:themeColor="text1"/>
      </w:rPr>
      <w:tblPr/>
      <w:tcPr>
        <w:shd w:val="clear" w:color="auto" w:fill="FEFDFB" w:themeFill="accent5"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EFBF8" w:themeFill="accent5" w:themeFillTint="33"/>
      </w:tcPr>
    </w:tblStylePr>
    <w:tblStylePr w:type="band1Vert">
      <w:tblPr/>
      <w:tcPr>
        <w:shd w:val="clear" w:color="auto" w:fill="FDF5EE" w:themeFill="accent5" w:themeFillTint="7F"/>
      </w:tcPr>
    </w:tblStylePr>
    <w:tblStylePr w:type="band1Horz">
      <w:tblPr/>
      <w:tcPr>
        <w:tcBorders>
          <w:insideH w:val="single" w:sz="6" w:space="0" w:color="FCECDE" w:themeColor="accent5"/>
          <w:insideV w:val="single" w:sz="6" w:space="0" w:color="FCECDE" w:themeColor="accent5"/>
        </w:tcBorders>
        <w:shd w:val="clear" w:color="auto" w:fill="FDF5EE" w:themeFill="accent5" w:themeFillTint="7F"/>
      </w:tcPr>
    </w:tblStylePr>
    <w:tblStylePr w:type="nwCell">
      <w:tblPr/>
      <w:tcPr>
        <w:shd w:val="clear" w:color="auto" w:fill="FFFFFF" w:themeFill="background1"/>
      </w:tcPr>
    </w:tblStylePr>
  </w:style>
  <w:style w:type="table" w:styleId="Middelsrutenett2uthevingsfarge6">
    <w:name w:val="Medium Grid 2 Accent 6"/>
    <w:basedOn w:val="Vanligtabell"/>
    <w:uiPriority w:val="68"/>
    <w:semiHidden/>
    <w:unhideWhenUsed/>
    <w:rsid w:val="00893D2C"/>
    <w:pPr>
      <w:spacing w:after="0" w:line="240" w:lineRule="auto"/>
    </w:pPr>
    <w:rPr>
      <w:rFonts w:asciiTheme="majorHAnsi" w:eastAsiaTheme="majorEastAsia" w:hAnsiTheme="majorHAnsi" w:cstheme="majorBidi"/>
      <w:color w:val="26261E" w:themeColor="text1"/>
    </w:rPr>
    <w:tblPr>
      <w:tblStyleRowBandSize w:val="1"/>
      <w:tblStyleColBandSize w:val="1"/>
      <w:tblBorders>
        <w:top w:val="single" w:sz="8" w:space="0" w:color="F2F8F8" w:themeColor="accent6"/>
        <w:left w:val="single" w:sz="8" w:space="0" w:color="F2F8F8" w:themeColor="accent6"/>
        <w:bottom w:val="single" w:sz="8" w:space="0" w:color="F2F8F8" w:themeColor="accent6"/>
        <w:right w:val="single" w:sz="8" w:space="0" w:color="F2F8F8" w:themeColor="accent6"/>
        <w:insideH w:val="single" w:sz="8" w:space="0" w:color="F2F8F8" w:themeColor="accent6"/>
        <w:insideV w:val="single" w:sz="8" w:space="0" w:color="F2F8F8" w:themeColor="accent6"/>
      </w:tblBorders>
    </w:tblPr>
    <w:tcPr>
      <w:shd w:val="clear" w:color="auto" w:fill="FBFDFD" w:themeFill="accent6" w:themeFillTint="3F"/>
    </w:tcPr>
    <w:tblStylePr w:type="firstRow">
      <w:rPr>
        <w:b/>
        <w:bCs/>
        <w:color w:val="26261E" w:themeColor="text1"/>
      </w:rPr>
      <w:tblPr/>
      <w:tcPr>
        <w:shd w:val="clear" w:color="auto" w:fill="FDFEFE" w:themeFill="accent6" w:themeFillTint="19"/>
      </w:tcPr>
    </w:tblStylePr>
    <w:tblStylePr w:type="lastRow">
      <w:rPr>
        <w:b/>
        <w:bCs/>
        <w:color w:val="26261E" w:themeColor="text1"/>
      </w:rPr>
      <w:tblPr/>
      <w:tcPr>
        <w:tcBorders>
          <w:top w:val="single" w:sz="12" w:space="0" w:color="26261E" w:themeColor="text1"/>
          <w:left w:val="nil"/>
          <w:bottom w:val="nil"/>
          <w:right w:val="nil"/>
          <w:insideH w:val="nil"/>
          <w:insideV w:val="nil"/>
        </w:tcBorders>
        <w:shd w:val="clear" w:color="auto" w:fill="FFFFFF" w:themeFill="background1"/>
      </w:tcPr>
    </w:tblStylePr>
    <w:tblStylePr w:type="firstCol">
      <w:rPr>
        <w:b/>
        <w:bCs/>
        <w:color w:val="26261E"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6261E" w:themeColor="text1"/>
      </w:rPr>
      <w:tblPr/>
      <w:tcPr>
        <w:tcBorders>
          <w:top w:val="nil"/>
          <w:left w:val="nil"/>
          <w:bottom w:val="nil"/>
          <w:right w:val="nil"/>
          <w:insideH w:val="nil"/>
          <w:insideV w:val="nil"/>
        </w:tcBorders>
        <w:shd w:val="clear" w:color="auto" w:fill="FCFDFD" w:themeFill="accent6" w:themeFillTint="33"/>
      </w:tcPr>
    </w:tblStylePr>
    <w:tblStylePr w:type="band1Vert">
      <w:tblPr/>
      <w:tcPr>
        <w:shd w:val="clear" w:color="auto" w:fill="F8FBFB" w:themeFill="accent6" w:themeFillTint="7F"/>
      </w:tcPr>
    </w:tblStylePr>
    <w:tblStylePr w:type="band1Horz">
      <w:tblPr/>
      <w:tcPr>
        <w:tcBorders>
          <w:insideH w:val="single" w:sz="6" w:space="0" w:color="F2F8F8" w:themeColor="accent6"/>
          <w:insideV w:val="single" w:sz="6" w:space="0" w:color="F2F8F8" w:themeColor="accent6"/>
        </w:tcBorders>
        <w:shd w:val="clear" w:color="auto" w:fill="F8FBFB" w:themeFill="accent6" w:themeFillTint="7F"/>
      </w:tcPr>
    </w:tblStylePr>
    <w:tblStylePr w:type="nwCell">
      <w:tblPr/>
      <w:tcPr>
        <w:shd w:val="clear" w:color="auto" w:fill="FFFFFF" w:themeFill="background1"/>
      </w:tcPr>
    </w:tblStylePr>
  </w:style>
  <w:style w:type="table" w:styleId="Middelsrutenett3">
    <w:name w:val="Medium Grid 3"/>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EC1"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1E"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1E"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1E"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1E"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9D83"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9D83" w:themeFill="text1" w:themeFillTint="7F"/>
      </w:tcPr>
    </w:tblStylePr>
  </w:style>
  <w:style w:type="table" w:styleId="Middelsrutenett3uthevingsfarge1">
    <w:name w:val="Medium Grid 3 Accent 1"/>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BDEB"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7BD8"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7BD8" w:themeFill="accent1" w:themeFillTint="7F"/>
      </w:tcPr>
    </w:tblStylePr>
  </w:style>
  <w:style w:type="table" w:styleId="Middelsrutenett3uthevingsfarge2">
    <w:name w:val="Medium Grid 3 Accent 2"/>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DA"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B26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B26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B26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B26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8B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8B6" w:themeFill="accent2" w:themeFillTint="7F"/>
      </w:tcPr>
    </w:tblStylePr>
  </w:style>
  <w:style w:type="table" w:styleId="Middelsrutenett3uthevingsfarge3">
    <w:name w:val="Medium Grid 3 Accent 3"/>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AE6E9"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8F98"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8F98"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8F98"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8F98"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6CDD4"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6CDD4" w:themeFill="accent3" w:themeFillTint="7F"/>
      </w:tcPr>
    </w:tblStylePr>
  </w:style>
  <w:style w:type="table" w:styleId="Middelsrutenett3uthevingsfarge4">
    <w:name w:val="Medium Grid 3 Accent 4"/>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CEC1"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6261E"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6261E"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6261E"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6261E"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9D83"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9D83" w:themeFill="accent4" w:themeFillTint="7F"/>
      </w:tcPr>
    </w:tblStylePr>
  </w:style>
  <w:style w:type="table" w:styleId="Middelsrutenett3uthevingsfarge5">
    <w:name w:val="Medium Grid 3 Accent 5"/>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FAF6"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CECDE"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CECDE"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CECDE"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CECDE"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DF5EE"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DF5EE" w:themeFill="accent5" w:themeFillTint="7F"/>
      </w:tcPr>
    </w:tblStylePr>
  </w:style>
  <w:style w:type="table" w:styleId="Middelsrutenett3uthevingsfarge6">
    <w:name w:val="Medium Grid 3 Accent 6"/>
    <w:basedOn w:val="Vanligtabell"/>
    <w:uiPriority w:val="69"/>
    <w:semiHidden/>
    <w:unhideWhenUsed/>
    <w:rsid w:val="00893D2C"/>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FDFD"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2F8F8"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2F8F8"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2F8F8"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2F8F8"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8FBFB"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8FBFB" w:themeFill="accent6" w:themeFillTint="7F"/>
      </w:tcPr>
    </w:tblStylePr>
  </w:style>
  <w:style w:type="table" w:styleId="Middelsskyggelegging1">
    <w:name w:val="Medium Shading 1"/>
    <w:basedOn w:val="Vanligtabell"/>
    <w:uiPriority w:val="63"/>
    <w:semiHidden/>
    <w:unhideWhenUsed/>
    <w:rsid w:val="00893D2C"/>
    <w:pPr>
      <w:spacing w:after="0" w:line="240" w:lineRule="auto"/>
    </w:pPr>
    <w:tblPr>
      <w:tblStyleRowBandSize w:val="1"/>
      <w:tblStyleColBandSize w:val="1"/>
      <w:tbl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single" w:sz="8" w:space="0" w:color="63634E" w:themeColor="text1" w:themeTint="BF"/>
      </w:tblBorders>
    </w:tblPr>
    <w:tblStylePr w:type="firstRow">
      <w:pPr>
        <w:spacing w:before="0" w:after="0" w:line="240" w:lineRule="auto"/>
      </w:pPr>
      <w:rPr>
        <w:b/>
        <w:bCs/>
        <w:color w:val="FFFFFF" w:themeColor="background1"/>
      </w:rPr>
      <w:tblPr/>
      <w:tcPr>
        <w:tcBorders>
          <w:top w:val="single" w:sz="8"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nil"/>
          <w:insideV w:val="nil"/>
        </w:tcBorders>
        <w:shd w:val="clear" w:color="auto" w:fill="26261E" w:themeFill="text1"/>
      </w:tcPr>
    </w:tblStylePr>
    <w:tblStylePr w:type="lastRow">
      <w:pPr>
        <w:spacing w:before="0" w:after="0" w:line="240" w:lineRule="auto"/>
      </w:pPr>
      <w:rPr>
        <w:b/>
        <w:bCs/>
      </w:rPr>
      <w:tblPr/>
      <w:tcPr>
        <w:tcBorders>
          <w:top w:val="double" w:sz="6" w:space="0" w:color="63634E" w:themeColor="text1" w:themeTint="BF"/>
          <w:left w:val="single" w:sz="8" w:space="0" w:color="63634E" w:themeColor="text1" w:themeTint="BF"/>
          <w:bottom w:val="single" w:sz="8" w:space="0" w:color="63634E" w:themeColor="text1" w:themeTint="BF"/>
          <w:right w:val="single" w:sz="8" w:space="0" w:color="63634E" w:themeColor="text1" w:themeTint="BF"/>
          <w:insideH w:val="nil"/>
          <w:insideV w:val="nil"/>
        </w:tcBorders>
      </w:tcPr>
    </w:tblStylePr>
    <w:tblStylePr w:type="firstCol">
      <w:rPr>
        <w:b/>
        <w:bCs/>
      </w:rPr>
    </w:tblStylePr>
    <w:tblStylePr w:type="lastCol">
      <w:rPr>
        <w:b/>
        <w:bCs/>
      </w:rPr>
    </w:tblStylePr>
    <w:tblStylePr w:type="band1Vert">
      <w:tblPr/>
      <w:tcPr>
        <w:shd w:val="clear" w:color="auto" w:fill="CECEC1" w:themeFill="text1" w:themeFillTint="3F"/>
      </w:tcPr>
    </w:tblStylePr>
    <w:tblStylePr w:type="band1Horz">
      <w:tblPr/>
      <w:tcPr>
        <w:tcBorders>
          <w:insideH w:val="nil"/>
          <w:insideV w:val="nil"/>
        </w:tcBorders>
        <w:shd w:val="clear" w:color="auto" w:fill="CECEC1" w:themeFill="text1" w:themeFillTint="3F"/>
      </w:tcPr>
    </w:tblStylePr>
    <w:tblStylePr w:type="band2Horz">
      <w:tblPr/>
      <w:tcPr>
        <w:tcBorders>
          <w:insideH w:val="nil"/>
          <w:insideV w:val="nil"/>
        </w:tcBorders>
      </w:tcPr>
    </w:tblStylePr>
  </w:style>
  <w:style w:type="table" w:styleId="Middelsskyggelegging1uthevingsfarge1">
    <w:name w:val="Medium Shading 1 Accent 1"/>
    <w:basedOn w:val="Vanligtabell"/>
    <w:uiPriority w:val="63"/>
    <w:semiHidden/>
    <w:unhideWhenUsed/>
    <w:rsid w:val="00893D2C"/>
    <w:pPr>
      <w:spacing w:after="0" w:line="240" w:lineRule="auto"/>
    </w:pPr>
    <w:tblPr>
      <w:tblStyleRowBandSize w:val="1"/>
      <w:tblStyleColBandSize w:val="1"/>
      <w:tbl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single" w:sz="8" w:space="0" w:color="3939C4" w:themeColor="accent1" w:themeTint="BF"/>
      </w:tblBorders>
    </w:tblPr>
    <w:tblStylePr w:type="firstRow">
      <w:pPr>
        <w:spacing w:before="0" w:after="0" w:line="240" w:lineRule="auto"/>
      </w:pPr>
      <w:rPr>
        <w:b/>
        <w:bCs/>
        <w:color w:val="FFFFFF" w:themeColor="background1"/>
      </w:rPr>
      <w:tblPr/>
      <w:tcPr>
        <w:tcBorders>
          <w:top w:val="single" w:sz="8"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nil"/>
          <w:insideV w:val="nil"/>
        </w:tcBorders>
        <w:shd w:val="clear" w:color="auto" w:fill="262682" w:themeFill="accent1"/>
      </w:tcPr>
    </w:tblStylePr>
    <w:tblStylePr w:type="lastRow">
      <w:pPr>
        <w:spacing w:before="0" w:after="0" w:line="240" w:lineRule="auto"/>
      </w:pPr>
      <w:rPr>
        <w:b/>
        <w:bCs/>
      </w:rPr>
      <w:tblPr/>
      <w:tcPr>
        <w:tcBorders>
          <w:top w:val="double" w:sz="6" w:space="0" w:color="3939C4" w:themeColor="accent1" w:themeTint="BF"/>
          <w:left w:val="single" w:sz="8" w:space="0" w:color="3939C4" w:themeColor="accent1" w:themeTint="BF"/>
          <w:bottom w:val="single" w:sz="8" w:space="0" w:color="3939C4" w:themeColor="accent1" w:themeTint="BF"/>
          <w:right w:val="single" w:sz="8" w:space="0" w:color="3939C4" w:themeColor="accent1" w:themeTint="BF"/>
          <w:insideH w:val="nil"/>
          <w:insideV w:val="nil"/>
        </w:tcBorders>
      </w:tcPr>
    </w:tblStylePr>
    <w:tblStylePr w:type="firstCol">
      <w:rPr>
        <w:b/>
        <w:bCs/>
      </w:rPr>
    </w:tblStylePr>
    <w:tblStylePr w:type="lastCol">
      <w:rPr>
        <w:b/>
        <w:bCs/>
      </w:rPr>
    </w:tblStylePr>
    <w:tblStylePr w:type="band1Vert">
      <w:tblPr/>
      <w:tcPr>
        <w:shd w:val="clear" w:color="auto" w:fill="BDBDEB" w:themeFill="accent1" w:themeFillTint="3F"/>
      </w:tcPr>
    </w:tblStylePr>
    <w:tblStylePr w:type="band1Horz">
      <w:tblPr/>
      <w:tcPr>
        <w:tcBorders>
          <w:insideH w:val="nil"/>
          <w:insideV w:val="nil"/>
        </w:tcBorders>
        <w:shd w:val="clear" w:color="auto" w:fill="BDBDEB" w:themeFill="accent1" w:themeFillTint="3F"/>
      </w:tcPr>
    </w:tblStylePr>
    <w:tblStylePr w:type="band2Horz">
      <w:tblPr/>
      <w:tcPr>
        <w:tcBorders>
          <w:insideH w:val="nil"/>
          <w:insideV w:val="nil"/>
        </w:tcBorders>
      </w:tcPr>
    </w:tblStylePr>
  </w:style>
  <w:style w:type="table" w:styleId="Middelsskyggelegging1uthevingsfarge2">
    <w:name w:val="Medium Shading 1 Accent 2"/>
    <w:basedOn w:val="Vanligtabell"/>
    <w:uiPriority w:val="63"/>
    <w:semiHidden/>
    <w:unhideWhenUsed/>
    <w:rsid w:val="00893D2C"/>
    <w:pPr>
      <w:spacing w:after="0" w:line="240" w:lineRule="auto"/>
    </w:pPr>
    <w:tblPr>
      <w:tblStyleRowBandSize w:val="1"/>
      <w:tblStyleColBandSize w:val="1"/>
      <w:tbl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single" w:sz="8" w:space="0" w:color="FFC491" w:themeColor="accent2" w:themeTint="BF"/>
      </w:tblBorders>
    </w:tblPr>
    <w:tblStylePr w:type="firstRow">
      <w:pPr>
        <w:spacing w:before="0" w:after="0" w:line="240" w:lineRule="auto"/>
      </w:pPr>
      <w:rPr>
        <w:b/>
        <w:bCs/>
        <w:color w:val="FFFFFF" w:themeColor="background1"/>
      </w:rPr>
      <w:tblPr/>
      <w:tcPr>
        <w:tcBorders>
          <w:top w:val="single" w:sz="8"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nil"/>
          <w:insideV w:val="nil"/>
        </w:tcBorders>
        <w:shd w:val="clear" w:color="auto" w:fill="FFB26D" w:themeFill="accent2"/>
      </w:tcPr>
    </w:tblStylePr>
    <w:tblStylePr w:type="lastRow">
      <w:pPr>
        <w:spacing w:before="0" w:after="0" w:line="240" w:lineRule="auto"/>
      </w:pPr>
      <w:rPr>
        <w:b/>
        <w:bCs/>
      </w:rPr>
      <w:tblPr/>
      <w:tcPr>
        <w:tcBorders>
          <w:top w:val="double" w:sz="6" w:space="0" w:color="FFC491" w:themeColor="accent2" w:themeTint="BF"/>
          <w:left w:val="single" w:sz="8" w:space="0" w:color="FFC491" w:themeColor="accent2" w:themeTint="BF"/>
          <w:bottom w:val="single" w:sz="8" w:space="0" w:color="FFC491" w:themeColor="accent2" w:themeTint="BF"/>
          <w:right w:val="single" w:sz="8" w:space="0" w:color="FFC491"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EBDA" w:themeFill="accent2" w:themeFillTint="3F"/>
      </w:tcPr>
    </w:tblStylePr>
    <w:tblStylePr w:type="band1Horz">
      <w:tblPr/>
      <w:tcPr>
        <w:tcBorders>
          <w:insideH w:val="nil"/>
          <w:insideV w:val="nil"/>
        </w:tcBorders>
        <w:shd w:val="clear" w:color="auto" w:fill="FFEBDA" w:themeFill="accent2" w:themeFillTint="3F"/>
      </w:tcPr>
    </w:tblStylePr>
    <w:tblStylePr w:type="band2Horz">
      <w:tblPr/>
      <w:tcPr>
        <w:tcBorders>
          <w:insideH w:val="nil"/>
          <w:insideV w:val="nil"/>
        </w:tcBorders>
      </w:tcPr>
    </w:tblStylePr>
  </w:style>
  <w:style w:type="table" w:styleId="Middelsskyggelegging1uthevingsfarge3">
    <w:name w:val="Medium Shading 1 Accent 3"/>
    <w:basedOn w:val="Vanligtabell"/>
    <w:uiPriority w:val="63"/>
    <w:semiHidden/>
    <w:unhideWhenUsed/>
    <w:rsid w:val="00893D2C"/>
    <w:pPr>
      <w:spacing w:after="0" w:line="240" w:lineRule="auto"/>
    </w:pPr>
    <w:tblPr>
      <w:tblStyleRowBandSize w:val="1"/>
      <w:tblStyleColBandSize w:val="1"/>
      <w:tbl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single" w:sz="8" w:space="0" w:color="61B5BE" w:themeColor="accent3" w:themeTint="BF"/>
      </w:tblBorders>
    </w:tblPr>
    <w:tblStylePr w:type="firstRow">
      <w:pPr>
        <w:spacing w:before="0" w:after="0" w:line="240" w:lineRule="auto"/>
      </w:pPr>
      <w:rPr>
        <w:b/>
        <w:bCs/>
        <w:color w:val="FFFFFF" w:themeColor="background1"/>
      </w:rPr>
      <w:tblPr/>
      <w:tcPr>
        <w:tcBorders>
          <w:top w:val="single" w:sz="8"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nil"/>
          <w:insideV w:val="nil"/>
        </w:tcBorders>
        <w:shd w:val="clear" w:color="auto" w:fill="3E8F98" w:themeFill="accent3"/>
      </w:tcPr>
    </w:tblStylePr>
    <w:tblStylePr w:type="lastRow">
      <w:pPr>
        <w:spacing w:before="0" w:after="0" w:line="240" w:lineRule="auto"/>
      </w:pPr>
      <w:rPr>
        <w:b/>
        <w:bCs/>
      </w:rPr>
      <w:tblPr/>
      <w:tcPr>
        <w:tcBorders>
          <w:top w:val="double" w:sz="6" w:space="0" w:color="61B5BE" w:themeColor="accent3" w:themeTint="BF"/>
          <w:left w:val="single" w:sz="8" w:space="0" w:color="61B5BE" w:themeColor="accent3" w:themeTint="BF"/>
          <w:bottom w:val="single" w:sz="8" w:space="0" w:color="61B5BE" w:themeColor="accent3" w:themeTint="BF"/>
          <w:right w:val="single" w:sz="8" w:space="0" w:color="61B5BE" w:themeColor="accent3" w:themeTint="BF"/>
          <w:insideH w:val="nil"/>
          <w:insideV w:val="nil"/>
        </w:tcBorders>
      </w:tcPr>
    </w:tblStylePr>
    <w:tblStylePr w:type="firstCol">
      <w:rPr>
        <w:b/>
        <w:bCs/>
      </w:rPr>
    </w:tblStylePr>
    <w:tblStylePr w:type="lastCol">
      <w:rPr>
        <w:b/>
        <w:bCs/>
      </w:rPr>
    </w:tblStylePr>
    <w:tblStylePr w:type="band1Vert">
      <w:tblPr/>
      <w:tcPr>
        <w:shd w:val="clear" w:color="auto" w:fill="CAE6E9" w:themeFill="accent3" w:themeFillTint="3F"/>
      </w:tcPr>
    </w:tblStylePr>
    <w:tblStylePr w:type="band1Horz">
      <w:tblPr/>
      <w:tcPr>
        <w:tcBorders>
          <w:insideH w:val="nil"/>
          <w:insideV w:val="nil"/>
        </w:tcBorders>
        <w:shd w:val="clear" w:color="auto" w:fill="CAE6E9" w:themeFill="accent3" w:themeFillTint="3F"/>
      </w:tcPr>
    </w:tblStylePr>
    <w:tblStylePr w:type="band2Horz">
      <w:tblPr/>
      <w:tcPr>
        <w:tcBorders>
          <w:insideH w:val="nil"/>
          <w:insideV w:val="nil"/>
        </w:tcBorders>
      </w:tcPr>
    </w:tblStylePr>
  </w:style>
  <w:style w:type="table" w:styleId="Middelsskyggelegging1uthevingsfarge4">
    <w:name w:val="Medium Shading 1 Accent 4"/>
    <w:basedOn w:val="Vanligtabell"/>
    <w:uiPriority w:val="63"/>
    <w:semiHidden/>
    <w:unhideWhenUsed/>
    <w:rsid w:val="00893D2C"/>
    <w:pPr>
      <w:spacing w:after="0" w:line="240" w:lineRule="auto"/>
    </w:pPr>
    <w:tblPr>
      <w:tblStyleRowBandSize w:val="1"/>
      <w:tblStyleColBandSize w:val="1"/>
      <w:tbl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single" w:sz="8" w:space="0" w:color="63634E" w:themeColor="accent4" w:themeTint="BF"/>
      </w:tblBorders>
    </w:tblPr>
    <w:tblStylePr w:type="firstRow">
      <w:pPr>
        <w:spacing w:before="0" w:after="0" w:line="240" w:lineRule="auto"/>
      </w:pPr>
      <w:rPr>
        <w:b/>
        <w:bCs/>
        <w:color w:val="FFFFFF" w:themeColor="background1"/>
      </w:rPr>
      <w:tblPr/>
      <w:tcPr>
        <w:tcBorders>
          <w:top w:val="single" w:sz="8"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nil"/>
          <w:insideV w:val="nil"/>
        </w:tcBorders>
        <w:shd w:val="clear" w:color="auto" w:fill="26261E" w:themeFill="accent4"/>
      </w:tcPr>
    </w:tblStylePr>
    <w:tblStylePr w:type="lastRow">
      <w:pPr>
        <w:spacing w:before="0" w:after="0" w:line="240" w:lineRule="auto"/>
      </w:pPr>
      <w:rPr>
        <w:b/>
        <w:bCs/>
      </w:rPr>
      <w:tblPr/>
      <w:tcPr>
        <w:tcBorders>
          <w:top w:val="double" w:sz="6" w:space="0" w:color="63634E" w:themeColor="accent4" w:themeTint="BF"/>
          <w:left w:val="single" w:sz="8" w:space="0" w:color="63634E" w:themeColor="accent4" w:themeTint="BF"/>
          <w:bottom w:val="single" w:sz="8" w:space="0" w:color="63634E" w:themeColor="accent4" w:themeTint="BF"/>
          <w:right w:val="single" w:sz="8" w:space="0" w:color="63634E" w:themeColor="accent4" w:themeTint="BF"/>
          <w:insideH w:val="nil"/>
          <w:insideV w:val="nil"/>
        </w:tcBorders>
      </w:tcPr>
    </w:tblStylePr>
    <w:tblStylePr w:type="firstCol">
      <w:rPr>
        <w:b/>
        <w:bCs/>
      </w:rPr>
    </w:tblStylePr>
    <w:tblStylePr w:type="lastCol">
      <w:rPr>
        <w:b/>
        <w:bCs/>
      </w:rPr>
    </w:tblStylePr>
    <w:tblStylePr w:type="band1Vert">
      <w:tblPr/>
      <w:tcPr>
        <w:shd w:val="clear" w:color="auto" w:fill="CECEC1" w:themeFill="accent4" w:themeFillTint="3F"/>
      </w:tcPr>
    </w:tblStylePr>
    <w:tblStylePr w:type="band1Horz">
      <w:tblPr/>
      <w:tcPr>
        <w:tcBorders>
          <w:insideH w:val="nil"/>
          <w:insideV w:val="nil"/>
        </w:tcBorders>
        <w:shd w:val="clear" w:color="auto" w:fill="CECEC1" w:themeFill="accent4" w:themeFillTint="3F"/>
      </w:tcPr>
    </w:tblStylePr>
    <w:tblStylePr w:type="band2Horz">
      <w:tblPr/>
      <w:tcPr>
        <w:tcBorders>
          <w:insideH w:val="nil"/>
          <w:insideV w:val="nil"/>
        </w:tcBorders>
      </w:tcPr>
    </w:tblStylePr>
  </w:style>
  <w:style w:type="table" w:styleId="Middelsskyggelegging1uthevingsfarge5">
    <w:name w:val="Medium Shading 1 Accent 5"/>
    <w:basedOn w:val="Vanligtabell"/>
    <w:uiPriority w:val="63"/>
    <w:semiHidden/>
    <w:unhideWhenUsed/>
    <w:rsid w:val="00893D2C"/>
    <w:pPr>
      <w:spacing w:after="0" w:line="240" w:lineRule="auto"/>
    </w:pPr>
    <w:tblPr>
      <w:tblStyleRowBandSize w:val="1"/>
      <w:tblStyleColBandSize w:val="1"/>
      <w:tbl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single" w:sz="8" w:space="0" w:color="FCF0E6" w:themeColor="accent5" w:themeTint="BF"/>
      </w:tblBorders>
    </w:tblPr>
    <w:tblStylePr w:type="firstRow">
      <w:pPr>
        <w:spacing w:before="0" w:after="0" w:line="240" w:lineRule="auto"/>
      </w:pPr>
      <w:rPr>
        <w:b/>
        <w:bCs/>
        <w:color w:val="FFFFFF" w:themeColor="background1"/>
      </w:rPr>
      <w:tblPr/>
      <w:tcPr>
        <w:tcBorders>
          <w:top w:val="single" w:sz="8"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nil"/>
          <w:insideV w:val="nil"/>
        </w:tcBorders>
        <w:shd w:val="clear" w:color="auto" w:fill="FCECDE" w:themeFill="accent5"/>
      </w:tcPr>
    </w:tblStylePr>
    <w:tblStylePr w:type="lastRow">
      <w:pPr>
        <w:spacing w:before="0" w:after="0" w:line="240" w:lineRule="auto"/>
      </w:pPr>
      <w:rPr>
        <w:b/>
        <w:bCs/>
      </w:rPr>
      <w:tblPr/>
      <w:tcPr>
        <w:tcBorders>
          <w:top w:val="double" w:sz="6" w:space="0" w:color="FCF0E6" w:themeColor="accent5" w:themeTint="BF"/>
          <w:left w:val="single" w:sz="8" w:space="0" w:color="FCF0E6" w:themeColor="accent5" w:themeTint="BF"/>
          <w:bottom w:val="single" w:sz="8" w:space="0" w:color="FCF0E6" w:themeColor="accent5" w:themeTint="BF"/>
          <w:right w:val="single" w:sz="8" w:space="0" w:color="FCF0E6" w:themeColor="accent5" w:themeTint="BF"/>
          <w:insideH w:val="nil"/>
          <w:insideV w:val="nil"/>
        </w:tcBorders>
      </w:tcPr>
    </w:tblStylePr>
    <w:tblStylePr w:type="firstCol">
      <w:rPr>
        <w:b/>
        <w:bCs/>
      </w:rPr>
    </w:tblStylePr>
    <w:tblStylePr w:type="lastCol">
      <w:rPr>
        <w:b/>
        <w:bCs/>
      </w:rPr>
    </w:tblStylePr>
    <w:tblStylePr w:type="band1Vert">
      <w:tblPr/>
      <w:tcPr>
        <w:shd w:val="clear" w:color="auto" w:fill="FEFAF6" w:themeFill="accent5" w:themeFillTint="3F"/>
      </w:tcPr>
    </w:tblStylePr>
    <w:tblStylePr w:type="band1Horz">
      <w:tblPr/>
      <w:tcPr>
        <w:tcBorders>
          <w:insideH w:val="nil"/>
          <w:insideV w:val="nil"/>
        </w:tcBorders>
        <w:shd w:val="clear" w:color="auto" w:fill="FEFAF6" w:themeFill="accent5" w:themeFillTint="3F"/>
      </w:tcPr>
    </w:tblStylePr>
    <w:tblStylePr w:type="band2Horz">
      <w:tblPr/>
      <w:tcPr>
        <w:tcBorders>
          <w:insideH w:val="nil"/>
          <w:insideV w:val="nil"/>
        </w:tcBorders>
      </w:tcPr>
    </w:tblStylePr>
  </w:style>
  <w:style w:type="table" w:styleId="Middelsskyggelegging1uthevingsfarge6">
    <w:name w:val="Medium Shading 1 Accent 6"/>
    <w:basedOn w:val="Vanligtabell"/>
    <w:uiPriority w:val="63"/>
    <w:semiHidden/>
    <w:unhideWhenUsed/>
    <w:rsid w:val="00893D2C"/>
    <w:pPr>
      <w:spacing w:after="0" w:line="240" w:lineRule="auto"/>
    </w:pPr>
    <w:tblPr>
      <w:tblStyleRowBandSize w:val="1"/>
      <w:tblStyleColBandSize w:val="1"/>
      <w:tbl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single" w:sz="8" w:space="0" w:color="F5F9F9" w:themeColor="accent6" w:themeTint="BF"/>
      </w:tblBorders>
    </w:tblPr>
    <w:tblStylePr w:type="firstRow">
      <w:pPr>
        <w:spacing w:before="0" w:after="0" w:line="240" w:lineRule="auto"/>
      </w:pPr>
      <w:rPr>
        <w:b/>
        <w:bCs/>
        <w:color w:val="FFFFFF" w:themeColor="background1"/>
      </w:rPr>
      <w:tblPr/>
      <w:tcPr>
        <w:tcBorders>
          <w:top w:val="single" w:sz="8"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nil"/>
          <w:insideV w:val="nil"/>
        </w:tcBorders>
        <w:shd w:val="clear" w:color="auto" w:fill="F2F8F8" w:themeFill="accent6"/>
      </w:tcPr>
    </w:tblStylePr>
    <w:tblStylePr w:type="lastRow">
      <w:pPr>
        <w:spacing w:before="0" w:after="0" w:line="240" w:lineRule="auto"/>
      </w:pPr>
      <w:rPr>
        <w:b/>
        <w:bCs/>
      </w:rPr>
      <w:tblPr/>
      <w:tcPr>
        <w:tcBorders>
          <w:top w:val="double" w:sz="6" w:space="0" w:color="F5F9F9" w:themeColor="accent6" w:themeTint="BF"/>
          <w:left w:val="single" w:sz="8" w:space="0" w:color="F5F9F9" w:themeColor="accent6" w:themeTint="BF"/>
          <w:bottom w:val="single" w:sz="8" w:space="0" w:color="F5F9F9" w:themeColor="accent6" w:themeTint="BF"/>
          <w:right w:val="single" w:sz="8" w:space="0" w:color="F5F9F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BFDFD" w:themeFill="accent6" w:themeFillTint="3F"/>
      </w:tcPr>
    </w:tblStylePr>
    <w:tblStylePr w:type="band1Horz">
      <w:tblPr/>
      <w:tcPr>
        <w:tcBorders>
          <w:insideH w:val="nil"/>
          <w:insideV w:val="nil"/>
        </w:tcBorders>
        <w:shd w:val="clear" w:color="auto" w:fill="FBFDFD" w:themeFill="accent6" w:themeFillTint="3F"/>
      </w:tcPr>
    </w:tblStylePr>
    <w:tblStylePr w:type="band2Horz">
      <w:tblPr/>
      <w:tcPr>
        <w:tcBorders>
          <w:insideH w:val="nil"/>
          <w:insideV w:val="nil"/>
        </w:tcBorders>
      </w:tcPr>
    </w:tblStylePr>
  </w:style>
  <w:style w:type="table" w:styleId="Middelsskyggelegging2">
    <w:name w:val="Medium Shading 2"/>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1E"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1E" w:themeFill="text1"/>
      </w:tcPr>
    </w:tblStylePr>
    <w:tblStylePr w:type="lastCol">
      <w:rPr>
        <w:b/>
        <w:bCs/>
        <w:color w:val="FFFFFF" w:themeColor="background1"/>
      </w:rPr>
      <w:tblPr/>
      <w:tcPr>
        <w:tcBorders>
          <w:left w:val="nil"/>
          <w:right w:val="nil"/>
          <w:insideH w:val="nil"/>
          <w:insideV w:val="nil"/>
        </w:tcBorders>
        <w:shd w:val="clear" w:color="auto" w:fill="26261E"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1">
    <w:name w:val="Medium Shading 2 Accent 1"/>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82" w:themeFill="accent1"/>
      </w:tcPr>
    </w:tblStylePr>
    <w:tblStylePr w:type="lastCol">
      <w:rPr>
        <w:b/>
        <w:bCs/>
        <w:color w:val="FFFFFF" w:themeColor="background1"/>
      </w:rPr>
      <w:tblPr/>
      <w:tcPr>
        <w:tcBorders>
          <w:left w:val="nil"/>
          <w:right w:val="nil"/>
          <w:insideH w:val="nil"/>
          <w:insideV w:val="nil"/>
        </w:tcBorders>
        <w:shd w:val="clear" w:color="auto" w:fill="2626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2">
    <w:name w:val="Medium Shading 2 Accent 2"/>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26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B26D" w:themeFill="accent2"/>
      </w:tcPr>
    </w:tblStylePr>
    <w:tblStylePr w:type="lastCol">
      <w:rPr>
        <w:b/>
        <w:bCs/>
        <w:color w:val="FFFFFF" w:themeColor="background1"/>
      </w:rPr>
      <w:tblPr/>
      <w:tcPr>
        <w:tcBorders>
          <w:left w:val="nil"/>
          <w:right w:val="nil"/>
          <w:insideH w:val="nil"/>
          <w:insideV w:val="nil"/>
        </w:tcBorders>
        <w:shd w:val="clear" w:color="auto" w:fill="FFB26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3">
    <w:name w:val="Medium Shading 2 Accent 3"/>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E8F98"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E8F98" w:themeFill="accent3"/>
      </w:tcPr>
    </w:tblStylePr>
    <w:tblStylePr w:type="lastCol">
      <w:rPr>
        <w:b/>
        <w:bCs/>
        <w:color w:val="FFFFFF" w:themeColor="background1"/>
      </w:rPr>
      <w:tblPr/>
      <w:tcPr>
        <w:tcBorders>
          <w:left w:val="nil"/>
          <w:right w:val="nil"/>
          <w:insideH w:val="nil"/>
          <w:insideV w:val="nil"/>
        </w:tcBorders>
        <w:shd w:val="clear" w:color="auto" w:fill="3E8F98"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4">
    <w:name w:val="Medium Shading 2 Accent 4"/>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6261E"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26261E" w:themeFill="accent4"/>
      </w:tcPr>
    </w:tblStylePr>
    <w:tblStylePr w:type="lastCol">
      <w:rPr>
        <w:b/>
        <w:bCs/>
        <w:color w:val="FFFFFF" w:themeColor="background1"/>
      </w:rPr>
      <w:tblPr/>
      <w:tcPr>
        <w:tcBorders>
          <w:left w:val="nil"/>
          <w:right w:val="nil"/>
          <w:insideH w:val="nil"/>
          <w:insideV w:val="nil"/>
        </w:tcBorders>
        <w:shd w:val="clear" w:color="auto" w:fill="26261E"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5">
    <w:name w:val="Medium Shading 2 Accent 5"/>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CECDE"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CECDE" w:themeFill="accent5"/>
      </w:tcPr>
    </w:tblStylePr>
    <w:tblStylePr w:type="lastCol">
      <w:rPr>
        <w:b/>
        <w:bCs/>
        <w:color w:val="FFFFFF" w:themeColor="background1"/>
      </w:rPr>
      <w:tblPr/>
      <w:tcPr>
        <w:tcBorders>
          <w:left w:val="nil"/>
          <w:right w:val="nil"/>
          <w:insideH w:val="nil"/>
          <w:insideV w:val="nil"/>
        </w:tcBorders>
        <w:shd w:val="clear" w:color="auto" w:fill="FCECD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iddelsskyggelegging2uthevingsfarge6">
    <w:name w:val="Medium Shading 2 Accent 6"/>
    <w:basedOn w:val="Vanligtabell"/>
    <w:uiPriority w:val="64"/>
    <w:semiHidden/>
    <w:unhideWhenUsed/>
    <w:rsid w:val="00893D2C"/>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2F8F8"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2F8F8" w:themeFill="accent6"/>
      </w:tcPr>
    </w:tblStylePr>
    <w:tblStylePr w:type="lastCol">
      <w:rPr>
        <w:b/>
        <w:bCs/>
        <w:color w:val="FFFFFF" w:themeColor="background1"/>
      </w:rPr>
      <w:tblPr/>
      <w:tcPr>
        <w:tcBorders>
          <w:left w:val="nil"/>
          <w:right w:val="nil"/>
          <w:insideH w:val="nil"/>
          <w:insideV w:val="nil"/>
        </w:tcBorders>
        <w:shd w:val="clear" w:color="auto" w:fill="F2F8F8"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rkliste">
    <w:name w:val="Dark List"/>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1E" w:themeFill="text1"/>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212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C1C16"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C1C16" w:themeFill="text1" w:themeFillShade="BF"/>
      </w:tcPr>
    </w:tblStylePr>
    <w:tblStylePr w:type="band1Vert">
      <w:tblPr/>
      <w:tcPr>
        <w:tcBorders>
          <w:top w:val="nil"/>
          <w:left w:val="nil"/>
          <w:bottom w:val="nil"/>
          <w:right w:val="nil"/>
          <w:insideH w:val="nil"/>
          <w:insideV w:val="nil"/>
        </w:tcBorders>
        <w:shd w:val="clear" w:color="auto" w:fill="1C1C16" w:themeFill="text1" w:themeFillShade="BF"/>
      </w:tcPr>
    </w:tblStylePr>
    <w:tblStylePr w:type="band1Horz">
      <w:tblPr/>
      <w:tcPr>
        <w:tcBorders>
          <w:top w:val="nil"/>
          <w:left w:val="nil"/>
          <w:bottom w:val="nil"/>
          <w:right w:val="nil"/>
          <w:insideH w:val="nil"/>
          <w:insideV w:val="nil"/>
        </w:tcBorders>
        <w:shd w:val="clear" w:color="auto" w:fill="1C1C16" w:themeFill="text1" w:themeFillShade="BF"/>
      </w:tcPr>
    </w:tblStylePr>
  </w:style>
  <w:style w:type="table" w:styleId="Mrklisteuthevingsfarge1">
    <w:name w:val="Dark List Accent 1"/>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313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1C1C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1C1C61" w:themeFill="accent1" w:themeFillShade="BF"/>
      </w:tcPr>
    </w:tblStylePr>
    <w:tblStylePr w:type="band1Vert">
      <w:tblPr/>
      <w:tcPr>
        <w:tcBorders>
          <w:top w:val="nil"/>
          <w:left w:val="nil"/>
          <w:bottom w:val="nil"/>
          <w:right w:val="nil"/>
          <w:insideH w:val="nil"/>
          <w:insideV w:val="nil"/>
        </w:tcBorders>
        <w:shd w:val="clear" w:color="auto" w:fill="1C1C61" w:themeFill="accent1" w:themeFillShade="BF"/>
      </w:tcPr>
    </w:tblStylePr>
    <w:tblStylePr w:type="band1Horz">
      <w:tblPr/>
      <w:tcPr>
        <w:tcBorders>
          <w:top w:val="nil"/>
          <w:left w:val="nil"/>
          <w:bottom w:val="nil"/>
          <w:right w:val="nil"/>
          <w:insideH w:val="nil"/>
          <w:insideV w:val="nil"/>
        </w:tcBorders>
        <w:shd w:val="clear" w:color="auto" w:fill="1C1C61" w:themeFill="accent1" w:themeFillShade="BF"/>
      </w:tcPr>
    </w:tblStylePr>
  </w:style>
  <w:style w:type="table" w:styleId="Mrklisteuthevingsfarge2">
    <w:name w:val="Dark List Accent 2"/>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FB26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B555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FF81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FF8111" w:themeFill="accent2" w:themeFillShade="BF"/>
      </w:tcPr>
    </w:tblStylePr>
    <w:tblStylePr w:type="band1Vert">
      <w:tblPr/>
      <w:tcPr>
        <w:tcBorders>
          <w:top w:val="nil"/>
          <w:left w:val="nil"/>
          <w:bottom w:val="nil"/>
          <w:right w:val="nil"/>
          <w:insideH w:val="nil"/>
          <w:insideV w:val="nil"/>
        </w:tcBorders>
        <w:shd w:val="clear" w:color="auto" w:fill="FF8111" w:themeFill="accent2" w:themeFillShade="BF"/>
      </w:tcPr>
    </w:tblStylePr>
    <w:tblStylePr w:type="band1Horz">
      <w:tblPr/>
      <w:tcPr>
        <w:tcBorders>
          <w:top w:val="nil"/>
          <w:left w:val="nil"/>
          <w:bottom w:val="nil"/>
          <w:right w:val="nil"/>
          <w:insideH w:val="nil"/>
          <w:insideV w:val="nil"/>
        </w:tcBorders>
        <w:shd w:val="clear" w:color="auto" w:fill="FF8111" w:themeFill="accent2" w:themeFillShade="BF"/>
      </w:tcPr>
    </w:tblStylePr>
  </w:style>
  <w:style w:type="table" w:styleId="Mrklisteuthevingsfarge3">
    <w:name w:val="Dark List Accent 3"/>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3E8F98"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E464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E6A7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E6A71" w:themeFill="accent3" w:themeFillShade="BF"/>
      </w:tcPr>
    </w:tblStylePr>
    <w:tblStylePr w:type="band1Vert">
      <w:tblPr/>
      <w:tcPr>
        <w:tcBorders>
          <w:top w:val="nil"/>
          <w:left w:val="nil"/>
          <w:bottom w:val="nil"/>
          <w:right w:val="nil"/>
          <w:insideH w:val="nil"/>
          <w:insideV w:val="nil"/>
        </w:tcBorders>
        <w:shd w:val="clear" w:color="auto" w:fill="2E6A71" w:themeFill="accent3" w:themeFillShade="BF"/>
      </w:tcPr>
    </w:tblStylePr>
    <w:tblStylePr w:type="band1Horz">
      <w:tblPr/>
      <w:tcPr>
        <w:tcBorders>
          <w:top w:val="nil"/>
          <w:left w:val="nil"/>
          <w:bottom w:val="nil"/>
          <w:right w:val="nil"/>
          <w:insideH w:val="nil"/>
          <w:insideV w:val="nil"/>
        </w:tcBorders>
        <w:shd w:val="clear" w:color="auto" w:fill="2E6A71" w:themeFill="accent3" w:themeFillShade="BF"/>
      </w:tcPr>
    </w:tblStylePr>
  </w:style>
  <w:style w:type="table" w:styleId="Mrklisteuthevingsfarge4">
    <w:name w:val="Dark List Accent 4"/>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26261E"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12120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C1C1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C1C16" w:themeFill="accent4" w:themeFillShade="BF"/>
      </w:tcPr>
    </w:tblStylePr>
    <w:tblStylePr w:type="band1Vert">
      <w:tblPr/>
      <w:tcPr>
        <w:tcBorders>
          <w:top w:val="nil"/>
          <w:left w:val="nil"/>
          <w:bottom w:val="nil"/>
          <w:right w:val="nil"/>
          <w:insideH w:val="nil"/>
          <w:insideV w:val="nil"/>
        </w:tcBorders>
        <w:shd w:val="clear" w:color="auto" w:fill="1C1C16" w:themeFill="accent4" w:themeFillShade="BF"/>
      </w:tcPr>
    </w:tblStylePr>
    <w:tblStylePr w:type="band1Horz">
      <w:tblPr/>
      <w:tcPr>
        <w:tcBorders>
          <w:top w:val="nil"/>
          <w:left w:val="nil"/>
          <w:bottom w:val="nil"/>
          <w:right w:val="nil"/>
          <w:insideH w:val="nil"/>
          <w:insideV w:val="nil"/>
        </w:tcBorders>
        <w:shd w:val="clear" w:color="auto" w:fill="1C1C16" w:themeFill="accent4" w:themeFillShade="BF"/>
      </w:tcPr>
    </w:tblStylePr>
  </w:style>
  <w:style w:type="table" w:styleId="Mrklisteuthevingsfarge5">
    <w:name w:val="Dark List Accent 5"/>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CECDE"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D86F1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F2AD7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F2AD70" w:themeFill="accent5" w:themeFillShade="BF"/>
      </w:tcPr>
    </w:tblStylePr>
    <w:tblStylePr w:type="band1Vert">
      <w:tblPr/>
      <w:tcPr>
        <w:tcBorders>
          <w:top w:val="nil"/>
          <w:left w:val="nil"/>
          <w:bottom w:val="nil"/>
          <w:right w:val="nil"/>
          <w:insideH w:val="nil"/>
          <w:insideV w:val="nil"/>
        </w:tcBorders>
        <w:shd w:val="clear" w:color="auto" w:fill="F2AD70" w:themeFill="accent5" w:themeFillShade="BF"/>
      </w:tcPr>
    </w:tblStylePr>
    <w:tblStylePr w:type="band1Horz">
      <w:tblPr/>
      <w:tcPr>
        <w:tcBorders>
          <w:top w:val="nil"/>
          <w:left w:val="nil"/>
          <w:bottom w:val="nil"/>
          <w:right w:val="nil"/>
          <w:insideH w:val="nil"/>
          <w:insideV w:val="nil"/>
        </w:tcBorders>
        <w:shd w:val="clear" w:color="auto" w:fill="F2AD70" w:themeFill="accent5" w:themeFillShade="BF"/>
      </w:tcPr>
    </w:tblStylePr>
  </w:style>
  <w:style w:type="table" w:styleId="Mrklisteuthevingsfarge6">
    <w:name w:val="Dark List Accent 6"/>
    <w:basedOn w:val="Vanligtabell"/>
    <w:uiPriority w:val="70"/>
    <w:semiHidden/>
    <w:unhideWhenUsed/>
    <w:rsid w:val="00893D2C"/>
    <w:pPr>
      <w:spacing w:after="0" w:line="240" w:lineRule="auto"/>
    </w:pPr>
    <w:rPr>
      <w:color w:val="FFFFFF" w:themeColor="background1"/>
    </w:rPr>
    <w:tblPr>
      <w:tblStyleRowBandSize w:val="1"/>
      <w:tblStyleColBandSize w:val="1"/>
    </w:tblPr>
    <w:tcPr>
      <w:shd w:val="clear" w:color="auto" w:fill="F2F8F8"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6261E" w:themeFill="text1"/>
      </w:tcPr>
    </w:tblStylePr>
    <w:tblStylePr w:type="lastRow">
      <w:tblPr/>
      <w:tcPr>
        <w:tcBorders>
          <w:top w:val="single" w:sz="18" w:space="0" w:color="FFFFFF" w:themeColor="background1"/>
          <w:left w:val="nil"/>
          <w:bottom w:val="nil"/>
          <w:right w:val="nil"/>
          <w:insideH w:val="nil"/>
          <w:insideV w:val="nil"/>
        </w:tcBorders>
        <w:shd w:val="clear" w:color="auto" w:fill="559E9E"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2CDCD"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2CDCD" w:themeFill="accent6" w:themeFillShade="BF"/>
      </w:tcPr>
    </w:tblStylePr>
    <w:tblStylePr w:type="band1Vert">
      <w:tblPr/>
      <w:tcPr>
        <w:tcBorders>
          <w:top w:val="nil"/>
          <w:left w:val="nil"/>
          <w:bottom w:val="nil"/>
          <w:right w:val="nil"/>
          <w:insideH w:val="nil"/>
          <w:insideV w:val="nil"/>
        </w:tcBorders>
        <w:shd w:val="clear" w:color="auto" w:fill="A2CDCD" w:themeFill="accent6" w:themeFillShade="BF"/>
      </w:tcPr>
    </w:tblStylePr>
    <w:tblStylePr w:type="band1Horz">
      <w:tblPr/>
      <w:tcPr>
        <w:tcBorders>
          <w:top w:val="nil"/>
          <w:left w:val="nil"/>
          <w:bottom w:val="nil"/>
          <w:right w:val="nil"/>
          <w:insideH w:val="nil"/>
          <w:insideV w:val="nil"/>
        </w:tcBorders>
        <w:shd w:val="clear" w:color="auto" w:fill="A2CDCD" w:themeFill="accent6" w:themeFillShade="BF"/>
      </w:tcPr>
    </w:tblStylePr>
  </w:style>
  <w:style w:type="paragraph" w:styleId="NormalWeb">
    <w:name w:val="Normal (Web)"/>
    <w:basedOn w:val="Normal"/>
    <w:uiPriority w:val="99"/>
    <w:unhideWhenUsed/>
    <w:rsid w:val="00893D2C"/>
    <w:rPr>
      <w:rFonts w:ascii="Times New Roman" w:hAnsi="Times New Roman" w:cs="Times New Roman"/>
      <w:sz w:val="24"/>
      <w:szCs w:val="24"/>
    </w:rPr>
  </w:style>
  <w:style w:type="paragraph" w:styleId="Notatoverskrift">
    <w:name w:val="Note Heading"/>
    <w:basedOn w:val="Normal"/>
    <w:next w:val="Normal"/>
    <w:link w:val="NotatoverskriftTegn"/>
    <w:uiPriority w:val="99"/>
    <w:semiHidden/>
    <w:unhideWhenUsed/>
    <w:rsid w:val="00893D2C"/>
    <w:pPr>
      <w:spacing w:after="0" w:line="240" w:lineRule="auto"/>
    </w:pPr>
  </w:style>
  <w:style w:type="character" w:customStyle="1" w:styleId="NotatoverskriftTegn">
    <w:name w:val="Notatoverskrift Tegn"/>
    <w:basedOn w:val="Standardskriftforavsnitt"/>
    <w:link w:val="Notatoverskrift"/>
    <w:uiPriority w:val="99"/>
    <w:semiHidden/>
    <w:rsid w:val="00893D2C"/>
  </w:style>
  <w:style w:type="paragraph" w:styleId="Nummerertliste">
    <w:name w:val="List Number"/>
    <w:basedOn w:val="Normal"/>
    <w:uiPriority w:val="99"/>
    <w:semiHidden/>
    <w:unhideWhenUsed/>
    <w:rsid w:val="00893D2C"/>
    <w:pPr>
      <w:numPr>
        <w:numId w:val="4"/>
      </w:numPr>
      <w:contextualSpacing/>
    </w:pPr>
  </w:style>
  <w:style w:type="paragraph" w:styleId="Nummerertliste2">
    <w:name w:val="List Number 2"/>
    <w:basedOn w:val="Normal"/>
    <w:uiPriority w:val="99"/>
    <w:semiHidden/>
    <w:unhideWhenUsed/>
    <w:rsid w:val="00893D2C"/>
    <w:pPr>
      <w:numPr>
        <w:numId w:val="5"/>
      </w:numPr>
      <w:contextualSpacing/>
    </w:pPr>
  </w:style>
  <w:style w:type="paragraph" w:styleId="Nummerertliste3">
    <w:name w:val="List Number 3"/>
    <w:basedOn w:val="Normal"/>
    <w:uiPriority w:val="99"/>
    <w:semiHidden/>
    <w:unhideWhenUsed/>
    <w:rsid w:val="00893D2C"/>
    <w:pPr>
      <w:numPr>
        <w:numId w:val="6"/>
      </w:numPr>
      <w:contextualSpacing/>
    </w:pPr>
  </w:style>
  <w:style w:type="paragraph" w:styleId="Nummerertliste4">
    <w:name w:val="List Number 4"/>
    <w:basedOn w:val="Normal"/>
    <w:uiPriority w:val="99"/>
    <w:semiHidden/>
    <w:unhideWhenUsed/>
    <w:rsid w:val="00893D2C"/>
    <w:pPr>
      <w:numPr>
        <w:numId w:val="7"/>
      </w:numPr>
      <w:contextualSpacing/>
    </w:pPr>
  </w:style>
  <w:style w:type="paragraph" w:styleId="Nummerertliste5">
    <w:name w:val="List Number 5"/>
    <w:basedOn w:val="Normal"/>
    <w:uiPriority w:val="99"/>
    <w:semiHidden/>
    <w:unhideWhenUsed/>
    <w:rsid w:val="00893D2C"/>
    <w:pPr>
      <w:numPr>
        <w:numId w:val="8"/>
      </w:numPr>
      <w:contextualSpacing/>
    </w:pPr>
  </w:style>
  <w:style w:type="character" w:styleId="Omtale">
    <w:name w:val="Mention"/>
    <w:basedOn w:val="Standardskriftforavsnitt"/>
    <w:uiPriority w:val="99"/>
    <w:unhideWhenUsed/>
    <w:rsid w:val="00893D2C"/>
    <w:rPr>
      <w:color w:val="2B579A"/>
      <w:shd w:val="clear" w:color="auto" w:fill="E1DFDD"/>
    </w:rPr>
  </w:style>
  <w:style w:type="paragraph" w:styleId="Overskriftforinnholdsfortegnelse">
    <w:name w:val="TOC Heading"/>
    <w:basedOn w:val="Overskrift1"/>
    <w:next w:val="Normal"/>
    <w:uiPriority w:val="39"/>
    <w:unhideWhenUsed/>
    <w:qFormat/>
    <w:rsid w:val="00893D2C"/>
    <w:pPr>
      <w:outlineLvl w:val="9"/>
    </w:pPr>
  </w:style>
  <w:style w:type="character" w:styleId="Plassholdertekst">
    <w:name w:val="Placeholder Text"/>
    <w:basedOn w:val="Standardskriftforavsnitt"/>
    <w:uiPriority w:val="99"/>
    <w:semiHidden/>
    <w:rsid w:val="00893D2C"/>
    <w:rPr>
      <w:color w:val="808080"/>
    </w:rPr>
  </w:style>
  <w:style w:type="paragraph" w:styleId="Punktliste">
    <w:name w:val="List Bullet"/>
    <w:basedOn w:val="Normal"/>
    <w:uiPriority w:val="2"/>
    <w:unhideWhenUsed/>
    <w:qFormat/>
    <w:rsid w:val="00384478"/>
    <w:pPr>
      <w:numPr>
        <w:numId w:val="9"/>
      </w:numPr>
      <w:contextualSpacing/>
    </w:pPr>
  </w:style>
  <w:style w:type="paragraph" w:styleId="Punktliste2">
    <w:name w:val="List Bullet 2"/>
    <w:basedOn w:val="Normal"/>
    <w:uiPriority w:val="99"/>
    <w:semiHidden/>
    <w:unhideWhenUsed/>
    <w:rsid w:val="00893D2C"/>
    <w:pPr>
      <w:numPr>
        <w:numId w:val="10"/>
      </w:numPr>
      <w:contextualSpacing/>
    </w:pPr>
  </w:style>
  <w:style w:type="paragraph" w:styleId="Punktliste3">
    <w:name w:val="List Bullet 3"/>
    <w:basedOn w:val="Normal"/>
    <w:uiPriority w:val="99"/>
    <w:semiHidden/>
    <w:unhideWhenUsed/>
    <w:rsid w:val="00893D2C"/>
    <w:pPr>
      <w:numPr>
        <w:numId w:val="11"/>
      </w:numPr>
      <w:contextualSpacing/>
    </w:pPr>
  </w:style>
  <w:style w:type="paragraph" w:styleId="Punktliste4">
    <w:name w:val="List Bullet 4"/>
    <w:basedOn w:val="Normal"/>
    <w:uiPriority w:val="99"/>
    <w:semiHidden/>
    <w:unhideWhenUsed/>
    <w:rsid w:val="00893D2C"/>
    <w:pPr>
      <w:numPr>
        <w:numId w:val="12"/>
      </w:numPr>
      <w:contextualSpacing/>
    </w:pPr>
  </w:style>
  <w:style w:type="paragraph" w:styleId="Punktliste5">
    <w:name w:val="List Bullet 5"/>
    <w:basedOn w:val="Normal"/>
    <w:uiPriority w:val="99"/>
    <w:semiHidden/>
    <w:unhideWhenUsed/>
    <w:rsid w:val="00893D2C"/>
    <w:pPr>
      <w:numPr>
        <w:numId w:val="13"/>
      </w:numPr>
      <w:contextualSpacing/>
    </w:pPr>
  </w:style>
  <w:style w:type="paragraph" w:styleId="Rentekst">
    <w:name w:val="Plain Text"/>
    <w:basedOn w:val="Normal"/>
    <w:link w:val="RentekstTegn"/>
    <w:uiPriority w:val="99"/>
    <w:semiHidden/>
    <w:unhideWhenUsed/>
    <w:rsid w:val="00893D2C"/>
    <w:pPr>
      <w:spacing w:after="0" w:line="240" w:lineRule="auto"/>
    </w:pPr>
    <w:rPr>
      <w:rFonts w:ascii="Consolas" w:hAnsi="Consolas"/>
      <w:sz w:val="21"/>
      <w:szCs w:val="21"/>
    </w:rPr>
  </w:style>
  <w:style w:type="character" w:customStyle="1" w:styleId="RentekstTegn">
    <w:name w:val="Ren tekst Tegn"/>
    <w:basedOn w:val="Standardskriftforavsnitt"/>
    <w:link w:val="Rentekst"/>
    <w:uiPriority w:val="99"/>
    <w:semiHidden/>
    <w:rsid w:val="00893D2C"/>
    <w:rPr>
      <w:rFonts w:ascii="Consolas" w:hAnsi="Consolas"/>
      <w:sz w:val="21"/>
      <w:szCs w:val="21"/>
    </w:rPr>
  </w:style>
  <w:style w:type="table" w:styleId="Rutenettabell1lys">
    <w:name w:val="Grid Table 1 Light"/>
    <w:basedOn w:val="Vanligtabell"/>
    <w:uiPriority w:val="46"/>
    <w:rsid w:val="00893D2C"/>
    <w:pPr>
      <w:spacing w:after="0" w:line="240" w:lineRule="auto"/>
    </w:pPr>
    <w:tblPr>
      <w:tblStyleRowBandSize w:val="1"/>
      <w:tblStyleColBandSize w:val="1"/>
      <w:tblBorders>
        <w:top w:val="single" w:sz="4" w:space="0" w:color="B1B19C" w:themeColor="text1" w:themeTint="66"/>
        <w:left w:val="single" w:sz="4" w:space="0" w:color="B1B19C" w:themeColor="text1" w:themeTint="66"/>
        <w:bottom w:val="single" w:sz="4" w:space="0" w:color="B1B19C" w:themeColor="text1" w:themeTint="66"/>
        <w:right w:val="single" w:sz="4" w:space="0" w:color="B1B19C" w:themeColor="text1" w:themeTint="66"/>
        <w:insideH w:val="single" w:sz="4" w:space="0" w:color="B1B19C" w:themeColor="text1" w:themeTint="66"/>
        <w:insideV w:val="single" w:sz="4" w:space="0" w:color="B1B19C" w:themeColor="text1" w:themeTint="66"/>
      </w:tblBorders>
    </w:tblPr>
    <w:tblStylePr w:type="firstRow">
      <w:rPr>
        <w:b/>
        <w:bCs/>
      </w:rPr>
      <w:tblPr/>
      <w:tcPr>
        <w:tcBorders>
          <w:bottom w:val="single" w:sz="12" w:space="0" w:color="88886C" w:themeColor="text1" w:themeTint="99"/>
        </w:tcBorders>
      </w:tcPr>
    </w:tblStylePr>
    <w:tblStylePr w:type="lastRow">
      <w:rPr>
        <w:b/>
        <w:bCs/>
      </w:rPr>
      <w:tblPr/>
      <w:tcPr>
        <w:tcBorders>
          <w:top w:val="double" w:sz="2" w:space="0" w:color="88886C" w:themeColor="text1" w:themeTint="99"/>
        </w:tcBorders>
      </w:tcPr>
    </w:tblStylePr>
    <w:tblStylePr w:type="firstCol">
      <w:rPr>
        <w:b/>
        <w:bCs/>
      </w:rPr>
    </w:tblStylePr>
    <w:tblStylePr w:type="lastCol">
      <w:rPr>
        <w:b/>
        <w:bCs/>
      </w:rPr>
    </w:tblStylePr>
  </w:style>
  <w:style w:type="table" w:styleId="Rutenettabell1lysuthevingsfarge1">
    <w:name w:val="Grid Table 1 Light Accent 1"/>
    <w:basedOn w:val="Vanligtabell"/>
    <w:uiPriority w:val="46"/>
    <w:rsid w:val="00893D2C"/>
    <w:pPr>
      <w:spacing w:after="0" w:line="240" w:lineRule="auto"/>
    </w:pPr>
    <w:tblPr>
      <w:tblStyleRowBandSize w:val="1"/>
      <w:tblStyleColBandSize w:val="1"/>
      <w:tblBorders>
        <w:top w:val="single" w:sz="4" w:space="0" w:color="9595E0" w:themeColor="accent1" w:themeTint="66"/>
        <w:left w:val="single" w:sz="4" w:space="0" w:color="9595E0" w:themeColor="accent1" w:themeTint="66"/>
        <w:bottom w:val="single" w:sz="4" w:space="0" w:color="9595E0" w:themeColor="accent1" w:themeTint="66"/>
        <w:right w:val="single" w:sz="4" w:space="0" w:color="9595E0" w:themeColor="accent1" w:themeTint="66"/>
        <w:insideH w:val="single" w:sz="4" w:space="0" w:color="9595E0" w:themeColor="accent1" w:themeTint="66"/>
        <w:insideV w:val="single" w:sz="4" w:space="0" w:color="9595E0" w:themeColor="accent1" w:themeTint="66"/>
      </w:tblBorders>
    </w:tblPr>
    <w:tblStylePr w:type="firstRow">
      <w:rPr>
        <w:b/>
        <w:bCs/>
      </w:rPr>
      <w:tblPr/>
      <w:tcPr>
        <w:tcBorders>
          <w:bottom w:val="single" w:sz="12" w:space="0" w:color="6060D0" w:themeColor="accent1" w:themeTint="99"/>
        </w:tcBorders>
      </w:tcPr>
    </w:tblStylePr>
    <w:tblStylePr w:type="lastRow">
      <w:rPr>
        <w:b/>
        <w:bCs/>
      </w:rPr>
      <w:tblPr/>
      <w:tcPr>
        <w:tcBorders>
          <w:top w:val="double" w:sz="2" w:space="0" w:color="6060D0" w:themeColor="accent1" w:themeTint="99"/>
        </w:tcBorders>
      </w:tcPr>
    </w:tblStylePr>
    <w:tblStylePr w:type="firstCol">
      <w:rPr>
        <w:b/>
        <w:bCs/>
      </w:rPr>
    </w:tblStylePr>
    <w:tblStylePr w:type="lastCol">
      <w:rPr>
        <w:b/>
        <w:bCs/>
      </w:rPr>
    </w:tblStylePr>
  </w:style>
  <w:style w:type="table" w:styleId="Rutenettabell1lysuthevingsfarge2">
    <w:name w:val="Grid Table 1 Light Accent 2"/>
    <w:basedOn w:val="Vanligtabell"/>
    <w:uiPriority w:val="46"/>
    <w:rsid w:val="00893D2C"/>
    <w:pPr>
      <w:spacing w:after="0" w:line="240" w:lineRule="auto"/>
    </w:pPr>
    <w:tblPr>
      <w:tblStyleRowBandSize w:val="1"/>
      <w:tblStyleColBandSize w:val="1"/>
      <w:tblBorders>
        <w:top w:val="single" w:sz="4" w:space="0" w:color="FFDFC4" w:themeColor="accent2" w:themeTint="66"/>
        <w:left w:val="single" w:sz="4" w:space="0" w:color="FFDFC4" w:themeColor="accent2" w:themeTint="66"/>
        <w:bottom w:val="single" w:sz="4" w:space="0" w:color="FFDFC4" w:themeColor="accent2" w:themeTint="66"/>
        <w:right w:val="single" w:sz="4" w:space="0" w:color="FFDFC4" w:themeColor="accent2" w:themeTint="66"/>
        <w:insideH w:val="single" w:sz="4" w:space="0" w:color="FFDFC4" w:themeColor="accent2" w:themeTint="66"/>
        <w:insideV w:val="single" w:sz="4" w:space="0" w:color="FFDFC4" w:themeColor="accent2" w:themeTint="66"/>
      </w:tblBorders>
    </w:tblPr>
    <w:tblStylePr w:type="firstRow">
      <w:rPr>
        <w:b/>
        <w:bCs/>
      </w:rPr>
      <w:tblPr/>
      <w:tcPr>
        <w:tcBorders>
          <w:bottom w:val="single" w:sz="12" w:space="0" w:color="FFD0A7" w:themeColor="accent2" w:themeTint="99"/>
        </w:tcBorders>
      </w:tcPr>
    </w:tblStylePr>
    <w:tblStylePr w:type="lastRow">
      <w:rPr>
        <w:b/>
        <w:bCs/>
      </w:rPr>
      <w:tblPr/>
      <w:tcPr>
        <w:tcBorders>
          <w:top w:val="double" w:sz="2" w:space="0" w:color="FFD0A7" w:themeColor="accent2" w:themeTint="99"/>
        </w:tcBorders>
      </w:tcPr>
    </w:tblStylePr>
    <w:tblStylePr w:type="firstCol">
      <w:rPr>
        <w:b/>
        <w:bCs/>
      </w:rPr>
    </w:tblStylePr>
    <w:tblStylePr w:type="lastCol">
      <w:rPr>
        <w:b/>
        <w:bCs/>
      </w:rPr>
    </w:tblStylePr>
  </w:style>
  <w:style w:type="table" w:styleId="Rutenettabell1lysuthevingsfarge3">
    <w:name w:val="Grid Table 1 Light Accent 3"/>
    <w:basedOn w:val="Vanligtabell"/>
    <w:uiPriority w:val="46"/>
    <w:rsid w:val="00893D2C"/>
    <w:pPr>
      <w:spacing w:after="0" w:line="240" w:lineRule="auto"/>
    </w:pPr>
    <w:tblPr>
      <w:tblStyleRowBandSize w:val="1"/>
      <w:tblStyleColBandSize w:val="1"/>
      <w:tblBorders>
        <w:top w:val="single" w:sz="4" w:space="0" w:color="AAD7DC" w:themeColor="accent3" w:themeTint="66"/>
        <w:left w:val="single" w:sz="4" w:space="0" w:color="AAD7DC" w:themeColor="accent3" w:themeTint="66"/>
        <w:bottom w:val="single" w:sz="4" w:space="0" w:color="AAD7DC" w:themeColor="accent3" w:themeTint="66"/>
        <w:right w:val="single" w:sz="4" w:space="0" w:color="AAD7DC" w:themeColor="accent3" w:themeTint="66"/>
        <w:insideH w:val="single" w:sz="4" w:space="0" w:color="AAD7DC" w:themeColor="accent3" w:themeTint="66"/>
        <w:insideV w:val="single" w:sz="4" w:space="0" w:color="AAD7DC" w:themeColor="accent3" w:themeTint="66"/>
      </w:tblBorders>
    </w:tblPr>
    <w:tblStylePr w:type="firstRow">
      <w:rPr>
        <w:b/>
        <w:bCs/>
      </w:rPr>
      <w:tblPr/>
      <w:tcPr>
        <w:tcBorders>
          <w:bottom w:val="single" w:sz="12" w:space="0" w:color="80C3CB" w:themeColor="accent3" w:themeTint="99"/>
        </w:tcBorders>
      </w:tcPr>
    </w:tblStylePr>
    <w:tblStylePr w:type="lastRow">
      <w:rPr>
        <w:b/>
        <w:bCs/>
      </w:rPr>
      <w:tblPr/>
      <w:tcPr>
        <w:tcBorders>
          <w:top w:val="double" w:sz="2" w:space="0" w:color="80C3CB" w:themeColor="accent3" w:themeTint="99"/>
        </w:tcBorders>
      </w:tcPr>
    </w:tblStylePr>
    <w:tblStylePr w:type="firstCol">
      <w:rPr>
        <w:b/>
        <w:bCs/>
      </w:rPr>
    </w:tblStylePr>
    <w:tblStylePr w:type="lastCol">
      <w:rPr>
        <w:b/>
        <w:bCs/>
      </w:rPr>
    </w:tblStylePr>
  </w:style>
  <w:style w:type="table" w:styleId="Rutenettabell1lysuthevingsfarge4">
    <w:name w:val="Grid Table 1 Light Accent 4"/>
    <w:basedOn w:val="Vanligtabell"/>
    <w:uiPriority w:val="46"/>
    <w:rsid w:val="00893D2C"/>
    <w:pPr>
      <w:spacing w:after="0" w:line="240" w:lineRule="auto"/>
    </w:pPr>
    <w:tblPr>
      <w:tblStyleRowBandSize w:val="1"/>
      <w:tblStyleColBandSize w:val="1"/>
      <w:tblBorders>
        <w:top w:val="single" w:sz="4" w:space="0" w:color="B1B19C" w:themeColor="accent4" w:themeTint="66"/>
        <w:left w:val="single" w:sz="4" w:space="0" w:color="B1B19C" w:themeColor="accent4" w:themeTint="66"/>
        <w:bottom w:val="single" w:sz="4" w:space="0" w:color="B1B19C" w:themeColor="accent4" w:themeTint="66"/>
        <w:right w:val="single" w:sz="4" w:space="0" w:color="B1B19C" w:themeColor="accent4" w:themeTint="66"/>
        <w:insideH w:val="single" w:sz="4" w:space="0" w:color="B1B19C" w:themeColor="accent4" w:themeTint="66"/>
        <w:insideV w:val="single" w:sz="4" w:space="0" w:color="B1B19C" w:themeColor="accent4" w:themeTint="66"/>
      </w:tblBorders>
    </w:tblPr>
    <w:tblStylePr w:type="firstRow">
      <w:rPr>
        <w:b/>
        <w:bCs/>
      </w:rPr>
      <w:tblPr/>
      <w:tcPr>
        <w:tcBorders>
          <w:bottom w:val="single" w:sz="12" w:space="0" w:color="88886C" w:themeColor="accent4" w:themeTint="99"/>
        </w:tcBorders>
      </w:tcPr>
    </w:tblStylePr>
    <w:tblStylePr w:type="lastRow">
      <w:rPr>
        <w:b/>
        <w:bCs/>
      </w:rPr>
      <w:tblPr/>
      <w:tcPr>
        <w:tcBorders>
          <w:top w:val="double" w:sz="2" w:space="0" w:color="88886C" w:themeColor="accent4" w:themeTint="99"/>
        </w:tcBorders>
      </w:tcPr>
    </w:tblStylePr>
    <w:tblStylePr w:type="firstCol">
      <w:rPr>
        <w:b/>
        <w:bCs/>
      </w:rPr>
    </w:tblStylePr>
    <w:tblStylePr w:type="lastCol">
      <w:rPr>
        <w:b/>
        <w:bCs/>
      </w:rPr>
    </w:tblStylePr>
  </w:style>
  <w:style w:type="table" w:styleId="Rutenettabell1lysuthevingsfarge5">
    <w:name w:val="Grid Table 1 Light Accent 5"/>
    <w:basedOn w:val="Vanligtabell"/>
    <w:uiPriority w:val="46"/>
    <w:rsid w:val="00893D2C"/>
    <w:pPr>
      <w:spacing w:after="0" w:line="240" w:lineRule="auto"/>
    </w:pPr>
    <w:tblPr>
      <w:tblStyleRowBandSize w:val="1"/>
      <w:tblStyleColBandSize w:val="1"/>
      <w:tblBorders>
        <w:top w:val="single" w:sz="4" w:space="0" w:color="FDF7F1" w:themeColor="accent5" w:themeTint="66"/>
        <w:left w:val="single" w:sz="4" w:space="0" w:color="FDF7F1" w:themeColor="accent5" w:themeTint="66"/>
        <w:bottom w:val="single" w:sz="4" w:space="0" w:color="FDF7F1" w:themeColor="accent5" w:themeTint="66"/>
        <w:right w:val="single" w:sz="4" w:space="0" w:color="FDF7F1" w:themeColor="accent5" w:themeTint="66"/>
        <w:insideH w:val="single" w:sz="4" w:space="0" w:color="FDF7F1" w:themeColor="accent5" w:themeTint="66"/>
        <w:insideV w:val="single" w:sz="4" w:space="0" w:color="FDF7F1" w:themeColor="accent5" w:themeTint="66"/>
      </w:tblBorders>
    </w:tblPr>
    <w:tblStylePr w:type="firstRow">
      <w:rPr>
        <w:b/>
        <w:bCs/>
      </w:rPr>
      <w:tblPr/>
      <w:tcPr>
        <w:tcBorders>
          <w:bottom w:val="single" w:sz="12" w:space="0" w:color="FDF3EB" w:themeColor="accent5" w:themeTint="99"/>
        </w:tcBorders>
      </w:tcPr>
    </w:tblStylePr>
    <w:tblStylePr w:type="lastRow">
      <w:rPr>
        <w:b/>
        <w:bCs/>
      </w:rPr>
      <w:tblPr/>
      <w:tcPr>
        <w:tcBorders>
          <w:top w:val="double" w:sz="2" w:space="0" w:color="FDF3EB" w:themeColor="accent5" w:themeTint="99"/>
        </w:tcBorders>
      </w:tcPr>
    </w:tblStylePr>
    <w:tblStylePr w:type="firstCol">
      <w:rPr>
        <w:b/>
        <w:bCs/>
      </w:rPr>
    </w:tblStylePr>
    <w:tblStylePr w:type="lastCol">
      <w:rPr>
        <w:b/>
        <w:bCs/>
      </w:rPr>
    </w:tblStylePr>
  </w:style>
  <w:style w:type="table" w:styleId="Rutenettabell1lysuthevingsfarge6">
    <w:name w:val="Grid Table 1 Light Accent 6"/>
    <w:basedOn w:val="Vanligtabell"/>
    <w:uiPriority w:val="46"/>
    <w:rsid w:val="00893D2C"/>
    <w:pPr>
      <w:spacing w:after="0" w:line="240" w:lineRule="auto"/>
    </w:pPr>
    <w:tblPr>
      <w:tblStyleRowBandSize w:val="1"/>
      <w:tblStyleColBandSize w:val="1"/>
      <w:tblBorders>
        <w:top w:val="single" w:sz="4" w:space="0" w:color="F9FCFC" w:themeColor="accent6" w:themeTint="66"/>
        <w:left w:val="single" w:sz="4" w:space="0" w:color="F9FCFC" w:themeColor="accent6" w:themeTint="66"/>
        <w:bottom w:val="single" w:sz="4" w:space="0" w:color="F9FCFC" w:themeColor="accent6" w:themeTint="66"/>
        <w:right w:val="single" w:sz="4" w:space="0" w:color="F9FCFC" w:themeColor="accent6" w:themeTint="66"/>
        <w:insideH w:val="single" w:sz="4" w:space="0" w:color="F9FCFC" w:themeColor="accent6" w:themeTint="66"/>
        <w:insideV w:val="single" w:sz="4" w:space="0" w:color="F9FCFC" w:themeColor="accent6" w:themeTint="66"/>
      </w:tblBorders>
    </w:tblPr>
    <w:tblStylePr w:type="firstRow">
      <w:rPr>
        <w:b/>
        <w:bCs/>
      </w:rPr>
      <w:tblPr/>
      <w:tcPr>
        <w:tcBorders>
          <w:bottom w:val="single" w:sz="12" w:space="0" w:color="F7FAFA" w:themeColor="accent6" w:themeTint="99"/>
        </w:tcBorders>
      </w:tcPr>
    </w:tblStylePr>
    <w:tblStylePr w:type="lastRow">
      <w:rPr>
        <w:b/>
        <w:bCs/>
      </w:rPr>
      <w:tblPr/>
      <w:tcPr>
        <w:tcBorders>
          <w:top w:val="double" w:sz="2" w:space="0" w:color="F7FAFA" w:themeColor="accent6" w:themeTint="99"/>
        </w:tcBorders>
      </w:tcPr>
    </w:tblStylePr>
    <w:tblStylePr w:type="firstCol">
      <w:rPr>
        <w:b/>
        <w:bCs/>
      </w:rPr>
    </w:tblStylePr>
    <w:tblStylePr w:type="lastCol">
      <w:rPr>
        <w:b/>
        <w:bCs/>
      </w:rPr>
    </w:tblStylePr>
  </w:style>
  <w:style w:type="table" w:styleId="Rutenettabell2">
    <w:name w:val="Grid Table 2"/>
    <w:basedOn w:val="Vanligtabell"/>
    <w:uiPriority w:val="47"/>
    <w:rsid w:val="00893D2C"/>
    <w:pPr>
      <w:spacing w:after="0" w:line="240" w:lineRule="auto"/>
    </w:pPr>
    <w:tblPr>
      <w:tblStyleRowBandSize w:val="1"/>
      <w:tblStyleColBandSize w:val="1"/>
      <w:tblBorders>
        <w:top w:val="single" w:sz="2" w:space="0" w:color="88886C" w:themeColor="text1" w:themeTint="99"/>
        <w:bottom w:val="single" w:sz="2" w:space="0" w:color="88886C" w:themeColor="text1" w:themeTint="99"/>
        <w:insideH w:val="single" w:sz="2" w:space="0" w:color="88886C" w:themeColor="text1" w:themeTint="99"/>
        <w:insideV w:val="single" w:sz="2" w:space="0" w:color="88886C" w:themeColor="text1" w:themeTint="99"/>
      </w:tblBorders>
    </w:tblPr>
    <w:tblStylePr w:type="firstRow">
      <w:rPr>
        <w:b/>
        <w:bCs/>
      </w:rPr>
      <w:tblPr/>
      <w:tcPr>
        <w:tcBorders>
          <w:top w:val="nil"/>
          <w:bottom w:val="single" w:sz="12" w:space="0" w:color="88886C" w:themeColor="text1" w:themeTint="99"/>
          <w:insideH w:val="nil"/>
          <w:insideV w:val="nil"/>
        </w:tcBorders>
        <w:shd w:val="clear" w:color="auto" w:fill="FFFFFF" w:themeFill="background1"/>
      </w:tcPr>
    </w:tblStylePr>
    <w:tblStylePr w:type="lastRow">
      <w:rPr>
        <w:b/>
        <w:bCs/>
      </w:rPr>
      <w:tblPr/>
      <w:tcPr>
        <w:tcBorders>
          <w:top w:val="double" w:sz="2" w:space="0" w:color="88886C"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2uthevingsfarge1">
    <w:name w:val="Grid Table 2 Accent 1"/>
    <w:basedOn w:val="Vanligtabell"/>
    <w:uiPriority w:val="47"/>
    <w:rsid w:val="00893D2C"/>
    <w:pPr>
      <w:spacing w:after="0" w:line="240" w:lineRule="auto"/>
    </w:pPr>
    <w:tblPr>
      <w:tblStyleRowBandSize w:val="1"/>
      <w:tblStyleColBandSize w:val="1"/>
      <w:tblBorders>
        <w:top w:val="single" w:sz="2" w:space="0" w:color="6060D0" w:themeColor="accent1" w:themeTint="99"/>
        <w:bottom w:val="single" w:sz="2" w:space="0" w:color="6060D0" w:themeColor="accent1" w:themeTint="99"/>
        <w:insideH w:val="single" w:sz="2" w:space="0" w:color="6060D0" w:themeColor="accent1" w:themeTint="99"/>
        <w:insideV w:val="single" w:sz="2" w:space="0" w:color="6060D0" w:themeColor="accent1" w:themeTint="99"/>
      </w:tblBorders>
    </w:tblPr>
    <w:tblStylePr w:type="firstRow">
      <w:rPr>
        <w:b/>
        <w:bCs/>
      </w:rPr>
      <w:tblPr/>
      <w:tcPr>
        <w:tcBorders>
          <w:top w:val="nil"/>
          <w:bottom w:val="single" w:sz="12" w:space="0" w:color="6060D0" w:themeColor="accent1" w:themeTint="99"/>
          <w:insideH w:val="nil"/>
          <w:insideV w:val="nil"/>
        </w:tcBorders>
        <w:shd w:val="clear" w:color="auto" w:fill="FFFFFF" w:themeFill="background1"/>
      </w:tcPr>
    </w:tblStylePr>
    <w:tblStylePr w:type="lastRow">
      <w:rPr>
        <w:b/>
        <w:bCs/>
      </w:rPr>
      <w:tblPr/>
      <w:tcPr>
        <w:tcBorders>
          <w:top w:val="double" w:sz="2" w:space="0" w:color="6060D0"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2uthevingsfarge2">
    <w:name w:val="Grid Table 2 Accent 2"/>
    <w:basedOn w:val="Vanligtabell"/>
    <w:uiPriority w:val="47"/>
    <w:rsid w:val="00893D2C"/>
    <w:pPr>
      <w:spacing w:after="0" w:line="240" w:lineRule="auto"/>
    </w:pPr>
    <w:tblPr>
      <w:tblStyleRowBandSize w:val="1"/>
      <w:tblStyleColBandSize w:val="1"/>
      <w:tblBorders>
        <w:top w:val="single" w:sz="2" w:space="0" w:color="FFD0A7" w:themeColor="accent2" w:themeTint="99"/>
        <w:bottom w:val="single" w:sz="2" w:space="0" w:color="FFD0A7" w:themeColor="accent2" w:themeTint="99"/>
        <w:insideH w:val="single" w:sz="2" w:space="0" w:color="FFD0A7" w:themeColor="accent2" w:themeTint="99"/>
        <w:insideV w:val="single" w:sz="2" w:space="0" w:color="FFD0A7" w:themeColor="accent2" w:themeTint="99"/>
      </w:tblBorders>
    </w:tblPr>
    <w:tblStylePr w:type="firstRow">
      <w:rPr>
        <w:b/>
        <w:bCs/>
      </w:rPr>
      <w:tblPr/>
      <w:tcPr>
        <w:tcBorders>
          <w:top w:val="nil"/>
          <w:bottom w:val="single" w:sz="12" w:space="0" w:color="FFD0A7" w:themeColor="accent2" w:themeTint="99"/>
          <w:insideH w:val="nil"/>
          <w:insideV w:val="nil"/>
        </w:tcBorders>
        <w:shd w:val="clear" w:color="auto" w:fill="FFFFFF" w:themeFill="background1"/>
      </w:tcPr>
    </w:tblStylePr>
    <w:tblStylePr w:type="lastRow">
      <w:rPr>
        <w:b/>
        <w:bCs/>
      </w:rPr>
      <w:tblPr/>
      <w:tcPr>
        <w:tcBorders>
          <w:top w:val="double" w:sz="2" w:space="0" w:color="FFD0A7"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2uthevingsfarge3">
    <w:name w:val="Grid Table 2 Accent 3"/>
    <w:basedOn w:val="Vanligtabell"/>
    <w:uiPriority w:val="47"/>
    <w:rsid w:val="00893D2C"/>
    <w:pPr>
      <w:spacing w:after="0" w:line="240" w:lineRule="auto"/>
    </w:pPr>
    <w:tblPr>
      <w:tblStyleRowBandSize w:val="1"/>
      <w:tblStyleColBandSize w:val="1"/>
      <w:tblBorders>
        <w:top w:val="single" w:sz="2" w:space="0" w:color="80C3CB" w:themeColor="accent3" w:themeTint="99"/>
        <w:bottom w:val="single" w:sz="2" w:space="0" w:color="80C3CB" w:themeColor="accent3" w:themeTint="99"/>
        <w:insideH w:val="single" w:sz="2" w:space="0" w:color="80C3CB" w:themeColor="accent3" w:themeTint="99"/>
        <w:insideV w:val="single" w:sz="2" w:space="0" w:color="80C3CB" w:themeColor="accent3" w:themeTint="99"/>
      </w:tblBorders>
    </w:tblPr>
    <w:tblStylePr w:type="firstRow">
      <w:rPr>
        <w:b/>
        <w:bCs/>
      </w:rPr>
      <w:tblPr/>
      <w:tcPr>
        <w:tcBorders>
          <w:top w:val="nil"/>
          <w:bottom w:val="single" w:sz="12" w:space="0" w:color="80C3CB" w:themeColor="accent3" w:themeTint="99"/>
          <w:insideH w:val="nil"/>
          <w:insideV w:val="nil"/>
        </w:tcBorders>
        <w:shd w:val="clear" w:color="auto" w:fill="FFFFFF" w:themeFill="background1"/>
      </w:tcPr>
    </w:tblStylePr>
    <w:tblStylePr w:type="lastRow">
      <w:rPr>
        <w:b/>
        <w:bCs/>
      </w:rPr>
      <w:tblPr/>
      <w:tcPr>
        <w:tcBorders>
          <w:top w:val="double" w:sz="2" w:space="0" w:color="80C3C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2uthevingsfarge4">
    <w:name w:val="Grid Table 2 Accent 4"/>
    <w:basedOn w:val="Vanligtabell"/>
    <w:uiPriority w:val="47"/>
    <w:rsid w:val="00893D2C"/>
    <w:pPr>
      <w:spacing w:after="0" w:line="240" w:lineRule="auto"/>
    </w:pPr>
    <w:tblPr>
      <w:tblStyleRowBandSize w:val="1"/>
      <w:tblStyleColBandSize w:val="1"/>
      <w:tblBorders>
        <w:top w:val="single" w:sz="2" w:space="0" w:color="88886C" w:themeColor="accent4" w:themeTint="99"/>
        <w:bottom w:val="single" w:sz="2" w:space="0" w:color="88886C" w:themeColor="accent4" w:themeTint="99"/>
        <w:insideH w:val="single" w:sz="2" w:space="0" w:color="88886C" w:themeColor="accent4" w:themeTint="99"/>
        <w:insideV w:val="single" w:sz="2" w:space="0" w:color="88886C" w:themeColor="accent4" w:themeTint="99"/>
      </w:tblBorders>
    </w:tblPr>
    <w:tblStylePr w:type="firstRow">
      <w:rPr>
        <w:b/>
        <w:bCs/>
      </w:rPr>
      <w:tblPr/>
      <w:tcPr>
        <w:tcBorders>
          <w:top w:val="nil"/>
          <w:bottom w:val="single" w:sz="12" w:space="0" w:color="88886C" w:themeColor="accent4" w:themeTint="99"/>
          <w:insideH w:val="nil"/>
          <w:insideV w:val="nil"/>
        </w:tcBorders>
        <w:shd w:val="clear" w:color="auto" w:fill="FFFFFF" w:themeFill="background1"/>
      </w:tcPr>
    </w:tblStylePr>
    <w:tblStylePr w:type="lastRow">
      <w:rPr>
        <w:b/>
        <w:bCs/>
      </w:rPr>
      <w:tblPr/>
      <w:tcPr>
        <w:tcBorders>
          <w:top w:val="double" w:sz="2" w:space="0" w:color="88886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2uthevingsfarge5">
    <w:name w:val="Grid Table 2 Accent 5"/>
    <w:basedOn w:val="Vanligtabell"/>
    <w:uiPriority w:val="47"/>
    <w:rsid w:val="00893D2C"/>
    <w:pPr>
      <w:spacing w:after="0" w:line="240" w:lineRule="auto"/>
    </w:pPr>
    <w:tblPr>
      <w:tblStyleRowBandSize w:val="1"/>
      <w:tblStyleColBandSize w:val="1"/>
      <w:tblBorders>
        <w:top w:val="single" w:sz="2" w:space="0" w:color="FDF3EB" w:themeColor="accent5" w:themeTint="99"/>
        <w:bottom w:val="single" w:sz="2" w:space="0" w:color="FDF3EB" w:themeColor="accent5" w:themeTint="99"/>
        <w:insideH w:val="single" w:sz="2" w:space="0" w:color="FDF3EB" w:themeColor="accent5" w:themeTint="99"/>
        <w:insideV w:val="single" w:sz="2" w:space="0" w:color="FDF3EB" w:themeColor="accent5" w:themeTint="99"/>
      </w:tblBorders>
    </w:tblPr>
    <w:tblStylePr w:type="firstRow">
      <w:rPr>
        <w:b/>
        <w:bCs/>
      </w:rPr>
      <w:tblPr/>
      <w:tcPr>
        <w:tcBorders>
          <w:top w:val="nil"/>
          <w:bottom w:val="single" w:sz="12" w:space="0" w:color="FDF3EB" w:themeColor="accent5" w:themeTint="99"/>
          <w:insideH w:val="nil"/>
          <w:insideV w:val="nil"/>
        </w:tcBorders>
        <w:shd w:val="clear" w:color="auto" w:fill="FFFFFF" w:themeFill="background1"/>
      </w:tcPr>
    </w:tblStylePr>
    <w:tblStylePr w:type="lastRow">
      <w:rPr>
        <w:b/>
        <w:bCs/>
      </w:rPr>
      <w:tblPr/>
      <w:tcPr>
        <w:tcBorders>
          <w:top w:val="double" w:sz="2" w:space="0" w:color="FDF3E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2uthevingsfarge6">
    <w:name w:val="Grid Table 2 Accent 6"/>
    <w:basedOn w:val="Vanligtabell"/>
    <w:uiPriority w:val="47"/>
    <w:rsid w:val="00893D2C"/>
    <w:pPr>
      <w:spacing w:after="0" w:line="240" w:lineRule="auto"/>
    </w:pPr>
    <w:tblPr>
      <w:tblStyleRowBandSize w:val="1"/>
      <w:tblStyleColBandSize w:val="1"/>
      <w:tblBorders>
        <w:top w:val="single" w:sz="2" w:space="0" w:color="F7FAFA" w:themeColor="accent6" w:themeTint="99"/>
        <w:bottom w:val="single" w:sz="2" w:space="0" w:color="F7FAFA" w:themeColor="accent6" w:themeTint="99"/>
        <w:insideH w:val="single" w:sz="2" w:space="0" w:color="F7FAFA" w:themeColor="accent6" w:themeTint="99"/>
        <w:insideV w:val="single" w:sz="2" w:space="0" w:color="F7FAFA" w:themeColor="accent6" w:themeTint="99"/>
      </w:tblBorders>
    </w:tblPr>
    <w:tblStylePr w:type="firstRow">
      <w:rPr>
        <w:b/>
        <w:bCs/>
      </w:rPr>
      <w:tblPr/>
      <w:tcPr>
        <w:tcBorders>
          <w:top w:val="nil"/>
          <w:bottom w:val="single" w:sz="12" w:space="0" w:color="F7FAFA" w:themeColor="accent6" w:themeTint="99"/>
          <w:insideH w:val="nil"/>
          <w:insideV w:val="nil"/>
        </w:tcBorders>
        <w:shd w:val="clear" w:color="auto" w:fill="FFFFFF" w:themeFill="background1"/>
      </w:tcPr>
    </w:tblStylePr>
    <w:tblStylePr w:type="lastRow">
      <w:rPr>
        <w:b/>
        <w:bCs/>
      </w:rPr>
      <w:tblPr/>
      <w:tcPr>
        <w:tcBorders>
          <w:top w:val="double" w:sz="2" w:space="0" w:color="F7FAFA"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3">
    <w:name w:val="Grid Table 3"/>
    <w:basedOn w:val="Vanligtabell"/>
    <w:uiPriority w:val="48"/>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bottom w:val="single" w:sz="4" w:space="0" w:color="88886C" w:themeColor="text1" w:themeTint="99"/>
        </w:tcBorders>
      </w:tcPr>
    </w:tblStylePr>
    <w:tblStylePr w:type="nwCell">
      <w:tblPr/>
      <w:tcPr>
        <w:tcBorders>
          <w:bottom w:val="single" w:sz="4" w:space="0" w:color="88886C" w:themeColor="text1" w:themeTint="99"/>
        </w:tcBorders>
      </w:tcPr>
    </w:tblStylePr>
    <w:tblStylePr w:type="seCell">
      <w:tblPr/>
      <w:tcPr>
        <w:tcBorders>
          <w:top w:val="single" w:sz="4" w:space="0" w:color="88886C" w:themeColor="text1" w:themeTint="99"/>
        </w:tcBorders>
      </w:tcPr>
    </w:tblStylePr>
    <w:tblStylePr w:type="swCell">
      <w:tblPr/>
      <w:tcPr>
        <w:tcBorders>
          <w:top w:val="single" w:sz="4" w:space="0" w:color="88886C" w:themeColor="text1" w:themeTint="99"/>
        </w:tcBorders>
      </w:tcPr>
    </w:tblStylePr>
  </w:style>
  <w:style w:type="table" w:styleId="Rutenettabell3uthevingsfarge1">
    <w:name w:val="Grid Table 3 Accent 1"/>
    <w:basedOn w:val="Vanligtabell"/>
    <w:uiPriority w:val="48"/>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bottom w:val="single" w:sz="4" w:space="0" w:color="6060D0" w:themeColor="accent1" w:themeTint="99"/>
        </w:tcBorders>
      </w:tcPr>
    </w:tblStylePr>
    <w:tblStylePr w:type="nwCell">
      <w:tblPr/>
      <w:tcPr>
        <w:tcBorders>
          <w:bottom w:val="single" w:sz="4" w:space="0" w:color="6060D0" w:themeColor="accent1" w:themeTint="99"/>
        </w:tcBorders>
      </w:tcPr>
    </w:tblStylePr>
    <w:tblStylePr w:type="seCell">
      <w:tblPr/>
      <w:tcPr>
        <w:tcBorders>
          <w:top w:val="single" w:sz="4" w:space="0" w:color="6060D0" w:themeColor="accent1" w:themeTint="99"/>
        </w:tcBorders>
      </w:tcPr>
    </w:tblStylePr>
    <w:tblStylePr w:type="swCell">
      <w:tblPr/>
      <w:tcPr>
        <w:tcBorders>
          <w:top w:val="single" w:sz="4" w:space="0" w:color="6060D0" w:themeColor="accent1" w:themeTint="99"/>
        </w:tcBorders>
      </w:tcPr>
    </w:tblStylePr>
  </w:style>
  <w:style w:type="table" w:styleId="Rutenettabell3uthevingsfarge2">
    <w:name w:val="Grid Table 3 Accent 2"/>
    <w:basedOn w:val="Vanligtabell"/>
    <w:uiPriority w:val="48"/>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bottom w:val="single" w:sz="4" w:space="0" w:color="FFD0A7" w:themeColor="accent2" w:themeTint="99"/>
        </w:tcBorders>
      </w:tcPr>
    </w:tblStylePr>
    <w:tblStylePr w:type="nwCell">
      <w:tblPr/>
      <w:tcPr>
        <w:tcBorders>
          <w:bottom w:val="single" w:sz="4" w:space="0" w:color="FFD0A7" w:themeColor="accent2" w:themeTint="99"/>
        </w:tcBorders>
      </w:tcPr>
    </w:tblStylePr>
    <w:tblStylePr w:type="seCell">
      <w:tblPr/>
      <w:tcPr>
        <w:tcBorders>
          <w:top w:val="single" w:sz="4" w:space="0" w:color="FFD0A7" w:themeColor="accent2" w:themeTint="99"/>
        </w:tcBorders>
      </w:tcPr>
    </w:tblStylePr>
    <w:tblStylePr w:type="swCell">
      <w:tblPr/>
      <w:tcPr>
        <w:tcBorders>
          <w:top w:val="single" w:sz="4" w:space="0" w:color="FFD0A7" w:themeColor="accent2" w:themeTint="99"/>
        </w:tcBorders>
      </w:tcPr>
    </w:tblStylePr>
  </w:style>
  <w:style w:type="table" w:styleId="Rutenettabell3uthevingsfarge3">
    <w:name w:val="Grid Table 3 Accent 3"/>
    <w:basedOn w:val="Vanligtabell"/>
    <w:uiPriority w:val="48"/>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bottom w:val="single" w:sz="4" w:space="0" w:color="80C3CB" w:themeColor="accent3" w:themeTint="99"/>
        </w:tcBorders>
      </w:tcPr>
    </w:tblStylePr>
    <w:tblStylePr w:type="nwCell">
      <w:tblPr/>
      <w:tcPr>
        <w:tcBorders>
          <w:bottom w:val="single" w:sz="4" w:space="0" w:color="80C3CB" w:themeColor="accent3" w:themeTint="99"/>
        </w:tcBorders>
      </w:tcPr>
    </w:tblStylePr>
    <w:tblStylePr w:type="seCell">
      <w:tblPr/>
      <w:tcPr>
        <w:tcBorders>
          <w:top w:val="single" w:sz="4" w:space="0" w:color="80C3CB" w:themeColor="accent3" w:themeTint="99"/>
        </w:tcBorders>
      </w:tcPr>
    </w:tblStylePr>
    <w:tblStylePr w:type="swCell">
      <w:tblPr/>
      <w:tcPr>
        <w:tcBorders>
          <w:top w:val="single" w:sz="4" w:space="0" w:color="80C3CB" w:themeColor="accent3" w:themeTint="99"/>
        </w:tcBorders>
      </w:tcPr>
    </w:tblStylePr>
  </w:style>
  <w:style w:type="table" w:styleId="Rutenettabell3uthevingsfarge4">
    <w:name w:val="Grid Table 3 Accent 4"/>
    <w:basedOn w:val="Vanligtabell"/>
    <w:uiPriority w:val="48"/>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bottom w:val="single" w:sz="4" w:space="0" w:color="88886C" w:themeColor="accent4" w:themeTint="99"/>
        </w:tcBorders>
      </w:tcPr>
    </w:tblStylePr>
    <w:tblStylePr w:type="nwCell">
      <w:tblPr/>
      <w:tcPr>
        <w:tcBorders>
          <w:bottom w:val="single" w:sz="4" w:space="0" w:color="88886C" w:themeColor="accent4" w:themeTint="99"/>
        </w:tcBorders>
      </w:tcPr>
    </w:tblStylePr>
    <w:tblStylePr w:type="seCell">
      <w:tblPr/>
      <w:tcPr>
        <w:tcBorders>
          <w:top w:val="single" w:sz="4" w:space="0" w:color="88886C" w:themeColor="accent4" w:themeTint="99"/>
        </w:tcBorders>
      </w:tcPr>
    </w:tblStylePr>
    <w:tblStylePr w:type="swCell">
      <w:tblPr/>
      <w:tcPr>
        <w:tcBorders>
          <w:top w:val="single" w:sz="4" w:space="0" w:color="88886C" w:themeColor="accent4" w:themeTint="99"/>
        </w:tcBorders>
      </w:tcPr>
    </w:tblStylePr>
  </w:style>
  <w:style w:type="table" w:styleId="Rutenettabell3uthevingsfarge5">
    <w:name w:val="Grid Table 3 Accent 5"/>
    <w:basedOn w:val="Vanligtabell"/>
    <w:uiPriority w:val="48"/>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bottom w:val="single" w:sz="4" w:space="0" w:color="FDF3EB" w:themeColor="accent5" w:themeTint="99"/>
        </w:tcBorders>
      </w:tcPr>
    </w:tblStylePr>
    <w:tblStylePr w:type="nwCell">
      <w:tblPr/>
      <w:tcPr>
        <w:tcBorders>
          <w:bottom w:val="single" w:sz="4" w:space="0" w:color="FDF3EB" w:themeColor="accent5" w:themeTint="99"/>
        </w:tcBorders>
      </w:tcPr>
    </w:tblStylePr>
    <w:tblStylePr w:type="seCell">
      <w:tblPr/>
      <w:tcPr>
        <w:tcBorders>
          <w:top w:val="single" w:sz="4" w:space="0" w:color="FDF3EB" w:themeColor="accent5" w:themeTint="99"/>
        </w:tcBorders>
      </w:tcPr>
    </w:tblStylePr>
    <w:tblStylePr w:type="swCell">
      <w:tblPr/>
      <w:tcPr>
        <w:tcBorders>
          <w:top w:val="single" w:sz="4" w:space="0" w:color="FDF3EB" w:themeColor="accent5" w:themeTint="99"/>
        </w:tcBorders>
      </w:tcPr>
    </w:tblStylePr>
  </w:style>
  <w:style w:type="table" w:styleId="Rutenettabell3uthevingsfarge6">
    <w:name w:val="Grid Table 3 Accent 6"/>
    <w:basedOn w:val="Vanligtabell"/>
    <w:uiPriority w:val="48"/>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bottom w:val="single" w:sz="4" w:space="0" w:color="F7FAFA" w:themeColor="accent6" w:themeTint="99"/>
        </w:tcBorders>
      </w:tcPr>
    </w:tblStylePr>
    <w:tblStylePr w:type="nwCell">
      <w:tblPr/>
      <w:tcPr>
        <w:tcBorders>
          <w:bottom w:val="single" w:sz="4" w:space="0" w:color="F7FAFA" w:themeColor="accent6" w:themeTint="99"/>
        </w:tcBorders>
      </w:tcPr>
    </w:tblStylePr>
    <w:tblStylePr w:type="seCell">
      <w:tblPr/>
      <w:tcPr>
        <w:tcBorders>
          <w:top w:val="single" w:sz="4" w:space="0" w:color="F7FAFA" w:themeColor="accent6" w:themeTint="99"/>
        </w:tcBorders>
      </w:tcPr>
    </w:tblStylePr>
    <w:tblStylePr w:type="swCell">
      <w:tblPr/>
      <w:tcPr>
        <w:tcBorders>
          <w:top w:val="single" w:sz="4" w:space="0" w:color="F7FAFA" w:themeColor="accent6" w:themeTint="99"/>
        </w:tcBorders>
      </w:tcPr>
    </w:tblStylePr>
  </w:style>
  <w:style w:type="table" w:styleId="Rutenettabell4">
    <w:name w:val="Grid Table 4"/>
    <w:basedOn w:val="Vanligtabell"/>
    <w:uiPriority w:val="49"/>
    <w:rsid w:val="00893D2C"/>
    <w:pPr>
      <w:spacing w:after="0" w:line="240" w:lineRule="auto"/>
    </w:p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color w:val="FFFFFF" w:themeColor="background1"/>
      </w:rPr>
      <w:tblPr/>
      <w:tcPr>
        <w:tcBorders>
          <w:top w:val="single" w:sz="4" w:space="0" w:color="26261E" w:themeColor="text1"/>
          <w:left w:val="single" w:sz="4" w:space="0" w:color="26261E" w:themeColor="text1"/>
          <w:bottom w:val="single" w:sz="4" w:space="0" w:color="26261E" w:themeColor="text1"/>
          <w:right w:val="single" w:sz="4" w:space="0" w:color="26261E" w:themeColor="text1"/>
          <w:insideH w:val="nil"/>
          <w:insideV w:val="nil"/>
        </w:tcBorders>
        <w:shd w:val="clear" w:color="auto" w:fill="26261E" w:themeFill="text1"/>
      </w:tcPr>
    </w:tblStylePr>
    <w:tblStylePr w:type="lastRow">
      <w:rPr>
        <w:b/>
        <w:bCs/>
      </w:rPr>
      <w:tblPr/>
      <w:tcPr>
        <w:tcBorders>
          <w:top w:val="double" w:sz="4" w:space="0" w:color="26261E" w:themeColor="text1"/>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4uthevingsfarge1">
    <w:name w:val="Grid Table 4 Accent 1"/>
    <w:basedOn w:val="Vanligtabell"/>
    <w:uiPriority w:val="49"/>
    <w:rsid w:val="00893D2C"/>
    <w:pPr>
      <w:spacing w:after="0" w:line="240" w:lineRule="auto"/>
    </w:p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color w:val="FFFFFF" w:themeColor="background1"/>
      </w:rPr>
      <w:tblPr/>
      <w:tcPr>
        <w:tcBorders>
          <w:top w:val="single" w:sz="4" w:space="0" w:color="262682" w:themeColor="accent1"/>
          <w:left w:val="single" w:sz="4" w:space="0" w:color="262682" w:themeColor="accent1"/>
          <w:bottom w:val="single" w:sz="4" w:space="0" w:color="262682" w:themeColor="accent1"/>
          <w:right w:val="single" w:sz="4" w:space="0" w:color="262682" w:themeColor="accent1"/>
          <w:insideH w:val="nil"/>
          <w:insideV w:val="nil"/>
        </w:tcBorders>
        <w:shd w:val="clear" w:color="auto" w:fill="262682" w:themeFill="accent1"/>
      </w:tcPr>
    </w:tblStylePr>
    <w:tblStylePr w:type="lastRow">
      <w:rPr>
        <w:b/>
        <w:bCs/>
      </w:rPr>
      <w:tblPr/>
      <w:tcPr>
        <w:tcBorders>
          <w:top w:val="double" w:sz="4" w:space="0" w:color="262682" w:themeColor="accent1"/>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4uthevingsfarge2">
    <w:name w:val="Grid Table 4 Accent 2"/>
    <w:basedOn w:val="Vanligtabell"/>
    <w:uiPriority w:val="49"/>
    <w:rsid w:val="00893D2C"/>
    <w:pPr>
      <w:spacing w:after="0" w:line="240" w:lineRule="auto"/>
    </w:p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color w:val="FFFFFF" w:themeColor="background1"/>
      </w:rPr>
      <w:tblPr/>
      <w:tcPr>
        <w:tcBorders>
          <w:top w:val="single" w:sz="4" w:space="0" w:color="FFB26D" w:themeColor="accent2"/>
          <w:left w:val="single" w:sz="4" w:space="0" w:color="FFB26D" w:themeColor="accent2"/>
          <w:bottom w:val="single" w:sz="4" w:space="0" w:color="FFB26D" w:themeColor="accent2"/>
          <w:right w:val="single" w:sz="4" w:space="0" w:color="FFB26D" w:themeColor="accent2"/>
          <w:insideH w:val="nil"/>
          <w:insideV w:val="nil"/>
        </w:tcBorders>
        <w:shd w:val="clear" w:color="auto" w:fill="FFB26D" w:themeFill="accent2"/>
      </w:tcPr>
    </w:tblStylePr>
    <w:tblStylePr w:type="lastRow">
      <w:rPr>
        <w:b/>
        <w:bCs/>
      </w:rPr>
      <w:tblPr/>
      <w:tcPr>
        <w:tcBorders>
          <w:top w:val="double" w:sz="4" w:space="0" w:color="FFB26D" w:themeColor="accent2"/>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4uthevingsfarge3">
    <w:name w:val="Grid Table 4 Accent 3"/>
    <w:basedOn w:val="Vanligtabell"/>
    <w:uiPriority w:val="49"/>
    <w:rsid w:val="00893D2C"/>
    <w:pPr>
      <w:spacing w:after="0" w:line="240" w:lineRule="auto"/>
    </w:p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color w:val="FFFFFF" w:themeColor="background1"/>
      </w:rPr>
      <w:tblPr/>
      <w:tcPr>
        <w:tcBorders>
          <w:top w:val="single" w:sz="4" w:space="0" w:color="3E8F98" w:themeColor="accent3"/>
          <w:left w:val="single" w:sz="4" w:space="0" w:color="3E8F98" w:themeColor="accent3"/>
          <w:bottom w:val="single" w:sz="4" w:space="0" w:color="3E8F98" w:themeColor="accent3"/>
          <w:right w:val="single" w:sz="4" w:space="0" w:color="3E8F98" w:themeColor="accent3"/>
          <w:insideH w:val="nil"/>
          <w:insideV w:val="nil"/>
        </w:tcBorders>
        <w:shd w:val="clear" w:color="auto" w:fill="3E8F98" w:themeFill="accent3"/>
      </w:tcPr>
    </w:tblStylePr>
    <w:tblStylePr w:type="lastRow">
      <w:rPr>
        <w:b/>
        <w:bCs/>
      </w:rPr>
      <w:tblPr/>
      <w:tcPr>
        <w:tcBorders>
          <w:top w:val="double" w:sz="4" w:space="0" w:color="3E8F98" w:themeColor="accent3"/>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4uthevingsfarge4">
    <w:name w:val="Grid Table 4 Accent 4"/>
    <w:basedOn w:val="Vanligtabell"/>
    <w:uiPriority w:val="49"/>
    <w:rsid w:val="00893D2C"/>
    <w:pPr>
      <w:spacing w:after="0" w:line="240" w:lineRule="auto"/>
    </w:p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color w:val="FFFFFF" w:themeColor="background1"/>
      </w:rPr>
      <w:tblPr/>
      <w:tcPr>
        <w:tcBorders>
          <w:top w:val="single" w:sz="4" w:space="0" w:color="26261E" w:themeColor="accent4"/>
          <w:left w:val="single" w:sz="4" w:space="0" w:color="26261E" w:themeColor="accent4"/>
          <w:bottom w:val="single" w:sz="4" w:space="0" w:color="26261E" w:themeColor="accent4"/>
          <w:right w:val="single" w:sz="4" w:space="0" w:color="26261E" w:themeColor="accent4"/>
          <w:insideH w:val="nil"/>
          <w:insideV w:val="nil"/>
        </w:tcBorders>
        <w:shd w:val="clear" w:color="auto" w:fill="26261E" w:themeFill="accent4"/>
      </w:tcPr>
    </w:tblStylePr>
    <w:tblStylePr w:type="lastRow">
      <w:rPr>
        <w:b/>
        <w:bCs/>
      </w:rPr>
      <w:tblPr/>
      <w:tcPr>
        <w:tcBorders>
          <w:top w:val="double" w:sz="4" w:space="0" w:color="26261E" w:themeColor="accent4"/>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4uthevingsfarge5">
    <w:name w:val="Grid Table 4 Accent 5"/>
    <w:basedOn w:val="Vanligtabell"/>
    <w:uiPriority w:val="49"/>
    <w:rsid w:val="00893D2C"/>
    <w:pPr>
      <w:spacing w:after="0" w:line="240" w:lineRule="auto"/>
    </w:p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color w:val="FFFFFF" w:themeColor="background1"/>
      </w:rPr>
      <w:tblPr/>
      <w:tcPr>
        <w:tcBorders>
          <w:top w:val="single" w:sz="4" w:space="0" w:color="FCECDE" w:themeColor="accent5"/>
          <w:left w:val="single" w:sz="4" w:space="0" w:color="FCECDE" w:themeColor="accent5"/>
          <w:bottom w:val="single" w:sz="4" w:space="0" w:color="FCECDE" w:themeColor="accent5"/>
          <w:right w:val="single" w:sz="4" w:space="0" w:color="FCECDE" w:themeColor="accent5"/>
          <w:insideH w:val="nil"/>
          <w:insideV w:val="nil"/>
        </w:tcBorders>
        <w:shd w:val="clear" w:color="auto" w:fill="FCECDE" w:themeFill="accent5"/>
      </w:tcPr>
    </w:tblStylePr>
    <w:tblStylePr w:type="lastRow">
      <w:rPr>
        <w:b/>
        <w:bCs/>
      </w:rPr>
      <w:tblPr/>
      <w:tcPr>
        <w:tcBorders>
          <w:top w:val="double" w:sz="4" w:space="0" w:color="FCECDE" w:themeColor="accent5"/>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4uthevingsfarge6">
    <w:name w:val="Grid Table 4 Accent 6"/>
    <w:basedOn w:val="Vanligtabell"/>
    <w:uiPriority w:val="49"/>
    <w:rsid w:val="00893D2C"/>
    <w:pPr>
      <w:spacing w:after="0" w:line="240" w:lineRule="auto"/>
    </w:p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color w:val="FFFFFF" w:themeColor="background1"/>
      </w:rPr>
      <w:tblPr/>
      <w:tcPr>
        <w:tcBorders>
          <w:top w:val="single" w:sz="4" w:space="0" w:color="F2F8F8" w:themeColor="accent6"/>
          <w:left w:val="single" w:sz="4" w:space="0" w:color="F2F8F8" w:themeColor="accent6"/>
          <w:bottom w:val="single" w:sz="4" w:space="0" w:color="F2F8F8" w:themeColor="accent6"/>
          <w:right w:val="single" w:sz="4" w:space="0" w:color="F2F8F8" w:themeColor="accent6"/>
          <w:insideH w:val="nil"/>
          <w:insideV w:val="nil"/>
        </w:tcBorders>
        <w:shd w:val="clear" w:color="auto" w:fill="F2F8F8" w:themeFill="accent6"/>
      </w:tcPr>
    </w:tblStylePr>
    <w:tblStylePr w:type="lastRow">
      <w:rPr>
        <w:b/>
        <w:bCs/>
      </w:rPr>
      <w:tblPr/>
      <w:tcPr>
        <w:tcBorders>
          <w:top w:val="double" w:sz="4" w:space="0" w:color="F2F8F8" w:themeColor="accent6"/>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5mrk">
    <w:name w:val="Grid Table 5 Dark"/>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CD"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1E"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1E"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1E"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1E" w:themeFill="text1"/>
      </w:tcPr>
    </w:tblStylePr>
    <w:tblStylePr w:type="band1Vert">
      <w:tblPr/>
      <w:tcPr>
        <w:shd w:val="clear" w:color="auto" w:fill="B1B19C" w:themeFill="text1" w:themeFillTint="66"/>
      </w:tcPr>
    </w:tblStylePr>
    <w:tblStylePr w:type="band1Horz">
      <w:tblPr/>
      <w:tcPr>
        <w:shd w:val="clear" w:color="auto" w:fill="B1B19C" w:themeFill="text1" w:themeFillTint="66"/>
      </w:tcPr>
    </w:tblStylePr>
  </w:style>
  <w:style w:type="table" w:styleId="Rutenettabell5mrkuthevingsfarge1">
    <w:name w:val="Grid Table 5 Dark Accent 1"/>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9C9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82" w:themeFill="accent1"/>
      </w:tcPr>
    </w:tblStylePr>
    <w:tblStylePr w:type="band1Vert">
      <w:tblPr/>
      <w:tcPr>
        <w:shd w:val="clear" w:color="auto" w:fill="9595E0" w:themeFill="accent1" w:themeFillTint="66"/>
      </w:tcPr>
    </w:tblStylePr>
    <w:tblStylePr w:type="band1Horz">
      <w:tblPr/>
      <w:tcPr>
        <w:shd w:val="clear" w:color="auto" w:fill="9595E0" w:themeFill="accent1" w:themeFillTint="66"/>
      </w:tcPr>
    </w:tblStylePr>
  </w:style>
  <w:style w:type="table" w:styleId="Rutenettabell5mrkuthevingsfarge2">
    <w:name w:val="Grid Table 5 Dark Accent 2"/>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E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B26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B26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B26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B26D" w:themeFill="accent2"/>
      </w:tcPr>
    </w:tblStylePr>
    <w:tblStylePr w:type="band1Vert">
      <w:tblPr/>
      <w:tcPr>
        <w:shd w:val="clear" w:color="auto" w:fill="FFDFC4" w:themeFill="accent2" w:themeFillTint="66"/>
      </w:tcPr>
    </w:tblStylePr>
    <w:tblStylePr w:type="band1Horz">
      <w:tblPr/>
      <w:tcPr>
        <w:shd w:val="clear" w:color="auto" w:fill="FFDFC4" w:themeFill="accent2" w:themeFillTint="66"/>
      </w:tcPr>
    </w:tblStylePr>
  </w:style>
  <w:style w:type="table" w:styleId="Rutenettabell5mrkuthevingsfarge3">
    <w:name w:val="Grid Table 5 Dark Accent 3"/>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B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E8F98"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E8F98"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E8F98"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E8F98" w:themeFill="accent3"/>
      </w:tcPr>
    </w:tblStylePr>
    <w:tblStylePr w:type="band1Vert">
      <w:tblPr/>
      <w:tcPr>
        <w:shd w:val="clear" w:color="auto" w:fill="AAD7DC" w:themeFill="accent3" w:themeFillTint="66"/>
      </w:tcPr>
    </w:tblStylePr>
    <w:tblStylePr w:type="band1Horz">
      <w:tblPr/>
      <w:tcPr>
        <w:shd w:val="clear" w:color="auto" w:fill="AAD7DC" w:themeFill="accent3" w:themeFillTint="66"/>
      </w:tcPr>
    </w:tblStylePr>
  </w:style>
  <w:style w:type="table" w:styleId="Rutenettabell5mrkuthevingsfarge4">
    <w:name w:val="Grid Table 5 Dark Accent 4"/>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8D8C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6261E"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6261E"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6261E"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6261E" w:themeFill="accent4"/>
      </w:tcPr>
    </w:tblStylePr>
    <w:tblStylePr w:type="band1Vert">
      <w:tblPr/>
      <w:tcPr>
        <w:shd w:val="clear" w:color="auto" w:fill="B1B19C" w:themeFill="accent4" w:themeFillTint="66"/>
      </w:tcPr>
    </w:tblStylePr>
    <w:tblStylePr w:type="band1Horz">
      <w:tblPr/>
      <w:tcPr>
        <w:shd w:val="clear" w:color="auto" w:fill="B1B19C" w:themeFill="accent4" w:themeFillTint="66"/>
      </w:tcPr>
    </w:tblStylePr>
  </w:style>
  <w:style w:type="table" w:styleId="Rutenettabell5mrkuthevingsfarge5">
    <w:name w:val="Grid Table 5 Dark Accent 5"/>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FB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CECDE"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CECDE"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CECDE"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CECDE" w:themeFill="accent5"/>
      </w:tcPr>
    </w:tblStylePr>
    <w:tblStylePr w:type="band1Vert">
      <w:tblPr/>
      <w:tcPr>
        <w:shd w:val="clear" w:color="auto" w:fill="FDF7F1" w:themeFill="accent5" w:themeFillTint="66"/>
      </w:tcPr>
    </w:tblStylePr>
    <w:tblStylePr w:type="band1Horz">
      <w:tblPr/>
      <w:tcPr>
        <w:shd w:val="clear" w:color="auto" w:fill="FDF7F1" w:themeFill="accent5" w:themeFillTint="66"/>
      </w:tcPr>
    </w:tblStylePr>
  </w:style>
  <w:style w:type="table" w:styleId="Rutenettabell5mrkuthevingsfarge6">
    <w:name w:val="Grid Table 5 Dark Accent 6"/>
    <w:basedOn w:val="Vanligtabell"/>
    <w:uiPriority w:val="50"/>
    <w:rsid w:val="00893D2C"/>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FDFD"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2F8F8"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2F8F8"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2F8F8"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2F8F8" w:themeFill="accent6"/>
      </w:tcPr>
    </w:tblStylePr>
    <w:tblStylePr w:type="band1Vert">
      <w:tblPr/>
      <w:tcPr>
        <w:shd w:val="clear" w:color="auto" w:fill="F9FCFC" w:themeFill="accent6" w:themeFillTint="66"/>
      </w:tcPr>
    </w:tblStylePr>
    <w:tblStylePr w:type="band1Horz">
      <w:tblPr/>
      <w:tcPr>
        <w:shd w:val="clear" w:color="auto" w:fill="F9FCFC" w:themeFill="accent6" w:themeFillTint="66"/>
      </w:tcPr>
    </w:tblStylePr>
  </w:style>
  <w:style w:type="table" w:styleId="Rutenettabell6fargerik">
    <w:name w:val="Grid Table 6 Colorful"/>
    <w:basedOn w:val="Vanligtabell"/>
    <w:uiPriority w:val="51"/>
    <w:rsid w:val="00893D2C"/>
    <w:pPr>
      <w:spacing w:after="0" w:line="240" w:lineRule="auto"/>
    </w:pPr>
    <w:rPr>
      <w:color w:val="26261E" w:themeColor="text1"/>
    </w:r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bottom w:val="single" w:sz="12" w:space="0" w:color="88886C" w:themeColor="text1" w:themeTint="99"/>
        </w:tcBorders>
      </w:tcPr>
    </w:tblStylePr>
    <w:tblStylePr w:type="lastRow">
      <w:rPr>
        <w:b/>
        <w:bCs/>
      </w:rPr>
      <w:tblPr/>
      <w:tcPr>
        <w:tcBorders>
          <w:top w:val="double" w:sz="4" w:space="0" w:color="88886C" w:themeColor="text1" w:themeTint="99"/>
        </w:tcBorders>
      </w:tcPr>
    </w:tblStylePr>
    <w:tblStylePr w:type="firstCol">
      <w:rPr>
        <w:b/>
        <w:bCs/>
      </w:rPr>
    </w:tblStylePr>
    <w:tblStylePr w:type="lastCol">
      <w:rPr>
        <w:b/>
        <w:bCs/>
      </w:rPr>
    </w:tblStylePr>
    <w:tblStylePr w:type="band1Vert">
      <w:tblPr/>
      <w:tcPr>
        <w:shd w:val="clear" w:color="auto" w:fill="D8D8CD" w:themeFill="text1" w:themeFillTint="33"/>
      </w:tcPr>
    </w:tblStylePr>
    <w:tblStylePr w:type="band1Horz">
      <w:tblPr/>
      <w:tcPr>
        <w:shd w:val="clear" w:color="auto" w:fill="D8D8CD" w:themeFill="text1" w:themeFillTint="33"/>
      </w:tcPr>
    </w:tblStylePr>
  </w:style>
  <w:style w:type="table" w:styleId="Rutenettabell6fargerikuthevingsfarge1">
    <w:name w:val="Grid Table 6 Colorful Accent 1"/>
    <w:basedOn w:val="Vanligtabell"/>
    <w:uiPriority w:val="51"/>
    <w:rsid w:val="00893D2C"/>
    <w:pPr>
      <w:spacing w:after="0" w:line="240" w:lineRule="auto"/>
    </w:pPr>
    <w:rPr>
      <w:color w:val="1C1C61" w:themeColor="accent1" w:themeShade="BF"/>
    </w:r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bottom w:val="single" w:sz="12" w:space="0" w:color="6060D0" w:themeColor="accent1" w:themeTint="99"/>
        </w:tcBorders>
      </w:tcPr>
    </w:tblStylePr>
    <w:tblStylePr w:type="lastRow">
      <w:rPr>
        <w:b/>
        <w:bCs/>
      </w:rPr>
      <w:tblPr/>
      <w:tcPr>
        <w:tcBorders>
          <w:top w:val="double" w:sz="4" w:space="0" w:color="6060D0" w:themeColor="accent1" w:themeTint="99"/>
        </w:tcBorders>
      </w:tcPr>
    </w:tblStylePr>
    <w:tblStylePr w:type="firstCol">
      <w:rPr>
        <w:b/>
        <w:bCs/>
      </w:rPr>
    </w:tblStylePr>
    <w:tblStylePr w:type="lastCol">
      <w:rPr>
        <w:b/>
        <w:bCs/>
      </w:rPr>
    </w:tblStylePr>
    <w:tblStylePr w:type="band1Vert">
      <w:tblPr/>
      <w:tcPr>
        <w:shd w:val="clear" w:color="auto" w:fill="C9C9EF" w:themeFill="accent1" w:themeFillTint="33"/>
      </w:tcPr>
    </w:tblStylePr>
    <w:tblStylePr w:type="band1Horz">
      <w:tblPr/>
      <w:tcPr>
        <w:shd w:val="clear" w:color="auto" w:fill="C9C9EF" w:themeFill="accent1" w:themeFillTint="33"/>
      </w:tcPr>
    </w:tblStylePr>
  </w:style>
  <w:style w:type="table" w:styleId="Rutenettabell6fargerikuthevingsfarge2">
    <w:name w:val="Grid Table 6 Colorful Accent 2"/>
    <w:basedOn w:val="Vanligtabell"/>
    <w:uiPriority w:val="51"/>
    <w:rsid w:val="00893D2C"/>
    <w:pPr>
      <w:spacing w:after="0" w:line="240" w:lineRule="auto"/>
    </w:pPr>
    <w:rPr>
      <w:color w:val="FF8111" w:themeColor="accent2" w:themeShade="BF"/>
    </w:r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bottom w:val="single" w:sz="12" w:space="0" w:color="FFD0A7" w:themeColor="accent2" w:themeTint="99"/>
        </w:tcBorders>
      </w:tcPr>
    </w:tblStylePr>
    <w:tblStylePr w:type="lastRow">
      <w:rPr>
        <w:b/>
        <w:bCs/>
      </w:rPr>
      <w:tblPr/>
      <w:tcPr>
        <w:tcBorders>
          <w:top w:val="double" w:sz="4" w:space="0" w:color="FFD0A7" w:themeColor="accent2" w:themeTint="99"/>
        </w:tcBorders>
      </w:tcPr>
    </w:tblStylePr>
    <w:tblStylePr w:type="firstCol">
      <w:rPr>
        <w:b/>
        <w:bCs/>
      </w:rPr>
    </w:tblStylePr>
    <w:tblStylePr w:type="lastCol">
      <w:rPr>
        <w:b/>
        <w:bCs/>
      </w:rPr>
    </w:tblStylePr>
    <w:tblStylePr w:type="band1Vert">
      <w:tblPr/>
      <w:tcPr>
        <w:shd w:val="clear" w:color="auto" w:fill="FFEFE1" w:themeFill="accent2" w:themeFillTint="33"/>
      </w:tcPr>
    </w:tblStylePr>
    <w:tblStylePr w:type="band1Horz">
      <w:tblPr/>
      <w:tcPr>
        <w:shd w:val="clear" w:color="auto" w:fill="FFEFE1" w:themeFill="accent2" w:themeFillTint="33"/>
      </w:tcPr>
    </w:tblStylePr>
  </w:style>
  <w:style w:type="table" w:styleId="Rutenettabell6fargerikuthevingsfarge3">
    <w:name w:val="Grid Table 6 Colorful Accent 3"/>
    <w:basedOn w:val="Vanligtabell"/>
    <w:uiPriority w:val="51"/>
    <w:rsid w:val="00893D2C"/>
    <w:pPr>
      <w:spacing w:after="0" w:line="240" w:lineRule="auto"/>
    </w:pPr>
    <w:rPr>
      <w:color w:val="2E6A71" w:themeColor="accent3" w:themeShade="BF"/>
    </w:r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bottom w:val="single" w:sz="12" w:space="0" w:color="80C3CB" w:themeColor="accent3" w:themeTint="99"/>
        </w:tcBorders>
      </w:tcPr>
    </w:tblStylePr>
    <w:tblStylePr w:type="lastRow">
      <w:rPr>
        <w:b/>
        <w:bCs/>
      </w:rPr>
      <w:tblPr/>
      <w:tcPr>
        <w:tcBorders>
          <w:top w:val="double" w:sz="4" w:space="0" w:color="80C3CB" w:themeColor="accent3" w:themeTint="99"/>
        </w:tcBorders>
      </w:tcPr>
    </w:tblStylePr>
    <w:tblStylePr w:type="firstCol">
      <w:rPr>
        <w:b/>
        <w:bCs/>
      </w:rPr>
    </w:tblStylePr>
    <w:tblStylePr w:type="lastCol">
      <w:rPr>
        <w:b/>
        <w:bCs/>
      </w:rPr>
    </w:tblStylePr>
    <w:tblStylePr w:type="band1Vert">
      <w:tblPr/>
      <w:tcPr>
        <w:shd w:val="clear" w:color="auto" w:fill="D4EBED" w:themeFill="accent3" w:themeFillTint="33"/>
      </w:tcPr>
    </w:tblStylePr>
    <w:tblStylePr w:type="band1Horz">
      <w:tblPr/>
      <w:tcPr>
        <w:shd w:val="clear" w:color="auto" w:fill="D4EBED" w:themeFill="accent3" w:themeFillTint="33"/>
      </w:tcPr>
    </w:tblStylePr>
  </w:style>
  <w:style w:type="table" w:styleId="Rutenettabell6fargerikuthevingsfarge4">
    <w:name w:val="Grid Table 6 Colorful Accent 4"/>
    <w:basedOn w:val="Vanligtabell"/>
    <w:uiPriority w:val="51"/>
    <w:rsid w:val="00893D2C"/>
    <w:pPr>
      <w:spacing w:after="0" w:line="240" w:lineRule="auto"/>
    </w:pPr>
    <w:rPr>
      <w:color w:val="1C1C16" w:themeColor="accent4" w:themeShade="BF"/>
    </w:r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bottom w:val="single" w:sz="12" w:space="0" w:color="88886C" w:themeColor="accent4" w:themeTint="99"/>
        </w:tcBorders>
      </w:tcPr>
    </w:tblStylePr>
    <w:tblStylePr w:type="lastRow">
      <w:rPr>
        <w:b/>
        <w:bCs/>
      </w:rPr>
      <w:tblPr/>
      <w:tcPr>
        <w:tcBorders>
          <w:top w:val="double" w:sz="4" w:space="0" w:color="88886C" w:themeColor="accent4" w:themeTint="99"/>
        </w:tcBorders>
      </w:tcPr>
    </w:tblStylePr>
    <w:tblStylePr w:type="firstCol">
      <w:rPr>
        <w:b/>
        <w:bCs/>
      </w:rPr>
    </w:tblStylePr>
    <w:tblStylePr w:type="lastCol">
      <w:rPr>
        <w:b/>
        <w:bCs/>
      </w:rPr>
    </w:tblStylePr>
    <w:tblStylePr w:type="band1Vert">
      <w:tblPr/>
      <w:tcPr>
        <w:shd w:val="clear" w:color="auto" w:fill="D8D8CD" w:themeFill="accent4" w:themeFillTint="33"/>
      </w:tcPr>
    </w:tblStylePr>
    <w:tblStylePr w:type="band1Horz">
      <w:tblPr/>
      <w:tcPr>
        <w:shd w:val="clear" w:color="auto" w:fill="D8D8CD" w:themeFill="accent4" w:themeFillTint="33"/>
      </w:tcPr>
    </w:tblStylePr>
  </w:style>
  <w:style w:type="table" w:styleId="Rutenettabell6fargerikuthevingsfarge5">
    <w:name w:val="Grid Table 6 Colorful Accent 5"/>
    <w:basedOn w:val="Vanligtabell"/>
    <w:uiPriority w:val="51"/>
    <w:rsid w:val="00893D2C"/>
    <w:pPr>
      <w:spacing w:after="0" w:line="240" w:lineRule="auto"/>
    </w:pPr>
    <w:rPr>
      <w:color w:val="F2AD70" w:themeColor="accent5" w:themeShade="BF"/>
    </w:r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bottom w:val="single" w:sz="12" w:space="0" w:color="FDF3EB" w:themeColor="accent5" w:themeTint="99"/>
        </w:tcBorders>
      </w:tcPr>
    </w:tblStylePr>
    <w:tblStylePr w:type="lastRow">
      <w:rPr>
        <w:b/>
        <w:bCs/>
      </w:rPr>
      <w:tblPr/>
      <w:tcPr>
        <w:tcBorders>
          <w:top w:val="double" w:sz="4" w:space="0" w:color="FDF3EB" w:themeColor="accent5" w:themeTint="99"/>
        </w:tcBorders>
      </w:tcPr>
    </w:tblStylePr>
    <w:tblStylePr w:type="firstCol">
      <w:rPr>
        <w:b/>
        <w:bCs/>
      </w:rPr>
    </w:tblStylePr>
    <w:tblStylePr w:type="lastCol">
      <w:rPr>
        <w:b/>
        <w:bCs/>
      </w:rPr>
    </w:tblStylePr>
    <w:tblStylePr w:type="band1Vert">
      <w:tblPr/>
      <w:tcPr>
        <w:shd w:val="clear" w:color="auto" w:fill="FEFBF8" w:themeFill="accent5" w:themeFillTint="33"/>
      </w:tcPr>
    </w:tblStylePr>
    <w:tblStylePr w:type="band1Horz">
      <w:tblPr/>
      <w:tcPr>
        <w:shd w:val="clear" w:color="auto" w:fill="FEFBF8" w:themeFill="accent5" w:themeFillTint="33"/>
      </w:tcPr>
    </w:tblStylePr>
  </w:style>
  <w:style w:type="table" w:styleId="Rutenettabell6fargerikuthevingsfarge6">
    <w:name w:val="Grid Table 6 Colorful Accent 6"/>
    <w:basedOn w:val="Vanligtabell"/>
    <w:uiPriority w:val="51"/>
    <w:rsid w:val="00893D2C"/>
    <w:pPr>
      <w:spacing w:after="0" w:line="240" w:lineRule="auto"/>
    </w:pPr>
    <w:rPr>
      <w:color w:val="A2CDCD" w:themeColor="accent6" w:themeShade="BF"/>
    </w:r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bottom w:val="single" w:sz="12" w:space="0" w:color="F7FAFA" w:themeColor="accent6" w:themeTint="99"/>
        </w:tcBorders>
      </w:tcPr>
    </w:tblStylePr>
    <w:tblStylePr w:type="lastRow">
      <w:rPr>
        <w:b/>
        <w:bCs/>
      </w:rPr>
      <w:tblPr/>
      <w:tcPr>
        <w:tcBorders>
          <w:top w:val="double" w:sz="4" w:space="0" w:color="F7FAFA" w:themeColor="accent6" w:themeTint="99"/>
        </w:tcBorders>
      </w:tcPr>
    </w:tblStylePr>
    <w:tblStylePr w:type="firstCol">
      <w:rPr>
        <w:b/>
        <w:bCs/>
      </w:rPr>
    </w:tblStylePr>
    <w:tblStylePr w:type="lastCol">
      <w:rPr>
        <w:b/>
        <w:bCs/>
      </w:rPr>
    </w:tblStylePr>
    <w:tblStylePr w:type="band1Vert">
      <w:tblPr/>
      <w:tcPr>
        <w:shd w:val="clear" w:color="auto" w:fill="FCFDFD" w:themeFill="accent6" w:themeFillTint="33"/>
      </w:tcPr>
    </w:tblStylePr>
    <w:tblStylePr w:type="band1Horz">
      <w:tblPr/>
      <w:tcPr>
        <w:shd w:val="clear" w:color="auto" w:fill="FCFDFD" w:themeFill="accent6" w:themeFillTint="33"/>
      </w:tcPr>
    </w:tblStylePr>
  </w:style>
  <w:style w:type="table" w:styleId="Rutenettabell7fargerik">
    <w:name w:val="Grid Table 7 Colorful"/>
    <w:basedOn w:val="Vanligtabell"/>
    <w:uiPriority w:val="52"/>
    <w:rsid w:val="00893D2C"/>
    <w:pPr>
      <w:spacing w:after="0" w:line="240" w:lineRule="auto"/>
    </w:pPr>
    <w:rPr>
      <w:color w:val="26261E" w:themeColor="text1"/>
    </w:rPr>
    <w:tblPr>
      <w:tblStyleRowBandSize w:val="1"/>
      <w:tblStyleColBandSize w:val="1"/>
      <w:tblBorders>
        <w:top w:val="single" w:sz="4" w:space="0" w:color="88886C" w:themeColor="text1" w:themeTint="99"/>
        <w:left w:val="single" w:sz="4" w:space="0" w:color="88886C" w:themeColor="text1" w:themeTint="99"/>
        <w:bottom w:val="single" w:sz="4" w:space="0" w:color="88886C" w:themeColor="text1" w:themeTint="99"/>
        <w:right w:val="single" w:sz="4" w:space="0" w:color="88886C" w:themeColor="text1" w:themeTint="99"/>
        <w:insideH w:val="single" w:sz="4" w:space="0" w:color="88886C" w:themeColor="text1" w:themeTint="99"/>
        <w:insideV w:val="single" w:sz="4" w:space="0" w:color="88886C"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text1" w:themeFillTint="33"/>
      </w:tcPr>
    </w:tblStylePr>
    <w:tblStylePr w:type="band1Horz">
      <w:tblPr/>
      <w:tcPr>
        <w:shd w:val="clear" w:color="auto" w:fill="D8D8CD" w:themeFill="text1" w:themeFillTint="33"/>
      </w:tcPr>
    </w:tblStylePr>
    <w:tblStylePr w:type="neCell">
      <w:tblPr/>
      <w:tcPr>
        <w:tcBorders>
          <w:bottom w:val="single" w:sz="4" w:space="0" w:color="88886C" w:themeColor="text1" w:themeTint="99"/>
        </w:tcBorders>
      </w:tcPr>
    </w:tblStylePr>
    <w:tblStylePr w:type="nwCell">
      <w:tblPr/>
      <w:tcPr>
        <w:tcBorders>
          <w:bottom w:val="single" w:sz="4" w:space="0" w:color="88886C" w:themeColor="text1" w:themeTint="99"/>
        </w:tcBorders>
      </w:tcPr>
    </w:tblStylePr>
    <w:tblStylePr w:type="seCell">
      <w:tblPr/>
      <w:tcPr>
        <w:tcBorders>
          <w:top w:val="single" w:sz="4" w:space="0" w:color="88886C" w:themeColor="text1" w:themeTint="99"/>
        </w:tcBorders>
      </w:tcPr>
    </w:tblStylePr>
    <w:tblStylePr w:type="swCell">
      <w:tblPr/>
      <w:tcPr>
        <w:tcBorders>
          <w:top w:val="single" w:sz="4" w:space="0" w:color="88886C" w:themeColor="text1" w:themeTint="99"/>
        </w:tcBorders>
      </w:tcPr>
    </w:tblStylePr>
  </w:style>
  <w:style w:type="table" w:styleId="Rutenettabell7fargerikuthevingsfarge1">
    <w:name w:val="Grid Table 7 Colorful Accent 1"/>
    <w:basedOn w:val="Vanligtabell"/>
    <w:uiPriority w:val="52"/>
    <w:rsid w:val="00893D2C"/>
    <w:pPr>
      <w:spacing w:after="0" w:line="240" w:lineRule="auto"/>
    </w:pPr>
    <w:rPr>
      <w:color w:val="1C1C61" w:themeColor="accent1" w:themeShade="BF"/>
    </w:rPr>
    <w:tblPr>
      <w:tblStyleRowBandSize w:val="1"/>
      <w:tblStyleColBandSize w:val="1"/>
      <w:tblBorders>
        <w:top w:val="single" w:sz="4" w:space="0" w:color="6060D0" w:themeColor="accent1" w:themeTint="99"/>
        <w:left w:val="single" w:sz="4" w:space="0" w:color="6060D0" w:themeColor="accent1" w:themeTint="99"/>
        <w:bottom w:val="single" w:sz="4" w:space="0" w:color="6060D0" w:themeColor="accent1" w:themeTint="99"/>
        <w:right w:val="single" w:sz="4" w:space="0" w:color="6060D0" w:themeColor="accent1" w:themeTint="99"/>
        <w:insideH w:val="single" w:sz="4" w:space="0" w:color="6060D0" w:themeColor="accent1" w:themeTint="99"/>
        <w:insideV w:val="single" w:sz="4" w:space="0" w:color="6060D0"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9C9EF" w:themeFill="accent1" w:themeFillTint="33"/>
      </w:tcPr>
    </w:tblStylePr>
    <w:tblStylePr w:type="band1Horz">
      <w:tblPr/>
      <w:tcPr>
        <w:shd w:val="clear" w:color="auto" w:fill="C9C9EF" w:themeFill="accent1" w:themeFillTint="33"/>
      </w:tcPr>
    </w:tblStylePr>
    <w:tblStylePr w:type="neCell">
      <w:tblPr/>
      <w:tcPr>
        <w:tcBorders>
          <w:bottom w:val="single" w:sz="4" w:space="0" w:color="6060D0" w:themeColor="accent1" w:themeTint="99"/>
        </w:tcBorders>
      </w:tcPr>
    </w:tblStylePr>
    <w:tblStylePr w:type="nwCell">
      <w:tblPr/>
      <w:tcPr>
        <w:tcBorders>
          <w:bottom w:val="single" w:sz="4" w:space="0" w:color="6060D0" w:themeColor="accent1" w:themeTint="99"/>
        </w:tcBorders>
      </w:tcPr>
    </w:tblStylePr>
    <w:tblStylePr w:type="seCell">
      <w:tblPr/>
      <w:tcPr>
        <w:tcBorders>
          <w:top w:val="single" w:sz="4" w:space="0" w:color="6060D0" w:themeColor="accent1" w:themeTint="99"/>
        </w:tcBorders>
      </w:tcPr>
    </w:tblStylePr>
    <w:tblStylePr w:type="swCell">
      <w:tblPr/>
      <w:tcPr>
        <w:tcBorders>
          <w:top w:val="single" w:sz="4" w:space="0" w:color="6060D0" w:themeColor="accent1" w:themeTint="99"/>
        </w:tcBorders>
      </w:tcPr>
    </w:tblStylePr>
  </w:style>
  <w:style w:type="table" w:styleId="Rutenettabell7fargerikuthevingsfarge2">
    <w:name w:val="Grid Table 7 Colorful Accent 2"/>
    <w:basedOn w:val="Vanligtabell"/>
    <w:uiPriority w:val="52"/>
    <w:rsid w:val="00893D2C"/>
    <w:pPr>
      <w:spacing w:after="0" w:line="240" w:lineRule="auto"/>
    </w:pPr>
    <w:rPr>
      <w:color w:val="FF8111" w:themeColor="accent2" w:themeShade="BF"/>
    </w:rPr>
    <w:tblPr>
      <w:tblStyleRowBandSize w:val="1"/>
      <w:tblStyleColBandSize w:val="1"/>
      <w:tblBorders>
        <w:top w:val="single" w:sz="4" w:space="0" w:color="FFD0A7" w:themeColor="accent2" w:themeTint="99"/>
        <w:left w:val="single" w:sz="4" w:space="0" w:color="FFD0A7" w:themeColor="accent2" w:themeTint="99"/>
        <w:bottom w:val="single" w:sz="4" w:space="0" w:color="FFD0A7" w:themeColor="accent2" w:themeTint="99"/>
        <w:right w:val="single" w:sz="4" w:space="0" w:color="FFD0A7" w:themeColor="accent2" w:themeTint="99"/>
        <w:insideH w:val="single" w:sz="4" w:space="0" w:color="FFD0A7" w:themeColor="accent2" w:themeTint="99"/>
        <w:insideV w:val="single" w:sz="4" w:space="0" w:color="FFD0A7"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E1" w:themeFill="accent2" w:themeFillTint="33"/>
      </w:tcPr>
    </w:tblStylePr>
    <w:tblStylePr w:type="band1Horz">
      <w:tblPr/>
      <w:tcPr>
        <w:shd w:val="clear" w:color="auto" w:fill="FFEFE1" w:themeFill="accent2" w:themeFillTint="33"/>
      </w:tcPr>
    </w:tblStylePr>
    <w:tblStylePr w:type="neCell">
      <w:tblPr/>
      <w:tcPr>
        <w:tcBorders>
          <w:bottom w:val="single" w:sz="4" w:space="0" w:color="FFD0A7" w:themeColor="accent2" w:themeTint="99"/>
        </w:tcBorders>
      </w:tcPr>
    </w:tblStylePr>
    <w:tblStylePr w:type="nwCell">
      <w:tblPr/>
      <w:tcPr>
        <w:tcBorders>
          <w:bottom w:val="single" w:sz="4" w:space="0" w:color="FFD0A7" w:themeColor="accent2" w:themeTint="99"/>
        </w:tcBorders>
      </w:tcPr>
    </w:tblStylePr>
    <w:tblStylePr w:type="seCell">
      <w:tblPr/>
      <w:tcPr>
        <w:tcBorders>
          <w:top w:val="single" w:sz="4" w:space="0" w:color="FFD0A7" w:themeColor="accent2" w:themeTint="99"/>
        </w:tcBorders>
      </w:tcPr>
    </w:tblStylePr>
    <w:tblStylePr w:type="swCell">
      <w:tblPr/>
      <w:tcPr>
        <w:tcBorders>
          <w:top w:val="single" w:sz="4" w:space="0" w:color="FFD0A7" w:themeColor="accent2" w:themeTint="99"/>
        </w:tcBorders>
      </w:tcPr>
    </w:tblStylePr>
  </w:style>
  <w:style w:type="table" w:styleId="Rutenettabell7fargerikuthevingsfarge3">
    <w:name w:val="Grid Table 7 Colorful Accent 3"/>
    <w:basedOn w:val="Vanligtabell"/>
    <w:uiPriority w:val="52"/>
    <w:rsid w:val="00893D2C"/>
    <w:pPr>
      <w:spacing w:after="0" w:line="240" w:lineRule="auto"/>
    </w:pPr>
    <w:rPr>
      <w:color w:val="2E6A71" w:themeColor="accent3" w:themeShade="BF"/>
    </w:rPr>
    <w:tblPr>
      <w:tblStyleRowBandSize w:val="1"/>
      <w:tblStyleColBandSize w:val="1"/>
      <w:tblBorders>
        <w:top w:val="single" w:sz="4" w:space="0" w:color="80C3CB" w:themeColor="accent3" w:themeTint="99"/>
        <w:left w:val="single" w:sz="4" w:space="0" w:color="80C3CB" w:themeColor="accent3" w:themeTint="99"/>
        <w:bottom w:val="single" w:sz="4" w:space="0" w:color="80C3CB" w:themeColor="accent3" w:themeTint="99"/>
        <w:right w:val="single" w:sz="4" w:space="0" w:color="80C3CB" w:themeColor="accent3" w:themeTint="99"/>
        <w:insideH w:val="single" w:sz="4" w:space="0" w:color="80C3CB" w:themeColor="accent3" w:themeTint="99"/>
        <w:insideV w:val="single" w:sz="4" w:space="0" w:color="80C3C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EBED" w:themeFill="accent3" w:themeFillTint="33"/>
      </w:tcPr>
    </w:tblStylePr>
    <w:tblStylePr w:type="band1Horz">
      <w:tblPr/>
      <w:tcPr>
        <w:shd w:val="clear" w:color="auto" w:fill="D4EBED" w:themeFill="accent3" w:themeFillTint="33"/>
      </w:tcPr>
    </w:tblStylePr>
    <w:tblStylePr w:type="neCell">
      <w:tblPr/>
      <w:tcPr>
        <w:tcBorders>
          <w:bottom w:val="single" w:sz="4" w:space="0" w:color="80C3CB" w:themeColor="accent3" w:themeTint="99"/>
        </w:tcBorders>
      </w:tcPr>
    </w:tblStylePr>
    <w:tblStylePr w:type="nwCell">
      <w:tblPr/>
      <w:tcPr>
        <w:tcBorders>
          <w:bottom w:val="single" w:sz="4" w:space="0" w:color="80C3CB" w:themeColor="accent3" w:themeTint="99"/>
        </w:tcBorders>
      </w:tcPr>
    </w:tblStylePr>
    <w:tblStylePr w:type="seCell">
      <w:tblPr/>
      <w:tcPr>
        <w:tcBorders>
          <w:top w:val="single" w:sz="4" w:space="0" w:color="80C3CB" w:themeColor="accent3" w:themeTint="99"/>
        </w:tcBorders>
      </w:tcPr>
    </w:tblStylePr>
    <w:tblStylePr w:type="swCell">
      <w:tblPr/>
      <w:tcPr>
        <w:tcBorders>
          <w:top w:val="single" w:sz="4" w:space="0" w:color="80C3CB" w:themeColor="accent3" w:themeTint="99"/>
        </w:tcBorders>
      </w:tcPr>
    </w:tblStylePr>
  </w:style>
  <w:style w:type="table" w:styleId="Rutenettabell7fargerikuthevingsfarge4">
    <w:name w:val="Grid Table 7 Colorful Accent 4"/>
    <w:basedOn w:val="Vanligtabell"/>
    <w:uiPriority w:val="52"/>
    <w:rsid w:val="00893D2C"/>
    <w:pPr>
      <w:spacing w:after="0" w:line="240" w:lineRule="auto"/>
    </w:pPr>
    <w:rPr>
      <w:color w:val="1C1C16" w:themeColor="accent4" w:themeShade="BF"/>
    </w:rPr>
    <w:tblPr>
      <w:tblStyleRowBandSize w:val="1"/>
      <w:tblStyleColBandSize w:val="1"/>
      <w:tblBorders>
        <w:top w:val="single" w:sz="4" w:space="0" w:color="88886C" w:themeColor="accent4" w:themeTint="99"/>
        <w:left w:val="single" w:sz="4" w:space="0" w:color="88886C" w:themeColor="accent4" w:themeTint="99"/>
        <w:bottom w:val="single" w:sz="4" w:space="0" w:color="88886C" w:themeColor="accent4" w:themeTint="99"/>
        <w:right w:val="single" w:sz="4" w:space="0" w:color="88886C" w:themeColor="accent4" w:themeTint="99"/>
        <w:insideH w:val="single" w:sz="4" w:space="0" w:color="88886C" w:themeColor="accent4" w:themeTint="99"/>
        <w:insideV w:val="single" w:sz="4" w:space="0" w:color="88886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8D8CD" w:themeFill="accent4" w:themeFillTint="33"/>
      </w:tcPr>
    </w:tblStylePr>
    <w:tblStylePr w:type="band1Horz">
      <w:tblPr/>
      <w:tcPr>
        <w:shd w:val="clear" w:color="auto" w:fill="D8D8CD" w:themeFill="accent4" w:themeFillTint="33"/>
      </w:tcPr>
    </w:tblStylePr>
    <w:tblStylePr w:type="neCell">
      <w:tblPr/>
      <w:tcPr>
        <w:tcBorders>
          <w:bottom w:val="single" w:sz="4" w:space="0" w:color="88886C" w:themeColor="accent4" w:themeTint="99"/>
        </w:tcBorders>
      </w:tcPr>
    </w:tblStylePr>
    <w:tblStylePr w:type="nwCell">
      <w:tblPr/>
      <w:tcPr>
        <w:tcBorders>
          <w:bottom w:val="single" w:sz="4" w:space="0" w:color="88886C" w:themeColor="accent4" w:themeTint="99"/>
        </w:tcBorders>
      </w:tcPr>
    </w:tblStylePr>
    <w:tblStylePr w:type="seCell">
      <w:tblPr/>
      <w:tcPr>
        <w:tcBorders>
          <w:top w:val="single" w:sz="4" w:space="0" w:color="88886C" w:themeColor="accent4" w:themeTint="99"/>
        </w:tcBorders>
      </w:tcPr>
    </w:tblStylePr>
    <w:tblStylePr w:type="swCell">
      <w:tblPr/>
      <w:tcPr>
        <w:tcBorders>
          <w:top w:val="single" w:sz="4" w:space="0" w:color="88886C" w:themeColor="accent4" w:themeTint="99"/>
        </w:tcBorders>
      </w:tcPr>
    </w:tblStylePr>
  </w:style>
  <w:style w:type="table" w:styleId="Rutenettabell7fargerikuthevingsfarge5">
    <w:name w:val="Grid Table 7 Colorful Accent 5"/>
    <w:basedOn w:val="Vanligtabell"/>
    <w:uiPriority w:val="52"/>
    <w:rsid w:val="00893D2C"/>
    <w:pPr>
      <w:spacing w:after="0" w:line="240" w:lineRule="auto"/>
    </w:pPr>
    <w:rPr>
      <w:color w:val="F2AD70" w:themeColor="accent5" w:themeShade="BF"/>
    </w:rPr>
    <w:tblPr>
      <w:tblStyleRowBandSize w:val="1"/>
      <w:tblStyleColBandSize w:val="1"/>
      <w:tblBorders>
        <w:top w:val="single" w:sz="4" w:space="0" w:color="FDF3EB" w:themeColor="accent5" w:themeTint="99"/>
        <w:left w:val="single" w:sz="4" w:space="0" w:color="FDF3EB" w:themeColor="accent5" w:themeTint="99"/>
        <w:bottom w:val="single" w:sz="4" w:space="0" w:color="FDF3EB" w:themeColor="accent5" w:themeTint="99"/>
        <w:right w:val="single" w:sz="4" w:space="0" w:color="FDF3EB" w:themeColor="accent5" w:themeTint="99"/>
        <w:insideH w:val="single" w:sz="4" w:space="0" w:color="FDF3EB" w:themeColor="accent5" w:themeTint="99"/>
        <w:insideV w:val="single" w:sz="4" w:space="0" w:color="FDF3E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FBF8" w:themeFill="accent5" w:themeFillTint="33"/>
      </w:tcPr>
    </w:tblStylePr>
    <w:tblStylePr w:type="band1Horz">
      <w:tblPr/>
      <w:tcPr>
        <w:shd w:val="clear" w:color="auto" w:fill="FEFBF8" w:themeFill="accent5" w:themeFillTint="33"/>
      </w:tcPr>
    </w:tblStylePr>
    <w:tblStylePr w:type="neCell">
      <w:tblPr/>
      <w:tcPr>
        <w:tcBorders>
          <w:bottom w:val="single" w:sz="4" w:space="0" w:color="FDF3EB" w:themeColor="accent5" w:themeTint="99"/>
        </w:tcBorders>
      </w:tcPr>
    </w:tblStylePr>
    <w:tblStylePr w:type="nwCell">
      <w:tblPr/>
      <w:tcPr>
        <w:tcBorders>
          <w:bottom w:val="single" w:sz="4" w:space="0" w:color="FDF3EB" w:themeColor="accent5" w:themeTint="99"/>
        </w:tcBorders>
      </w:tcPr>
    </w:tblStylePr>
    <w:tblStylePr w:type="seCell">
      <w:tblPr/>
      <w:tcPr>
        <w:tcBorders>
          <w:top w:val="single" w:sz="4" w:space="0" w:color="FDF3EB" w:themeColor="accent5" w:themeTint="99"/>
        </w:tcBorders>
      </w:tcPr>
    </w:tblStylePr>
    <w:tblStylePr w:type="swCell">
      <w:tblPr/>
      <w:tcPr>
        <w:tcBorders>
          <w:top w:val="single" w:sz="4" w:space="0" w:color="FDF3EB" w:themeColor="accent5" w:themeTint="99"/>
        </w:tcBorders>
      </w:tcPr>
    </w:tblStylePr>
  </w:style>
  <w:style w:type="table" w:styleId="Rutenettabell7fargerikuthevingsfarge6">
    <w:name w:val="Grid Table 7 Colorful Accent 6"/>
    <w:basedOn w:val="Vanligtabell"/>
    <w:uiPriority w:val="52"/>
    <w:rsid w:val="00893D2C"/>
    <w:pPr>
      <w:spacing w:after="0" w:line="240" w:lineRule="auto"/>
    </w:pPr>
    <w:rPr>
      <w:color w:val="A2CDCD" w:themeColor="accent6" w:themeShade="BF"/>
    </w:rPr>
    <w:tblPr>
      <w:tblStyleRowBandSize w:val="1"/>
      <w:tblStyleColBandSize w:val="1"/>
      <w:tblBorders>
        <w:top w:val="single" w:sz="4" w:space="0" w:color="F7FAFA" w:themeColor="accent6" w:themeTint="99"/>
        <w:left w:val="single" w:sz="4" w:space="0" w:color="F7FAFA" w:themeColor="accent6" w:themeTint="99"/>
        <w:bottom w:val="single" w:sz="4" w:space="0" w:color="F7FAFA" w:themeColor="accent6" w:themeTint="99"/>
        <w:right w:val="single" w:sz="4" w:space="0" w:color="F7FAFA" w:themeColor="accent6" w:themeTint="99"/>
        <w:insideH w:val="single" w:sz="4" w:space="0" w:color="F7FAFA" w:themeColor="accent6" w:themeTint="99"/>
        <w:insideV w:val="single" w:sz="4" w:space="0" w:color="F7FAFA"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FDFD" w:themeFill="accent6" w:themeFillTint="33"/>
      </w:tcPr>
    </w:tblStylePr>
    <w:tblStylePr w:type="band1Horz">
      <w:tblPr/>
      <w:tcPr>
        <w:shd w:val="clear" w:color="auto" w:fill="FCFDFD" w:themeFill="accent6" w:themeFillTint="33"/>
      </w:tcPr>
    </w:tblStylePr>
    <w:tblStylePr w:type="neCell">
      <w:tblPr/>
      <w:tcPr>
        <w:tcBorders>
          <w:bottom w:val="single" w:sz="4" w:space="0" w:color="F7FAFA" w:themeColor="accent6" w:themeTint="99"/>
        </w:tcBorders>
      </w:tcPr>
    </w:tblStylePr>
    <w:tblStylePr w:type="nwCell">
      <w:tblPr/>
      <w:tcPr>
        <w:tcBorders>
          <w:bottom w:val="single" w:sz="4" w:space="0" w:color="F7FAFA" w:themeColor="accent6" w:themeTint="99"/>
        </w:tcBorders>
      </w:tcPr>
    </w:tblStylePr>
    <w:tblStylePr w:type="seCell">
      <w:tblPr/>
      <w:tcPr>
        <w:tcBorders>
          <w:top w:val="single" w:sz="4" w:space="0" w:color="F7FAFA" w:themeColor="accent6" w:themeTint="99"/>
        </w:tcBorders>
      </w:tcPr>
    </w:tblStylePr>
    <w:tblStylePr w:type="swCell">
      <w:tblPr/>
      <w:tcPr>
        <w:tcBorders>
          <w:top w:val="single" w:sz="4" w:space="0" w:color="F7FAFA" w:themeColor="accent6" w:themeTint="99"/>
        </w:tcBorders>
      </w:tcPr>
    </w:tblStylePr>
  </w:style>
  <w:style w:type="table" w:styleId="Rutenettabelllys">
    <w:name w:val="Grid Table Light"/>
    <w:basedOn w:val="Vanligtabell"/>
    <w:uiPriority w:val="40"/>
    <w:rsid w:val="00893D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idetall">
    <w:name w:val="page number"/>
    <w:basedOn w:val="Standardskriftforavsnitt"/>
    <w:uiPriority w:val="99"/>
    <w:semiHidden/>
    <w:unhideWhenUsed/>
    <w:rsid w:val="00893D2C"/>
  </w:style>
  <w:style w:type="paragraph" w:styleId="Sitat">
    <w:name w:val="Quote"/>
    <w:basedOn w:val="Normal"/>
    <w:next w:val="Normal"/>
    <w:link w:val="SitatTegn"/>
    <w:uiPriority w:val="29"/>
    <w:semiHidden/>
    <w:qFormat/>
    <w:rsid w:val="00893D2C"/>
    <w:pPr>
      <w:spacing w:before="200"/>
      <w:ind w:left="864" w:right="864"/>
      <w:jc w:val="center"/>
    </w:pPr>
    <w:rPr>
      <w:i/>
      <w:iCs/>
      <w:color w:val="63634E" w:themeColor="text1" w:themeTint="BF"/>
    </w:rPr>
  </w:style>
  <w:style w:type="character" w:customStyle="1" w:styleId="SitatTegn">
    <w:name w:val="Sitat Tegn"/>
    <w:basedOn w:val="Standardskriftforavsnitt"/>
    <w:link w:val="Sitat"/>
    <w:uiPriority w:val="29"/>
    <w:semiHidden/>
    <w:rsid w:val="00D5282D"/>
    <w:rPr>
      <w:i/>
      <w:iCs/>
      <w:color w:val="63634E" w:themeColor="text1" w:themeTint="BF"/>
    </w:rPr>
  </w:style>
  <w:style w:type="character" w:styleId="Sluttnotereferanse">
    <w:name w:val="endnote reference"/>
    <w:basedOn w:val="Standardskriftforavsnitt"/>
    <w:uiPriority w:val="99"/>
    <w:semiHidden/>
    <w:unhideWhenUsed/>
    <w:rsid w:val="00893D2C"/>
    <w:rPr>
      <w:vertAlign w:val="superscript"/>
    </w:rPr>
  </w:style>
  <w:style w:type="paragraph" w:styleId="Sluttnotetekst">
    <w:name w:val="endnote text"/>
    <w:basedOn w:val="Normal"/>
    <w:link w:val="SluttnotetekstTegn"/>
    <w:uiPriority w:val="99"/>
    <w:semiHidden/>
    <w:unhideWhenUsed/>
    <w:rsid w:val="00893D2C"/>
    <w:pPr>
      <w:spacing w:after="0" w:line="240" w:lineRule="auto"/>
    </w:pPr>
    <w:rPr>
      <w:sz w:val="20"/>
      <w:szCs w:val="20"/>
    </w:rPr>
  </w:style>
  <w:style w:type="character" w:customStyle="1" w:styleId="SluttnotetekstTegn">
    <w:name w:val="Sluttnotetekst Tegn"/>
    <w:basedOn w:val="Standardskriftforavsnitt"/>
    <w:link w:val="Sluttnotetekst"/>
    <w:uiPriority w:val="99"/>
    <w:semiHidden/>
    <w:rsid w:val="00893D2C"/>
    <w:rPr>
      <w:sz w:val="20"/>
      <w:szCs w:val="20"/>
    </w:rPr>
  </w:style>
  <w:style w:type="character" w:styleId="Smarthyperkobling">
    <w:name w:val="Smart Hyperlink"/>
    <w:basedOn w:val="Standardskriftforavsnitt"/>
    <w:uiPriority w:val="99"/>
    <w:semiHidden/>
    <w:unhideWhenUsed/>
    <w:rsid w:val="00893D2C"/>
    <w:rPr>
      <w:u w:val="dotted"/>
    </w:rPr>
  </w:style>
  <w:style w:type="character" w:styleId="Sterk">
    <w:name w:val="Strong"/>
    <w:basedOn w:val="Standardskriftforavsnitt"/>
    <w:uiPriority w:val="22"/>
    <w:semiHidden/>
    <w:qFormat/>
    <w:rsid w:val="00893D2C"/>
    <w:rPr>
      <w:b/>
      <w:bCs/>
    </w:rPr>
  </w:style>
  <w:style w:type="character" w:styleId="Sterkreferanse">
    <w:name w:val="Intense Reference"/>
    <w:basedOn w:val="Standardskriftforavsnitt"/>
    <w:uiPriority w:val="32"/>
    <w:semiHidden/>
    <w:qFormat/>
    <w:rsid w:val="00893D2C"/>
    <w:rPr>
      <w:b/>
      <w:bCs/>
      <w:smallCaps/>
      <w:color w:val="262682" w:themeColor="accent1"/>
      <w:spacing w:val="5"/>
    </w:rPr>
  </w:style>
  <w:style w:type="character" w:styleId="Sterkutheving">
    <w:name w:val="Intense Emphasis"/>
    <w:basedOn w:val="Standardskriftforavsnitt"/>
    <w:uiPriority w:val="21"/>
    <w:qFormat/>
    <w:rsid w:val="00341F53"/>
    <w:rPr>
      <w:b/>
      <w:i w:val="0"/>
      <w:iCs/>
      <w:color w:val="262682" w:themeColor="accent1"/>
    </w:rPr>
  </w:style>
  <w:style w:type="paragraph" w:styleId="Sterktsitat">
    <w:name w:val="Intense Quote"/>
    <w:basedOn w:val="Normal"/>
    <w:next w:val="Normal"/>
    <w:link w:val="SterktsitatTegn"/>
    <w:uiPriority w:val="30"/>
    <w:semiHidden/>
    <w:qFormat/>
    <w:rsid w:val="00893D2C"/>
    <w:pPr>
      <w:pBdr>
        <w:top w:val="single" w:sz="4" w:space="10" w:color="262682" w:themeColor="accent1"/>
        <w:bottom w:val="single" w:sz="4" w:space="10" w:color="262682" w:themeColor="accent1"/>
      </w:pBdr>
      <w:spacing w:before="360" w:after="360"/>
      <w:ind w:left="864" w:right="864"/>
      <w:jc w:val="center"/>
    </w:pPr>
    <w:rPr>
      <w:i/>
      <w:iCs/>
      <w:color w:val="262682" w:themeColor="accent1"/>
    </w:rPr>
  </w:style>
  <w:style w:type="character" w:customStyle="1" w:styleId="SterktsitatTegn">
    <w:name w:val="Sterkt sitat Tegn"/>
    <w:basedOn w:val="Standardskriftforavsnitt"/>
    <w:link w:val="Sterktsitat"/>
    <w:uiPriority w:val="30"/>
    <w:semiHidden/>
    <w:rsid w:val="00D5282D"/>
    <w:rPr>
      <w:i/>
      <w:iCs/>
      <w:color w:val="262682" w:themeColor="accent1"/>
    </w:rPr>
  </w:style>
  <w:style w:type="paragraph" w:styleId="Stikkordregisteroverskrift">
    <w:name w:val="index heading"/>
    <w:basedOn w:val="Normal"/>
    <w:next w:val="Indeks1"/>
    <w:uiPriority w:val="99"/>
    <w:semiHidden/>
    <w:unhideWhenUsed/>
    <w:rsid w:val="00893D2C"/>
    <w:rPr>
      <w:rFonts w:asciiTheme="majorHAnsi" w:eastAsiaTheme="majorEastAsia" w:hAnsiTheme="majorHAnsi" w:cstheme="majorBidi"/>
      <w:b/>
      <w:bCs/>
    </w:rPr>
  </w:style>
  <w:style w:type="character" w:styleId="Svakreferanse">
    <w:name w:val="Subtle Reference"/>
    <w:basedOn w:val="Standardskriftforavsnitt"/>
    <w:uiPriority w:val="31"/>
    <w:semiHidden/>
    <w:qFormat/>
    <w:rsid w:val="00893D2C"/>
    <w:rPr>
      <w:smallCaps/>
      <w:color w:val="7D7D62" w:themeColor="text1" w:themeTint="A5"/>
    </w:rPr>
  </w:style>
  <w:style w:type="character" w:styleId="Svakutheving">
    <w:name w:val="Subtle Emphasis"/>
    <w:basedOn w:val="Standardskriftforavsnitt"/>
    <w:uiPriority w:val="19"/>
    <w:semiHidden/>
    <w:qFormat/>
    <w:rsid w:val="00893D2C"/>
    <w:rPr>
      <w:i/>
      <w:iCs/>
      <w:color w:val="63634E" w:themeColor="text1" w:themeTint="BF"/>
    </w:rPr>
  </w:style>
  <w:style w:type="table" w:styleId="Tabell-3D-effekt1">
    <w:name w:val="Table 3D effects 1"/>
    <w:basedOn w:val="Vanligtabell"/>
    <w:uiPriority w:val="99"/>
    <w:semiHidden/>
    <w:unhideWhenUsed/>
    <w:rsid w:val="00893D2C"/>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3D-effekt2">
    <w:name w:val="Table 3D effects 2"/>
    <w:basedOn w:val="Vanligtabell"/>
    <w:uiPriority w:val="99"/>
    <w:semiHidden/>
    <w:unhideWhenUsed/>
    <w:rsid w:val="00893D2C"/>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3D-effekt3">
    <w:name w:val="Table 3D effects 3"/>
    <w:basedOn w:val="Vanligtabell"/>
    <w:uiPriority w:val="99"/>
    <w:semiHidden/>
    <w:unhideWhenUsed/>
    <w:rsid w:val="00893D2C"/>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egant">
    <w:name w:val="Table Elegant"/>
    <w:basedOn w:val="Vanligtabell"/>
    <w:uiPriority w:val="99"/>
    <w:semiHidden/>
    <w:unhideWhenUsed/>
    <w:rsid w:val="00893D2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fargerik1">
    <w:name w:val="Table Colorful 1"/>
    <w:basedOn w:val="Vanligtabell"/>
    <w:uiPriority w:val="99"/>
    <w:semiHidden/>
    <w:unhideWhenUsed/>
    <w:rsid w:val="00893D2C"/>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fargerik2">
    <w:name w:val="Table Colorful 2"/>
    <w:basedOn w:val="Vanligtabell"/>
    <w:uiPriority w:val="99"/>
    <w:semiHidden/>
    <w:unhideWhenUsed/>
    <w:rsid w:val="00893D2C"/>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fargerik3">
    <w:name w:val="Table Colorful 3"/>
    <w:basedOn w:val="Vanligtabell"/>
    <w:uiPriority w:val="99"/>
    <w:semiHidden/>
    <w:unhideWhenUsed/>
    <w:rsid w:val="00893D2C"/>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klassisk1">
    <w:name w:val="Table Classic 1"/>
    <w:basedOn w:val="Vanligtabell"/>
    <w:uiPriority w:val="99"/>
    <w:semiHidden/>
    <w:unhideWhenUsed/>
    <w:rsid w:val="00893D2C"/>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lassisk2">
    <w:name w:val="Table Classic 2"/>
    <w:basedOn w:val="Vanligtabell"/>
    <w:uiPriority w:val="99"/>
    <w:semiHidden/>
    <w:unhideWhenUsed/>
    <w:rsid w:val="00893D2C"/>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klassisk3">
    <w:name w:val="Table Classic 3"/>
    <w:basedOn w:val="Vanligtabell"/>
    <w:uiPriority w:val="99"/>
    <w:semiHidden/>
    <w:unhideWhenUsed/>
    <w:rsid w:val="00893D2C"/>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klassisk4">
    <w:name w:val="Table Classic 4"/>
    <w:basedOn w:val="Vanligtabell"/>
    <w:uiPriority w:val="99"/>
    <w:semiHidden/>
    <w:unhideWhenUsed/>
    <w:rsid w:val="00893D2C"/>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moderne">
    <w:name w:val="Table Contemporary"/>
    <w:basedOn w:val="Vanligtabell"/>
    <w:uiPriority w:val="99"/>
    <w:semiHidden/>
    <w:unhideWhenUsed/>
    <w:rsid w:val="00893D2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profesjonell">
    <w:name w:val="Table Professional"/>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svak1">
    <w:name w:val="Table Subtle 1"/>
    <w:basedOn w:val="Vanligtabell"/>
    <w:uiPriority w:val="99"/>
    <w:semiHidden/>
    <w:unhideWhenUsed/>
    <w:rsid w:val="00893D2C"/>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svak2">
    <w:name w:val="Table Subtle 2"/>
    <w:basedOn w:val="Vanligtabell"/>
    <w:uiPriority w:val="99"/>
    <w:semiHidden/>
    <w:unhideWhenUsed/>
    <w:rsid w:val="00893D2C"/>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Web1">
    <w:name w:val="Table Web 1"/>
    <w:basedOn w:val="Vanligtabell"/>
    <w:uiPriority w:val="99"/>
    <w:semiHidden/>
    <w:unhideWhenUsed/>
    <w:rsid w:val="00893D2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2">
    <w:name w:val="Table Web 2"/>
    <w:basedOn w:val="Vanligtabell"/>
    <w:uiPriority w:val="99"/>
    <w:semiHidden/>
    <w:unhideWhenUsed/>
    <w:rsid w:val="00893D2C"/>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Web3">
    <w:name w:val="Table Web 3"/>
    <w:basedOn w:val="Vanligtabell"/>
    <w:uiPriority w:val="99"/>
    <w:semiHidden/>
    <w:unhideWhenUsed/>
    <w:rsid w:val="00893D2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iste1">
    <w:name w:val="Table List 1"/>
    <w:basedOn w:val="Vanligtabell"/>
    <w:uiPriority w:val="99"/>
    <w:semiHidden/>
    <w:unhideWhenUsed/>
    <w:rsid w:val="00893D2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2">
    <w:name w:val="Table List 2"/>
    <w:basedOn w:val="Vanligtabell"/>
    <w:uiPriority w:val="99"/>
    <w:semiHidden/>
    <w:unhideWhenUsed/>
    <w:rsid w:val="00893D2C"/>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e3">
    <w:name w:val="Table List 3"/>
    <w:basedOn w:val="Vanligtabell"/>
    <w:uiPriority w:val="99"/>
    <w:semiHidden/>
    <w:unhideWhenUsed/>
    <w:rsid w:val="00893D2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e4">
    <w:name w:val="Table List 4"/>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e5">
    <w:name w:val="Table List 5"/>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e6">
    <w:name w:val="Table List 6"/>
    <w:basedOn w:val="Vanligtabell"/>
    <w:uiPriority w:val="99"/>
    <w:semiHidden/>
    <w:unhideWhenUsed/>
    <w:rsid w:val="00893D2C"/>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e7">
    <w:name w:val="Table List 7"/>
    <w:basedOn w:val="Vanligtabell"/>
    <w:uiPriority w:val="99"/>
    <w:semiHidden/>
    <w:unhideWhenUsed/>
    <w:rsid w:val="00893D2C"/>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e8">
    <w:name w:val="Table List 8"/>
    <w:basedOn w:val="Vanligtabell"/>
    <w:uiPriority w:val="99"/>
    <w:semiHidden/>
    <w:unhideWhenUsed/>
    <w:rsid w:val="00893D2C"/>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kolonne1">
    <w:name w:val="Table Columns 1"/>
    <w:basedOn w:val="Vanligtabell"/>
    <w:uiPriority w:val="99"/>
    <w:semiHidden/>
    <w:unhideWhenUsed/>
    <w:rsid w:val="00893D2C"/>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2">
    <w:name w:val="Table Columns 2"/>
    <w:basedOn w:val="Vanligtabell"/>
    <w:uiPriority w:val="99"/>
    <w:semiHidden/>
    <w:unhideWhenUsed/>
    <w:rsid w:val="00893D2C"/>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kolonne3">
    <w:name w:val="Table Columns 3"/>
    <w:basedOn w:val="Vanligtabell"/>
    <w:uiPriority w:val="99"/>
    <w:semiHidden/>
    <w:unhideWhenUsed/>
    <w:rsid w:val="00893D2C"/>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kolonne4">
    <w:name w:val="Table Columns 4"/>
    <w:basedOn w:val="Vanligtabell"/>
    <w:uiPriority w:val="99"/>
    <w:semiHidden/>
    <w:unhideWhenUsed/>
    <w:rsid w:val="00893D2C"/>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kolonne5">
    <w:name w:val="Table Columns 5"/>
    <w:basedOn w:val="Vanligtabell"/>
    <w:uiPriority w:val="99"/>
    <w:semiHidden/>
    <w:unhideWhenUsed/>
    <w:rsid w:val="00893D2C"/>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rutenett">
    <w:name w:val="Table Grid"/>
    <w:basedOn w:val="Vanligtabell"/>
    <w:uiPriority w:val="39"/>
    <w:rsid w:val="00893D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rutenett1">
    <w:name w:val="Table Grid 1"/>
    <w:basedOn w:val="Vanligtabell"/>
    <w:uiPriority w:val="99"/>
    <w:semiHidden/>
    <w:unhideWhenUsed/>
    <w:rsid w:val="00893D2C"/>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enett2">
    <w:name w:val="Table Grid 2"/>
    <w:basedOn w:val="Vanligtabell"/>
    <w:uiPriority w:val="99"/>
    <w:semiHidden/>
    <w:unhideWhenUsed/>
    <w:rsid w:val="00893D2C"/>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3">
    <w:name w:val="Table Grid 3"/>
    <w:basedOn w:val="Vanligtabell"/>
    <w:uiPriority w:val="99"/>
    <w:semiHidden/>
    <w:unhideWhenUsed/>
    <w:rsid w:val="00893D2C"/>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enett4">
    <w:name w:val="Table Grid 4"/>
    <w:basedOn w:val="Vanligtabell"/>
    <w:uiPriority w:val="99"/>
    <w:semiHidden/>
    <w:unhideWhenUsed/>
    <w:rsid w:val="00893D2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enett5">
    <w:name w:val="Table Grid 5"/>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6">
    <w:name w:val="Table Grid 6"/>
    <w:basedOn w:val="Vanligtabell"/>
    <w:uiPriority w:val="99"/>
    <w:semiHidden/>
    <w:unhideWhenUsed/>
    <w:rsid w:val="00893D2C"/>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7">
    <w:name w:val="Table Grid 7"/>
    <w:basedOn w:val="Vanligtabell"/>
    <w:uiPriority w:val="99"/>
    <w:semiHidden/>
    <w:unhideWhenUsed/>
    <w:rsid w:val="00893D2C"/>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enett8">
    <w:name w:val="Table Grid 8"/>
    <w:basedOn w:val="Vanligtabell"/>
    <w:uiPriority w:val="99"/>
    <w:semiHidden/>
    <w:unhideWhenUsed/>
    <w:rsid w:val="00893D2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temaer">
    <w:name w:val="Table Theme"/>
    <w:basedOn w:val="Vanligtabell"/>
    <w:uiPriority w:val="99"/>
    <w:semiHidden/>
    <w:unhideWhenUsed/>
    <w:rsid w:val="00893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tel">
    <w:name w:val="Title"/>
    <w:basedOn w:val="Normal"/>
    <w:next w:val="Normal"/>
    <w:link w:val="TittelTegn"/>
    <w:uiPriority w:val="10"/>
    <w:semiHidden/>
    <w:qFormat/>
    <w:rsid w:val="00893D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semiHidden/>
    <w:rsid w:val="00D5282D"/>
    <w:rPr>
      <w:rFonts w:asciiTheme="majorHAnsi" w:eastAsiaTheme="majorEastAsia" w:hAnsiTheme="majorHAnsi" w:cstheme="majorBidi"/>
      <w:spacing w:val="-10"/>
      <w:kern w:val="28"/>
      <w:sz w:val="56"/>
      <w:szCs w:val="56"/>
    </w:rPr>
  </w:style>
  <w:style w:type="character" w:styleId="Ulstomtale">
    <w:name w:val="Unresolved Mention"/>
    <w:basedOn w:val="Standardskriftforavsnitt"/>
    <w:uiPriority w:val="99"/>
    <w:unhideWhenUsed/>
    <w:rsid w:val="00893D2C"/>
    <w:rPr>
      <w:color w:val="605E5C"/>
      <w:shd w:val="clear" w:color="auto" w:fill="E1DFDD"/>
    </w:rPr>
  </w:style>
  <w:style w:type="paragraph" w:styleId="Underskrift">
    <w:name w:val="Signature"/>
    <w:basedOn w:val="Normal"/>
    <w:link w:val="UnderskriftTegn"/>
    <w:uiPriority w:val="99"/>
    <w:semiHidden/>
    <w:unhideWhenUsed/>
    <w:rsid w:val="00893D2C"/>
    <w:pPr>
      <w:spacing w:after="0" w:line="240" w:lineRule="auto"/>
      <w:ind w:left="4252"/>
    </w:pPr>
  </w:style>
  <w:style w:type="character" w:customStyle="1" w:styleId="UnderskriftTegn">
    <w:name w:val="Underskrift Tegn"/>
    <w:basedOn w:val="Standardskriftforavsnitt"/>
    <w:link w:val="Underskrift"/>
    <w:uiPriority w:val="99"/>
    <w:semiHidden/>
    <w:rsid w:val="00893D2C"/>
  </w:style>
  <w:style w:type="paragraph" w:styleId="Undertittel">
    <w:name w:val="Subtitle"/>
    <w:basedOn w:val="Normal"/>
    <w:next w:val="Normal"/>
    <w:link w:val="UndertittelTegn"/>
    <w:uiPriority w:val="11"/>
    <w:semiHidden/>
    <w:qFormat/>
    <w:rsid w:val="00893D2C"/>
    <w:pPr>
      <w:numPr>
        <w:ilvl w:val="1"/>
      </w:numPr>
    </w:pPr>
    <w:rPr>
      <w:rFonts w:eastAsiaTheme="minorEastAsia"/>
      <w:color w:val="7D7D62" w:themeColor="text1" w:themeTint="A5"/>
      <w:spacing w:val="15"/>
    </w:rPr>
  </w:style>
  <w:style w:type="character" w:customStyle="1" w:styleId="UndertittelTegn">
    <w:name w:val="Undertittel Tegn"/>
    <w:basedOn w:val="Standardskriftforavsnitt"/>
    <w:link w:val="Undertittel"/>
    <w:uiPriority w:val="11"/>
    <w:semiHidden/>
    <w:rsid w:val="00D5282D"/>
    <w:rPr>
      <w:rFonts w:eastAsiaTheme="minorEastAsia"/>
      <w:color w:val="7D7D62" w:themeColor="text1" w:themeTint="A5"/>
      <w:spacing w:val="15"/>
    </w:rPr>
  </w:style>
  <w:style w:type="character" w:styleId="Utheving">
    <w:name w:val="Emphasis"/>
    <w:basedOn w:val="Standardskriftforavsnitt"/>
    <w:uiPriority w:val="20"/>
    <w:qFormat/>
    <w:rsid w:val="00341F53"/>
    <w:rPr>
      <w:i w:val="0"/>
      <w:iCs/>
      <w:color w:val="262682" w:themeColor="accent1"/>
    </w:rPr>
  </w:style>
  <w:style w:type="paragraph" w:styleId="Vanliginnrykk">
    <w:name w:val="Normal Indent"/>
    <w:basedOn w:val="Normal"/>
    <w:uiPriority w:val="99"/>
    <w:semiHidden/>
    <w:unhideWhenUsed/>
    <w:rsid w:val="00893D2C"/>
    <w:pPr>
      <w:ind w:left="708"/>
    </w:pPr>
  </w:style>
  <w:style w:type="table" w:styleId="Vanligtabell1">
    <w:name w:val="Plain Table 1"/>
    <w:basedOn w:val="Vanligtabell"/>
    <w:uiPriority w:val="41"/>
    <w:rsid w:val="00893D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2">
    <w:name w:val="Plain Table 2"/>
    <w:basedOn w:val="Vanligtabell"/>
    <w:uiPriority w:val="42"/>
    <w:rsid w:val="00893D2C"/>
    <w:pPr>
      <w:spacing w:after="0" w:line="240" w:lineRule="auto"/>
    </w:pPr>
    <w:tblPr>
      <w:tblStyleRowBandSize w:val="1"/>
      <w:tblStyleColBandSize w:val="1"/>
      <w:tblBorders>
        <w:top w:val="single" w:sz="4" w:space="0" w:color="9D9D82" w:themeColor="text1" w:themeTint="80"/>
        <w:bottom w:val="single" w:sz="4" w:space="0" w:color="9D9D82" w:themeColor="text1" w:themeTint="80"/>
      </w:tblBorders>
    </w:tblPr>
    <w:tblStylePr w:type="firstRow">
      <w:rPr>
        <w:b/>
        <w:bCs/>
      </w:rPr>
      <w:tblPr/>
      <w:tcPr>
        <w:tcBorders>
          <w:bottom w:val="single" w:sz="4" w:space="0" w:color="9D9D82" w:themeColor="text1" w:themeTint="80"/>
        </w:tcBorders>
      </w:tcPr>
    </w:tblStylePr>
    <w:tblStylePr w:type="lastRow">
      <w:rPr>
        <w:b/>
        <w:bCs/>
      </w:rPr>
      <w:tblPr/>
      <w:tcPr>
        <w:tcBorders>
          <w:top w:val="single" w:sz="4" w:space="0" w:color="9D9D82" w:themeColor="text1" w:themeTint="80"/>
        </w:tcBorders>
      </w:tcPr>
    </w:tblStylePr>
    <w:tblStylePr w:type="firstCol">
      <w:rPr>
        <w:b/>
        <w:bCs/>
      </w:rPr>
    </w:tblStylePr>
    <w:tblStylePr w:type="lastCol">
      <w:rPr>
        <w:b/>
        <w:bCs/>
      </w:rPr>
    </w:tblStylePr>
    <w:tblStylePr w:type="band1Vert">
      <w:tblPr/>
      <w:tcPr>
        <w:tcBorders>
          <w:left w:val="single" w:sz="4" w:space="0" w:color="9D9D82" w:themeColor="text1" w:themeTint="80"/>
          <w:right w:val="single" w:sz="4" w:space="0" w:color="9D9D82" w:themeColor="text1" w:themeTint="80"/>
        </w:tcBorders>
      </w:tcPr>
    </w:tblStylePr>
    <w:tblStylePr w:type="band2Vert">
      <w:tblPr/>
      <w:tcPr>
        <w:tcBorders>
          <w:left w:val="single" w:sz="4" w:space="0" w:color="9D9D82" w:themeColor="text1" w:themeTint="80"/>
          <w:right w:val="single" w:sz="4" w:space="0" w:color="9D9D82" w:themeColor="text1" w:themeTint="80"/>
        </w:tcBorders>
      </w:tcPr>
    </w:tblStylePr>
    <w:tblStylePr w:type="band1Horz">
      <w:tblPr/>
      <w:tcPr>
        <w:tcBorders>
          <w:top w:val="single" w:sz="4" w:space="0" w:color="9D9D82" w:themeColor="text1" w:themeTint="80"/>
          <w:bottom w:val="single" w:sz="4" w:space="0" w:color="9D9D82" w:themeColor="text1" w:themeTint="80"/>
        </w:tcBorders>
      </w:tcPr>
    </w:tblStylePr>
  </w:style>
  <w:style w:type="table" w:styleId="Vanligtabell3">
    <w:name w:val="Plain Table 3"/>
    <w:basedOn w:val="Vanligtabell"/>
    <w:uiPriority w:val="43"/>
    <w:rsid w:val="00893D2C"/>
    <w:pPr>
      <w:spacing w:after="0" w:line="240" w:lineRule="auto"/>
    </w:pPr>
    <w:tblPr>
      <w:tblStyleRowBandSize w:val="1"/>
      <w:tblStyleColBandSize w:val="1"/>
    </w:tblPr>
    <w:tblStylePr w:type="firstRow">
      <w:rPr>
        <w:b/>
        <w:bCs/>
        <w:caps/>
      </w:rPr>
      <w:tblPr/>
      <w:tcPr>
        <w:tcBorders>
          <w:bottom w:val="single" w:sz="4" w:space="0" w:color="9D9D82"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D9D82"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Vanligtabell4">
    <w:name w:val="Plain Table 4"/>
    <w:basedOn w:val="Vanligtabell"/>
    <w:uiPriority w:val="44"/>
    <w:rsid w:val="00893D2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Vanligtabell5">
    <w:name w:val="Plain Table 5"/>
    <w:basedOn w:val="Vanligtabell"/>
    <w:uiPriority w:val="45"/>
    <w:rsid w:val="00893D2C"/>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D9D82"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D9D82"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D9D82"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D9D82"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Blstrek">
    <w:name w:val="Blå strek"/>
    <w:basedOn w:val="Normal"/>
    <w:next w:val="Normal"/>
    <w:uiPriority w:val="3"/>
    <w:qFormat/>
    <w:rsid w:val="00E10E80"/>
    <w:pPr>
      <w:pBdr>
        <w:top w:val="single" w:sz="4" w:space="1" w:color="262682" w:themeColor="accent1"/>
      </w:pBdr>
      <w:tabs>
        <w:tab w:val="left" w:pos="3400"/>
      </w:tabs>
      <w:spacing w:before="240" w:after="240" w:line="240" w:lineRule="auto"/>
    </w:pPr>
    <w:rPr>
      <w:sz w:val="2"/>
      <w:szCs w:val="2"/>
    </w:rPr>
  </w:style>
  <w:style w:type="paragraph" w:customStyle="1" w:styleId="Oransjestrek">
    <w:name w:val="Oransje strek"/>
    <w:basedOn w:val="Blstrek"/>
    <w:next w:val="Normal"/>
    <w:uiPriority w:val="3"/>
    <w:qFormat/>
    <w:rsid w:val="00E10E80"/>
    <w:pPr>
      <w:pBdr>
        <w:top w:val="none" w:sz="0" w:space="0" w:color="auto"/>
        <w:bottom w:val="single" w:sz="4" w:space="1" w:color="FFB26D" w:themeColor="accent2"/>
      </w:pBdr>
    </w:pPr>
  </w:style>
  <w:style w:type="character" w:customStyle="1" w:styleId="ListeavsnittTegn">
    <w:name w:val="Listeavsnitt Tegn"/>
    <w:basedOn w:val="Standardskriftforavsnitt"/>
    <w:link w:val="Listeavsnitt"/>
    <w:uiPriority w:val="34"/>
    <w:rsid w:val="001F588A"/>
  </w:style>
  <w:style w:type="paragraph" w:customStyle="1" w:styleId="Kulepunkter">
    <w:name w:val="Kulepunkter"/>
    <w:basedOn w:val="Listeavsnitt"/>
    <w:link w:val="KulepunkterTegn"/>
    <w:qFormat/>
    <w:rsid w:val="00C43638"/>
    <w:pPr>
      <w:keepLines/>
      <w:numPr>
        <w:numId w:val="16"/>
      </w:numPr>
      <w:tabs>
        <w:tab w:val="clear" w:pos="2155"/>
      </w:tabs>
      <w:suppressAutoHyphens/>
      <w:spacing w:after="0"/>
      <w:contextualSpacing w:val="0"/>
    </w:pPr>
    <w:rPr>
      <w:rFonts w:ascii="Georgia" w:eastAsia="Calibri" w:hAnsi="Georgia" w:cs="Times New Roman"/>
      <w:sz w:val="20"/>
      <w:szCs w:val="24"/>
      <w:lang w:eastAsia="ar-SA"/>
    </w:rPr>
  </w:style>
  <w:style w:type="character" w:customStyle="1" w:styleId="KulepunkterTegn">
    <w:name w:val="Kulepunkter Tegn"/>
    <w:basedOn w:val="ListeavsnittTegn"/>
    <w:link w:val="Kulepunkter"/>
    <w:rsid w:val="00C43638"/>
    <w:rPr>
      <w:rFonts w:ascii="Georgia" w:eastAsia="Calibri" w:hAnsi="Georgia" w:cs="Times New Roman"/>
      <w:sz w:val="20"/>
      <w:szCs w:val="24"/>
      <w:lang w:eastAsia="ar-SA"/>
    </w:rPr>
  </w:style>
  <w:style w:type="character" w:customStyle="1" w:styleId="normaltextrun">
    <w:name w:val="normaltextrun"/>
    <w:basedOn w:val="Standardskriftforavsnitt"/>
    <w:rsid w:val="009320DB"/>
  </w:style>
  <w:style w:type="character" w:customStyle="1" w:styleId="eop">
    <w:name w:val="eop"/>
    <w:basedOn w:val="Standardskriftforavsnitt"/>
    <w:rsid w:val="009320DB"/>
  </w:style>
  <w:style w:type="paragraph" w:styleId="Revisjon">
    <w:name w:val="Revision"/>
    <w:hidden/>
    <w:uiPriority w:val="99"/>
    <w:semiHidden/>
    <w:rsid w:val="009C6969"/>
    <w:pPr>
      <w:spacing w:after="0" w:line="240" w:lineRule="auto"/>
    </w:pPr>
  </w:style>
  <w:style w:type="paragraph" w:customStyle="1" w:styleId="Default">
    <w:name w:val="Default"/>
    <w:rsid w:val="00EF148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863555">
      <w:bodyDiv w:val="1"/>
      <w:marLeft w:val="0"/>
      <w:marRight w:val="0"/>
      <w:marTop w:val="0"/>
      <w:marBottom w:val="0"/>
      <w:divBdr>
        <w:top w:val="none" w:sz="0" w:space="0" w:color="auto"/>
        <w:left w:val="none" w:sz="0" w:space="0" w:color="auto"/>
        <w:bottom w:val="none" w:sz="0" w:space="0" w:color="auto"/>
        <w:right w:val="none" w:sz="0" w:space="0" w:color="auto"/>
      </w:divBdr>
    </w:div>
    <w:div w:id="298341385">
      <w:bodyDiv w:val="1"/>
      <w:marLeft w:val="0"/>
      <w:marRight w:val="0"/>
      <w:marTop w:val="0"/>
      <w:marBottom w:val="0"/>
      <w:divBdr>
        <w:top w:val="none" w:sz="0" w:space="0" w:color="auto"/>
        <w:left w:val="none" w:sz="0" w:space="0" w:color="auto"/>
        <w:bottom w:val="none" w:sz="0" w:space="0" w:color="auto"/>
        <w:right w:val="none" w:sz="0" w:space="0" w:color="auto"/>
      </w:divBdr>
    </w:div>
    <w:div w:id="494345544">
      <w:bodyDiv w:val="1"/>
      <w:marLeft w:val="0"/>
      <w:marRight w:val="0"/>
      <w:marTop w:val="0"/>
      <w:marBottom w:val="0"/>
      <w:divBdr>
        <w:top w:val="none" w:sz="0" w:space="0" w:color="auto"/>
        <w:left w:val="none" w:sz="0" w:space="0" w:color="auto"/>
        <w:bottom w:val="none" w:sz="0" w:space="0" w:color="auto"/>
        <w:right w:val="none" w:sz="0" w:space="0" w:color="auto"/>
      </w:divBdr>
    </w:div>
    <w:div w:id="623581600">
      <w:bodyDiv w:val="1"/>
      <w:marLeft w:val="0"/>
      <w:marRight w:val="0"/>
      <w:marTop w:val="0"/>
      <w:marBottom w:val="0"/>
      <w:divBdr>
        <w:top w:val="none" w:sz="0" w:space="0" w:color="auto"/>
        <w:left w:val="none" w:sz="0" w:space="0" w:color="auto"/>
        <w:bottom w:val="none" w:sz="0" w:space="0" w:color="auto"/>
        <w:right w:val="none" w:sz="0" w:space="0" w:color="auto"/>
      </w:divBdr>
    </w:div>
    <w:div w:id="714694086">
      <w:bodyDiv w:val="1"/>
      <w:marLeft w:val="0"/>
      <w:marRight w:val="0"/>
      <w:marTop w:val="0"/>
      <w:marBottom w:val="0"/>
      <w:divBdr>
        <w:top w:val="none" w:sz="0" w:space="0" w:color="auto"/>
        <w:left w:val="none" w:sz="0" w:space="0" w:color="auto"/>
        <w:bottom w:val="none" w:sz="0" w:space="0" w:color="auto"/>
        <w:right w:val="none" w:sz="0" w:space="0" w:color="auto"/>
      </w:divBdr>
    </w:div>
    <w:div w:id="987244218">
      <w:bodyDiv w:val="1"/>
      <w:marLeft w:val="0"/>
      <w:marRight w:val="0"/>
      <w:marTop w:val="0"/>
      <w:marBottom w:val="0"/>
      <w:divBdr>
        <w:top w:val="none" w:sz="0" w:space="0" w:color="auto"/>
        <w:left w:val="none" w:sz="0" w:space="0" w:color="auto"/>
        <w:bottom w:val="none" w:sz="0" w:space="0" w:color="auto"/>
        <w:right w:val="none" w:sz="0" w:space="0" w:color="auto"/>
      </w:divBdr>
    </w:div>
    <w:div w:id="1114128873">
      <w:bodyDiv w:val="1"/>
      <w:marLeft w:val="0"/>
      <w:marRight w:val="0"/>
      <w:marTop w:val="0"/>
      <w:marBottom w:val="0"/>
      <w:divBdr>
        <w:top w:val="none" w:sz="0" w:space="0" w:color="auto"/>
        <w:left w:val="none" w:sz="0" w:space="0" w:color="auto"/>
        <w:bottom w:val="none" w:sz="0" w:space="0" w:color="auto"/>
        <w:right w:val="none" w:sz="0" w:space="0" w:color="auto"/>
      </w:divBdr>
    </w:div>
    <w:div w:id="1569270152">
      <w:bodyDiv w:val="1"/>
      <w:marLeft w:val="0"/>
      <w:marRight w:val="0"/>
      <w:marTop w:val="0"/>
      <w:marBottom w:val="0"/>
      <w:divBdr>
        <w:top w:val="none" w:sz="0" w:space="0" w:color="auto"/>
        <w:left w:val="none" w:sz="0" w:space="0" w:color="auto"/>
        <w:bottom w:val="none" w:sz="0" w:space="0" w:color="auto"/>
        <w:right w:val="none" w:sz="0" w:space="0" w:color="auto"/>
      </w:divBdr>
    </w:div>
    <w:div w:id="1650939718">
      <w:bodyDiv w:val="1"/>
      <w:marLeft w:val="0"/>
      <w:marRight w:val="0"/>
      <w:marTop w:val="0"/>
      <w:marBottom w:val="0"/>
      <w:divBdr>
        <w:top w:val="none" w:sz="0" w:space="0" w:color="auto"/>
        <w:left w:val="none" w:sz="0" w:space="0" w:color="auto"/>
        <w:bottom w:val="none" w:sz="0" w:space="0" w:color="auto"/>
        <w:right w:val="none" w:sz="0" w:space="0" w:color="auto"/>
      </w:divBdr>
    </w:div>
    <w:div w:id="1928927509">
      <w:bodyDiv w:val="1"/>
      <w:marLeft w:val="0"/>
      <w:marRight w:val="0"/>
      <w:marTop w:val="0"/>
      <w:marBottom w:val="0"/>
      <w:divBdr>
        <w:top w:val="none" w:sz="0" w:space="0" w:color="auto"/>
        <w:left w:val="none" w:sz="0" w:space="0" w:color="auto"/>
        <w:bottom w:val="none" w:sz="0" w:space="0" w:color="auto"/>
        <w:right w:val="none" w:sz="0" w:space="0" w:color="auto"/>
      </w:divBdr>
    </w:div>
    <w:div w:id="1952665745">
      <w:bodyDiv w:val="1"/>
      <w:marLeft w:val="0"/>
      <w:marRight w:val="0"/>
      <w:marTop w:val="0"/>
      <w:marBottom w:val="0"/>
      <w:divBdr>
        <w:top w:val="none" w:sz="0" w:space="0" w:color="auto"/>
        <w:left w:val="none" w:sz="0" w:space="0" w:color="auto"/>
        <w:bottom w:val="none" w:sz="0" w:space="0" w:color="auto"/>
        <w:right w:val="none" w:sz="0" w:space="0" w:color="auto"/>
      </w:divBdr>
    </w:div>
    <w:div w:id="1961719467">
      <w:bodyDiv w:val="1"/>
      <w:marLeft w:val="0"/>
      <w:marRight w:val="0"/>
      <w:marTop w:val="0"/>
      <w:marBottom w:val="0"/>
      <w:divBdr>
        <w:top w:val="none" w:sz="0" w:space="0" w:color="auto"/>
        <w:left w:val="none" w:sz="0" w:space="0" w:color="auto"/>
        <w:bottom w:val="none" w:sz="0" w:space="0" w:color="auto"/>
        <w:right w:val="none" w:sz="0" w:space="0" w:color="auto"/>
      </w:divBdr>
    </w:div>
    <w:div w:id="2037542847">
      <w:bodyDiv w:val="1"/>
      <w:marLeft w:val="0"/>
      <w:marRight w:val="0"/>
      <w:marTop w:val="0"/>
      <w:marBottom w:val="0"/>
      <w:divBdr>
        <w:top w:val="none" w:sz="0" w:space="0" w:color="auto"/>
        <w:left w:val="none" w:sz="0" w:space="0" w:color="auto"/>
        <w:bottom w:val="none" w:sz="0" w:space="0" w:color="auto"/>
        <w:right w:val="none" w:sz="0" w:space="0" w:color="auto"/>
      </w:divBdr>
    </w:div>
    <w:div w:id="2089189237">
      <w:bodyDiv w:val="1"/>
      <w:marLeft w:val="0"/>
      <w:marRight w:val="0"/>
      <w:marTop w:val="0"/>
      <w:marBottom w:val="0"/>
      <w:divBdr>
        <w:top w:val="none" w:sz="0" w:space="0" w:color="auto"/>
        <w:left w:val="none" w:sz="0" w:space="0" w:color="auto"/>
        <w:bottom w:val="none" w:sz="0" w:space="0" w:color="auto"/>
        <w:right w:val="none" w:sz="0" w:space="0" w:color="auto"/>
      </w:divBdr>
    </w:div>
    <w:div w:id="2112509806">
      <w:bodyDiv w:val="1"/>
      <w:marLeft w:val="0"/>
      <w:marRight w:val="0"/>
      <w:marTop w:val="0"/>
      <w:marBottom w:val="0"/>
      <w:divBdr>
        <w:top w:val="none" w:sz="0" w:space="0" w:color="auto"/>
        <w:left w:val="none" w:sz="0" w:space="0" w:color="auto"/>
        <w:bottom w:val="none" w:sz="0" w:space="0" w:color="auto"/>
        <w:right w:val="none" w:sz="0" w:space="0" w:color="auto"/>
      </w:divBdr>
    </w:div>
    <w:div w:id="211878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ildeJ&#229;sund\Akademikerne\Akademikerne%20-%20Dokumenter\Maler\Nye%20maler\Standardm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31CEEBAFBF54334B91B61822312A8D6"/>
        <w:category>
          <w:name w:val="Generelt"/>
          <w:gallery w:val="placeholder"/>
        </w:category>
        <w:types>
          <w:type w:val="bbPlcHdr"/>
        </w:types>
        <w:behaviors>
          <w:behavior w:val="content"/>
        </w:behaviors>
        <w:guid w:val="{D9E6B0F5-6A66-4A54-9920-52CB15650276}"/>
      </w:docPartPr>
      <w:docPartBody>
        <w:p w:rsidR="00AB5ECF" w:rsidRDefault="00187F1D">
          <w:pPr>
            <w:pStyle w:val="831CEEBAFBF54334B91B61822312A8D6"/>
          </w:pPr>
          <w:r w:rsidRPr="00000866">
            <w:t>[Overskrift]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haroni">
    <w:charset w:val="B1"/>
    <w:family w:val="auto"/>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7F1D"/>
    <w:rsid w:val="00040FF8"/>
    <w:rsid w:val="00062F94"/>
    <w:rsid w:val="00066C8B"/>
    <w:rsid w:val="001667DD"/>
    <w:rsid w:val="001754BA"/>
    <w:rsid w:val="00187F1D"/>
    <w:rsid w:val="001A59D5"/>
    <w:rsid w:val="001B5F63"/>
    <w:rsid w:val="00206B78"/>
    <w:rsid w:val="00215644"/>
    <w:rsid w:val="00234072"/>
    <w:rsid w:val="00255635"/>
    <w:rsid w:val="00273EE5"/>
    <w:rsid w:val="0028403D"/>
    <w:rsid w:val="002A5D20"/>
    <w:rsid w:val="002A787D"/>
    <w:rsid w:val="00332B9C"/>
    <w:rsid w:val="00340682"/>
    <w:rsid w:val="003503DD"/>
    <w:rsid w:val="00362349"/>
    <w:rsid w:val="00363057"/>
    <w:rsid w:val="003751D1"/>
    <w:rsid w:val="00380037"/>
    <w:rsid w:val="003A1C82"/>
    <w:rsid w:val="003C5FF1"/>
    <w:rsid w:val="004077DF"/>
    <w:rsid w:val="004132CC"/>
    <w:rsid w:val="004657F2"/>
    <w:rsid w:val="00466B76"/>
    <w:rsid w:val="0049619E"/>
    <w:rsid w:val="004F1AE1"/>
    <w:rsid w:val="0056753B"/>
    <w:rsid w:val="00580C85"/>
    <w:rsid w:val="0058181F"/>
    <w:rsid w:val="0059441E"/>
    <w:rsid w:val="005C58C5"/>
    <w:rsid w:val="005F50D5"/>
    <w:rsid w:val="00603F06"/>
    <w:rsid w:val="00620AD4"/>
    <w:rsid w:val="00623841"/>
    <w:rsid w:val="00626B24"/>
    <w:rsid w:val="00631554"/>
    <w:rsid w:val="00640335"/>
    <w:rsid w:val="00683BE6"/>
    <w:rsid w:val="00703402"/>
    <w:rsid w:val="007073BD"/>
    <w:rsid w:val="007457E5"/>
    <w:rsid w:val="007B38F3"/>
    <w:rsid w:val="007E7E9F"/>
    <w:rsid w:val="007F146D"/>
    <w:rsid w:val="00804B06"/>
    <w:rsid w:val="00806B94"/>
    <w:rsid w:val="008262A2"/>
    <w:rsid w:val="00871E8E"/>
    <w:rsid w:val="00891FD6"/>
    <w:rsid w:val="008938C5"/>
    <w:rsid w:val="008B1009"/>
    <w:rsid w:val="008B1AAC"/>
    <w:rsid w:val="009315A1"/>
    <w:rsid w:val="009446F6"/>
    <w:rsid w:val="009768B6"/>
    <w:rsid w:val="009C2C2C"/>
    <w:rsid w:val="009D3654"/>
    <w:rsid w:val="009D7D18"/>
    <w:rsid w:val="00A834D9"/>
    <w:rsid w:val="00AA1C94"/>
    <w:rsid w:val="00AA31F4"/>
    <w:rsid w:val="00AA5D8F"/>
    <w:rsid w:val="00AA7E74"/>
    <w:rsid w:val="00AB5ECF"/>
    <w:rsid w:val="00AE6479"/>
    <w:rsid w:val="00B84C34"/>
    <w:rsid w:val="00BD031C"/>
    <w:rsid w:val="00C2790E"/>
    <w:rsid w:val="00C35CDB"/>
    <w:rsid w:val="00C53217"/>
    <w:rsid w:val="00C711DA"/>
    <w:rsid w:val="00C93997"/>
    <w:rsid w:val="00CC0F3D"/>
    <w:rsid w:val="00CD59A5"/>
    <w:rsid w:val="00D90985"/>
    <w:rsid w:val="00DA3B7E"/>
    <w:rsid w:val="00DC27AF"/>
    <w:rsid w:val="00DD523B"/>
    <w:rsid w:val="00E76ED6"/>
    <w:rsid w:val="00F44AF2"/>
    <w:rsid w:val="00F543DA"/>
  </w:rsids>
  <m:mathPr>
    <m:mathFont m:val="Cambria Math"/>
    <m:brkBin m:val="before"/>
    <m:brkBinSub m:val="--"/>
    <m:smallFrac m:val="0"/>
    <m:dispDef/>
    <m:lMargin m:val="0"/>
    <m:rMargin m:val="0"/>
    <m:defJc m:val="centerGroup"/>
    <m:wrapIndent m:val="1440"/>
    <m:intLim m:val="subSup"/>
    <m:naryLim m:val="undOvr"/>
  </m:mathPr>
  <w:themeFontLang w:val="nb-NO"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styleId="Plassholdertekst">
    <w:name w:val="Placeholder Text"/>
    <w:basedOn w:val="Standardskriftforavsnitt"/>
    <w:uiPriority w:val="99"/>
    <w:semiHidden/>
    <w:rPr>
      <w:color w:val="808080"/>
    </w:rPr>
  </w:style>
  <w:style w:type="paragraph" w:customStyle="1" w:styleId="831CEEBAFBF54334B91B61822312A8D6">
    <w:name w:val="831CEEBAFBF54334B91B61822312A8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Office-tema">
  <a:themeElements>
    <a:clrScheme name="Akademikerne">
      <a:dk1>
        <a:srgbClr val="26261E"/>
      </a:dk1>
      <a:lt1>
        <a:sysClr val="window" lastClr="FFFFFF"/>
      </a:lt1>
      <a:dk2>
        <a:srgbClr val="828282"/>
      </a:dk2>
      <a:lt2>
        <a:srgbClr val="F8F6F2"/>
      </a:lt2>
      <a:accent1>
        <a:srgbClr val="262682"/>
      </a:accent1>
      <a:accent2>
        <a:srgbClr val="FFB26D"/>
      </a:accent2>
      <a:accent3>
        <a:srgbClr val="3E8F98"/>
      </a:accent3>
      <a:accent4>
        <a:srgbClr val="26261E"/>
      </a:accent4>
      <a:accent5>
        <a:srgbClr val="FCECDE"/>
      </a:accent5>
      <a:accent6>
        <a:srgbClr val="F2F8F8"/>
      </a:accent6>
      <a:hlink>
        <a:srgbClr val="0563C1"/>
      </a:hlink>
      <a:folHlink>
        <a:srgbClr val="954F72"/>
      </a:folHlink>
    </a:clrScheme>
    <a:fontScheme name="Akademikerne">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b91f666-3f48-4a07-9cfe-8ba1bb5b0ef5">
      <Terms xmlns="http://schemas.microsoft.com/office/infopath/2007/PartnerControls"/>
    </lcf76f155ced4ddcb4097134ff3c332f>
    <TaxCatchAll xmlns="387c2cf3-97b9-4867-aa55-7b6706a2c1dd" xsi:nil="true"/>
    <SharedWithUsers xmlns="387c2cf3-97b9-4867-aa55-7b6706a2c1dd">
      <UserInfo>
        <DisplayName>Christine Meling</DisplayName>
        <AccountId>11</AccountId>
        <AccountType/>
      </UserInfo>
      <UserInfo>
        <DisplayName>Ingeborg Laugerud</DisplayName>
        <AccountId>21</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root>
</root>
</file>

<file path=customXml/item5.xml><?xml version="1.0" encoding="utf-8"?>
<ct:contentTypeSchema xmlns:ct="http://schemas.microsoft.com/office/2006/metadata/contentType" xmlns:ma="http://schemas.microsoft.com/office/2006/metadata/properties/metaAttributes" ct:_="" ma:_="" ma:contentTypeName="Dokument" ma:contentTypeID="0x0101000E52A8DA6E0E8F42ABA7624FBB97C791" ma:contentTypeVersion="16" ma:contentTypeDescription="Opprett et nytt dokument." ma:contentTypeScope="" ma:versionID="380a2f2ef0c9ec318cf5ffd3001b351b">
  <xsd:schema xmlns:xsd="http://www.w3.org/2001/XMLSchema" xmlns:xs="http://www.w3.org/2001/XMLSchema" xmlns:p="http://schemas.microsoft.com/office/2006/metadata/properties" xmlns:ns2="cb91f666-3f48-4a07-9cfe-8ba1bb5b0ef5" xmlns:ns3="387c2cf3-97b9-4867-aa55-7b6706a2c1dd" targetNamespace="http://schemas.microsoft.com/office/2006/metadata/properties" ma:root="true" ma:fieldsID="3279f01612090c7b0bcc597c54ff98c9" ns2:_="" ns3:_="">
    <xsd:import namespace="cb91f666-3f48-4a07-9cfe-8ba1bb5b0ef5"/>
    <xsd:import namespace="387c2cf3-97b9-4867-aa55-7b6706a2c1d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91f666-3f48-4a07-9cfe-8ba1bb5b0e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Bildemerkelapper" ma:readOnly="false" ma:fieldId="{5cf76f15-5ced-4ddc-b409-7134ff3c332f}" ma:taxonomyMulti="true" ma:sspId="0d67a388-5b98-4fb5-b70e-b280114bbf2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c2cf3-97b9-4867-aa55-7b6706a2c1dd"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TaxCatchAll" ma:index="14" nillable="true" ma:displayName="Taxonomy Catch All Column" ma:hidden="true" ma:list="{1c925415-ea93-4090-b342-bde85c919a35}" ma:internalName="TaxCatchAll" ma:showField="CatchAllData" ma:web="387c2cf3-97b9-4867-aa55-7b6706a2c1d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6D4C2B-FDD4-4B5D-822F-4CC011BC16FE}">
  <ds:schemaRefs>
    <ds:schemaRef ds:uri="http://schemas.microsoft.com/office/2006/metadata/properties"/>
    <ds:schemaRef ds:uri="http://schemas.microsoft.com/office/infopath/2007/PartnerControls"/>
    <ds:schemaRef ds:uri="cb91f666-3f48-4a07-9cfe-8ba1bb5b0ef5"/>
    <ds:schemaRef ds:uri="387c2cf3-97b9-4867-aa55-7b6706a2c1dd"/>
  </ds:schemaRefs>
</ds:datastoreItem>
</file>

<file path=customXml/itemProps2.xml><?xml version="1.0" encoding="utf-8"?>
<ds:datastoreItem xmlns:ds="http://schemas.openxmlformats.org/officeDocument/2006/customXml" ds:itemID="{CFC5A051-7235-44BA-9CB5-8AEB2775B05C}">
  <ds:schemaRefs>
    <ds:schemaRef ds:uri="http://schemas.microsoft.com/sharepoint/v3/contenttype/forms"/>
  </ds:schemaRefs>
</ds:datastoreItem>
</file>

<file path=customXml/itemProps3.xml><?xml version="1.0" encoding="utf-8"?>
<ds:datastoreItem xmlns:ds="http://schemas.openxmlformats.org/officeDocument/2006/customXml" ds:itemID="{567C8E82-567A-453C-8EAA-797FDB3A729D}">
  <ds:schemaRefs>
    <ds:schemaRef ds:uri="http://schemas.openxmlformats.org/officeDocument/2006/bibliography"/>
  </ds:schemaRefs>
</ds:datastoreItem>
</file>

<file path=customXml/itemProps4.xml><?xml version="1.0" encoding="utf-8"?>
<ds:datastoreItem xmlns:ds="http://schemas.openxmlformats.org/officeDocument/2006/customXml" ds:itemID="{A15A0FAC-0DCE-4660-A8CA-C4BAEC8D4E4E}">
  <ds:schemaRefs/>
</ds:datastoreItem>
</file>

<file path=customXml/itemProps5.xml><?xml version="1.0" encoding="utf-8"?>
<ds:datastoreItem xmlns:ds="http://schemas.openxmlformats.org/officeDocument/2006/customXml" ds:itemID="{2FB8CFB7-8237-444A-94D8-F423B9489A2D}"/>
</file>

<file path=docProps/app.xml><?xml version="1.0" encoding="utf-8"?>
<Properties xmlns="http://schemas.openxmlformats.org/officeDocument/2006/extended-properties" xmlns:vt="http://schemas.openxmlformats.org/officeDocument/2006/docPropsVTypes">
  <Template>Standardmal</Template>
  <TotalTime>2</TotalTime>
  <Pages>30</Pages>
  <Words>8010</Words>
  <Characters>52832</Characters>
  <Application>Microsoft Office Word</Application>
  <DocSecurity>0</DocSecurity>
  <Lines>910</Lines>
  <Paragraphs>436</Paragraphs>
  <ScaleCrop>false</ScaleCrop>
  <Company/>
  <LinksUpToDate>false</LinksUpToDate>
  <CharactersWithSpaces>60860</CharactersWithSpaces>
  <SharedDoc>false</SharedDoc>
  <HLinks>
    <vt:vector size="138" baseType="variant">
      <vt:variant>
        <vt:i4>1376310</vt:i4>
      </vt:variant>
      <vt:variant>
        <vt:i4>134</vt:i4>
      </vt:variant>
      <vt:variant>
        <vt:i4>0</vt:i4>
      </vt:variant>
      <vt:variant>
        <vt:i4>5</vt:i4>
      </vt:variant>
      <vt:variant>
        <vt:lpwstr/>
      </vt:variant>
      <vt:variant>
        <vt:lpwstr>_Toc114065563</vt:lpwstr>
      </vt:variant>
      <vt:variant>
        <vt:i4>1376310</vt:i4>
      </vt:variant>
      <vt:variant>
        <vt:i4>128</vt:i4>
      </vt:variant>
      <vt:variant>
        <vt:i4>0</vt:i4>
      </vt:variant>
      <vt:variant>
        <vt:i4>5</vt:i4>
      </vt:variant>
      <vt:variant>
        <vt:lpwstr/>
      </vt:variant>
      <vt:variant>
        <vt:lpwstr>_Toc114065561</vt:lpwstr>
      </vt:variant>
      <vt:variant>
        <vt:i4>1376310</vt:i4>
      </vt:variant>
      <vt:variant>
        <vt:i4>122</vt:i4>
      </vt:variant>
      <vt:variant>
        <vt:i4>0</vt:i4>
      </vt:variant>
      <vt:variant>
        <vt:i4>5</vt:i4>
      </vt:variant>
      <vt:variant>
        <vt:lpwstr/>
      </vt:variant>
      <vt:variant>
        <vt:lpwstr>_Toc114065560</vt:lpwstr>
      </vt:variant>
      <vt:variant>
        <vt:i4>1441846</vt:i4>
      </vt:variant>
      <vt:variant>
        <vt:i4>116</vt:i4>
      </vt:variant>
      <vt:variant>
        <vt:i4>0</vt:i4>
      </vt:variant>
      <vt:variant>
        <vt:i4>5</vt:i4>
      </vt:variant>
      <vt:variant>
        <vt:lpwstr/>
      </vt:variant>
      <vt:variant>
        <vt:lpwstr>_Toc114065559</vt:lpwstr>
      </vt:variant>
      <vt:variant>
        <vt:i4>1441846</vt:i4>
      </vt:variant>
      <vt:variant>
        <vt:i4>110</vt:i4>
      </vt:variant>
      <vt:variant>
        <vt:i4>0</vt:i4>
      </vt:variant>
      <vt:variant>
        <vt:i4>5</vt:i4>
      </vt:variant>
      <vt:variant>
        <vt:lpwstr/>
      </vt:variant>
      <vt:variant>
        <vt:lpwstr>_Toc114065558</vt:lpwstr>
      </vt:variant>
      <vt:variant>
        <vt:i4>1441846</vt:i4>
      </vt:variant>
      <vt:variant>
        <vt:i4>104</vt:i4>
      </vt:variant>
      <vt:variant>
        <vt:i4>0</vt:i4>
      </vt:variant>
      <vt:variant>
        <vt:i4>5</vt:i4>
      </vt:variant>
      <vt:variant>
        <vt:lpwstr/>
      </vt:variant>
      <vt:variant>
        <vt:lpwstr>_Toc114065557</vt:lpwstr>
      </vt:variant>
      <vt:variant>
        <vt:i4>1441846</vt:i4>
      </vt:variant>
      <vt:variant>
        <vt:i4>98</vt:i4>
      </vt:variant>
      <vt:variant>
        <vt:i4>0</vt:i4>
      </vt:variant>
      <vt:variant>
        <vt:i4>5</vt:i4>
      </vt:variant>
      <vt:variant>
        <vt:lpwstr/>
      </vt:variant>
      <vt:variant>
        <vt:lpwstr>_Toc114065556</vt:lpwstr>
      </vt:variant>
      <vt:variant>
        <vt:i4>1441846</vt:i4>
      </vt:variant>
      <vt:variant>
        <vt:i4>92</vt:i4>
      </vt:variant>
      <vt:variant>
        <vt:i4>0</vt:i4>
      </vt:variant>
      <vt:variant>
        <vt:i4>5</vt:i4>
      </vt:variant>
      <vt:variant>
        <vt:lpwstr/>
      </vt:variant>
      <vt:variant>
        <vt:lpwstr>_Toc114065555</vt:lpwstr>
      </vt:variant>
      <vt:variant>
        <vt:i4>1441846</vt:i4>
      </vt:variant>
      <vt:variant>
        <vt:i4>86</vt:i4>
      </vt:variant>
      <vt:variant>
        <vt:i4>0</vt:i4>
      </vt:variant>
      <vt:variant>
        <vt:i4>5</vt:i4>
      </vt:variant>
      <vt:variant>
        <vt:lpwstr/>
      </vt:variant>
      <vt:variant>
        <vt:lpwstr>_Toc114065554</vt:lpwstr>
      </vt:variant>
      <vt:variant>
        <vt:i4>1441846</vt:i4>
      </vt:variant>
      <vt:variant>
        <vt:i4>80</vt:i4>
      </vt:variant>
      <vt:variant>
        <vt:i4>0</vt:i4>
      </vt:variant>
      <vt:variant>
        <vt:i4>5</vt:i4>
      </vt:variant>
      <vt:variant>
        <vt:lpwstr/>
      </vt:variant>
      <vt:variant>
        <vt:lpwstr>_Toc114065553</vt:lpwstr>
      </vt:variant>
      <vt:variant>
        <vt:i4>1507382</vt:i4>
      </vt:variant>
      <vt:variant>
        <vt:i4>74</vt:i4>
      </vt:variant>
      <vt:variant>
        <vt:i4>0</vt:i4>
      </vt:variant>
      <vt:variant>
        <vt:i4>5</vt:i4>
      </vt:variant>
      <vt:variant>
        <vt:lpwstr/>
      </vt:variant>
      <vt:variant>
        <vt:lpwstr>_Toc114065549</vt:lpwstr>
      </vt:variant>
      <vt:variant>
        <vt:i4>1507382</vt:i4>
      </vt:variant>
      <vt:variant>
        <vt:i4>68</vt:i4>
      </vt:variant>
      <vt:variant>
        <vt:i4>0</vt:i4>
      </vt:variant>
      <vt:variant>
        <vt:i4>5</vt:i4>
      </vt:variant>
      <vt:variant>
        <vt:lpwstr/>
      </vt:variant>
      <vt:variant>
        <vt:lpwstr>_Toc114065546</vt:lpwstr>
      </vt:variant>
      <vt:variant>
        <vt:i4>1507382</vt:i4>
      </vt:variant>
      <vt:variant>
        <vt:i4>62</vt:i4>
      </vt:variant>
      <vt:variant>
        <vt:i4>0</vt:i4>
      </vt:variant>
      <vt:variant>
        <vt:i4>5</vt:i4>
      </vt:variant>
      <vt:variant>
        <vt:lpwstr/>
      </vt:variant>
      <vt:variant>
        <vt:lpwstr>_Toc114065541</vt:lpwstr>
      </vt:variant>
      <vt:variant>
        <vt:i4>1507382</vt:i4>
      </vt:variant>
      <vt:variant>
        <vt:i4>56</vt:i4>
      </vt:variant>
      <vt:variant>
        <vt:i4>0</vt:i4>
      </vt:variant>
      <vt:variant>
        <vt:i4>5</vt:i4>
      </vt:variant>
      <vt:variant>
        <vt:lpwstr/>
      </vt:variant>
      <vt:variant>
        <vt:lpwstr>_Toc114065540</vt:lpwstr>
      </vt:variant>
      <vt:variant>
        <vt:i4>1048630</vt:i4>
      </vt:variant>
      <vt:variant>
        <vt:i4>50</vt:i4>
      </vt:variant>
      <vt:variant>
        <vt:i4>0</vt:i4>
      </vt:variant>
      <vt:variant>
        <vt:i4>5</vt:i4>
      </vt:variant>
      <vt:variant>
        <vt:lpwstr/>
      </vt:variant>
      <vt:variant>
        <vt:lpwstr>_Toc114065539</vt:lpwstr>
      </vt:variant>
      <vt:variant>
        <vt:i4>1048630</vt:i4>
      </vt:variant>
      <vt:variant>
        <vt:i4>44</vt:i4>
      </vt:variant>
      <vt:variant>
        <vt:i4>0</vt:i4>
      </vt:variant>
      <vt:variant>
        <vt:i4>5</vt:i4>
      </vt:variant>
      <vt:variant>
        <vt:lpwstr/>
      </vt:variant>
      <vt:variant>
        <vt:lpwstr>_Toc114065538</vt:lpwstr>
      </vt:variant>
      <vt:variant>
        <vt:i4>1048630</vt:i4>
      </vt:variant>
      <vt:variant>
        <vt:i4>38</vt:i4>
      </vt:variant>
      <vt:variant>
        <vt:i4>0</vt:i4>
      </vt:variant>
      <vt:variant>
        <vt:i4>5</vt:i4>
      </vt:variant>
      <vt:variant>
        <vt:lpwstr/>
      </vt:variant>
      <vt:variant>
        <vt:lpwstr>_Toc114065537</vt:lpwstr>
      </vt:variant>
      <vt:variant>
        <vt:i4>1048630</vt:i4>
      </vt:variant>
      <vt:variant>
        <vt:i4>32</vt:i4>
      </vt:variant>
      <vt:variant>
        <vt:i4>0</vt:i4>
      </vt:variant>
      <vt:variant>
        <vt:i4>5</vt:i4>
      </vt:variant>
      <vt:variant>
        <vt:lpwstr/>
      </vt:variant>
      <vt:variant>
        <vt:lpwstr>_Toc114065536</vt:lpwstr>
      </vt:variant>
      <vt:variant>
        <vt:i4>1048630</vt:i4>
      </vt:variant>
      <vt:variant>
        <vt:i4>26</vt:i4>
      </vt:variant>
      <vt:variant>
        <vt:i4>0</vt:i4>
      </vt:variant>
      <vt:variant>
        <vt:i4>5</vt:i4>
      </vt:variant>
      <vt:variant>
        <vt:lpwstr/>
      </vt:variant>
      <vt:variant>
        <vt:lpwstr>_Toc114065535</vt:lpwstr>
      </vt:variant>
      <vt:variant>
        <vt:i4>1114166</vt:i4>
      </vt:variant>
      <vt:variant>
        <vt:i4>20</vt:i4>
      </vt:variant>
      <vt:variant>
        <vt:i4>0</vt:i4>
      </vt:variant>
      <vt:variant>
        <vt:i4>5</vt:i4>
      </vt:variant>
      <vt:variant>
        <vt:lpwstr/>
      </vt:variant>
      <vt:variant>
        <vt:lpwstr>_Toc114065523</vt:lpwstr>
      </vt:variant>
      <vt:variant>
        <vt:i4>1114166</vt:i4>
      </vt:variant>
      <vt:variant>
        <vt:i4>14</vt:i4>
      </vt:variant>
      <vt:variant>
        <vt:i4>0</vt:i4>
      </vt:variant>
      <vt:variant>
        <vt:i4>5</vt:i4>
      </vt:variant>
      <vt:variant>
        <vt:lpwstr/>
      </vt:variant>
      <vt:variant>
        <vt:lpwstr>_Toc114065522</vt:lpwstr>
      </vt:variant>
      <vt:variant>
        <vt:i4>1114166</vt:i4>
      </vt:variant>
      <vt:variant>
        <vt:i4>8</vt:i4>
      </vt:variant>
      <vt:variant>
        <vt:i4>0</vt:i4>
      </vt:variant>
      <vt:variant>
        <vt:i4>5</vt:i4>
      </vt:variant>
      <vt:variant>
        <vt:lpwstr/>
      </vt:variant>
      <vt:variant>
        <vt:lpwstr>_Toc114065521</vt:lpwstr>
      </vt:variant>
      <vt:variant>
        <vt:i4>1114166</vt:i4>
      </vt:variant>
      <vt:variant>
        <vt:i4>2</vt:i4>
      </vt:variant>
      <vt:variant>
        <vt:i4>0</vt:i4>
      </vt:variant>
      <vt:variant>
        <vt:i4>5</vt:i4>
      </vt:variant>
      <vt:variant>
        <vt:lpwstr/>
      </vt:variant>
      <vt:variant>
        <vt:lpwstr>_Toc114065520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Meling</dc:creator>
  <cp:keywords/>
  <dc:description/>
  <cp:lastModifiedBy>Hilde Jåsund</cp:lastModifiedBy>
  <cp:revision>3</cp:revision>
  <cp:lastPrinted>2024-05-15T13:09:00Z</cp:lastPrinted>
  <dcterms:created xsi:type="dcterms:W3CDTF">2024-05-15T13:11:00Z</dcterms:created>
  <dcterms:modified xsi:type="dcterms:W3CDTF">2026-03-17T13:39:00Z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100</vt:r8>
  </property>
  <property fmtid="{D5CDD505-2E9C-101B-9397-08002B2CF9AE}" pid="3" name="ContentTypeId">
    <vt:lpwstr>0x0101000E52A8DA6E0E8F42ABA7624FBB97C791</vt:lpwstr>
  </property>
  <property fmtid="{D5CDD505-2E9C-101B-9397-08002B2CF9AE}" pid="4" name="MediaServiceImageTags">
    <vt:lpwstr/>
  </property>
  <property fmtid="{D5CDD505-2E9C-101B-9397-08002B2CF9AE}" pid="6" name="docLang">
    <vt:lpwstr>nb</vt:lpwstr>
  </property>
</Properties>
</file>